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方正黑体_GBK"/>
        </w:rPr>
      </w:pPr>
    </w:p>
    <w:p>
      <w:pPr>
        <w:rPr>
          <w:rFonts w:hint="eastAsia" w:ascii="宋体" w:hAnsi="宋体" w:eastAsia="方正黑体_GBK"/>
        </w:rPr>
      </w:pPr>
    </w:p>
    <w:p>
      <w:pPr>
        <w:rPr>
          <w:rFonts w:hint="eastAsia" w:ascii="宋体" w:hAnsi="宋体" w:eastAsia="方正黑体_GBK"/>
        </w:rPr>
      </w:pPr>
    </w:p>
    <w:p>
      <w:pPr>
        <w:snapToGrid w:val="0"/>
        <w:spacing w:before="115" w:beforeLines="20" w:line="1320" w:lineRule="exact"/>
        <w:ind w:right="54" w:rightChars="17" w:firstLine="221" w:firstLineChars="40"/>
        <w:jc w:val="distribute"/>
        <w:rPr>
          <w:rFonts w:hint="eastAsia" w:ascii="宋体" w:hAnsi="宋体" w:eastAsia="方正小标宋_GBK"/>
          <w:b/>
          <w:color w:val="FF0000"/>
          <w:w w:val="53"/>
          <w:sz w:val="110"/>
          <w:szCs w:val="110"/>
        </w:rPr>
      </w:pPr>
      <w:r>
        <w:rPr>
          <w:rFonts w:hint="eastAsia" w:ascii="宋体" w:hAnsi="宋体" w:eastAsia="方正小标宋_GBK"/>
          <w:b/>
          <w:color w:val="FF0000"/>
          <w:w w:val="51"/>
          <w:sz w:val="108"/>
          <w:szCs w:val="108"/>
        </w:rPr>
        <w:t>重庆市荣昌区人民政府办公室文件</w:t>
      </w:r>
    </w:p>
    <w:p>
      <w:pPr>
        <w:snapToGrid w:val="0"/>
        <w:spacing w:before="28" w:beforeLines="5"/>
        <w:rPr>
          <w:rFonts w:hint="eastAsia" w:ascii="宋体" w:hAnsi="宋体"/>
          <w:szCs w:val="32"/>
        </w:rPr>
      </w:pPr>
    </w:p>
    <w:p>
      <w:pPr>
        <w:rPr>
          <w:rFonts w:hint="eastAsia" w:ascii="宋体" w:hAnsi="宋体"/>
        </w:rPr>
      </w:pPr>
    </w:p>
    <w:p>
      <w:pPr>
        <w:ind w:left="320" w:leftChars="100" w:right="320" w:rightChars="100"/>
        <w:jc w:val="center"/>
        <w:rPr>
          <w:rFonts w:hint="eastAsia" w:ascii="宋体" w:hAnsi="宋体"/>
        </w:rPr>
      </w:pPr>
      <w:r>
        <w:rPr>
          <w:rFonts w:hint="eastAsia" w:ascii="宋体" w:hAnsi="宋体" w:eastAsia="方正仿宋_GBK"/>
          <w:bCs/>
          <w:szCs w:val="32"/>
        </w:rPr>
        <w:t>荣昌府办发〔</w:t>
      </w:r>
      <w:r>
        <w:rPr>
          <w:rFonts w:hint="eastAsia" w:ascii="宋体" w:hAnsi="宋体" w:eastAsia="方正仿宋_GBK"/>
          <w:bCs/>
          <w:szCs w:val="32"/>
          <w:lang w:val="en-US" w:eastAsia="zh-CN"/>
        </w:rPr>
        <w:t>2021</w:t>
      </w:r>
      <w:r>
        <w:rPr>
          <w:rFonts w:hint="eastAsia" w:ascii="宋体" w:hAnsi="宋体" w:eastAsia="方正仿宋_GBK"/>
          <w:bCs/>
          <w:szCs w:val="32"/>
        </w:rPr>
        <w:t>〕</w:t>
      </w:r>
      <w:r>
        <w:rPr>
          <w:rFonts w:hint="eastAsia" w:ascii="宋体" w:hAnsi="宋体" w:eastAsia="方正仿宋_GBK"/>
          <w:bCs/>
          <w:szCs w:val="32"/>
          <w:lang w:val="en-US" w:eastAsia="zh-CN"/>
        </w:rPr>
        <w:t>98</w:t>
      </w:r>
      <w:r>
        <w:rPr>
          <w:rFonts w:hint="eastAsia" w:ascii="宋体" w:hAnsi="宋体" w:eastAsia="方正仿宋_GBK"/>
          <w:bCs/>
          <w:szCs w:val="32"/>
        </w:rPr>
        <w:t>号</w:t>
      </w:r>
    </w:p>
    <w:p>
      <w:pPr>
        <w:rPr>
          <w:rFonts w:hint="eastAsia" w:ascii="宋体" w:hAnsi="宋体"/>
        </w:rPr>
      </w:pPr>
      <w:r>
        <w:rPr>
          <w:rFonts w:hint="eastAsia" w:ascii="宋体" w:hAnsi="宋体" w:eastAsia="方正小标宋_GBK"/>
          <w:b/>
          <w:color w:val="FF0000"/>
          <w:w w:val="55"/>
          <w:sz w:val="108"/>
          <w:szCs w:val="108"/>
        </w:rPr>
        <mc:AlternateContent>
          <mc:Choice Requires="wps">
            <w:drawing>
              <wp:anchor distT="0" distB="0" distL="114300" distR="114300" simplePos="0" relativeHeight="251658240" behindDoc="0" locked="0" layoutInCell="1" allowOverlap="1">
                <wp:simplePos x="0" y="0"/>
                <wp:positionH relativeFrom="page">
                  <wp:posOffset>972185</wp:posOffset>
                </wp:positionH>
                <wp:positionV relativeFrom="margin">
                  <wp:posOffset>3044190</wp:posOffset>
                </wp:positionV>
                <wp:extent cx="5615940" cy="0"/>
                <wp:effectExtent l="0" t="10795" r="3810" b="17780"/>
                <wp:wrapNone/>
                <wp:docPr id="6" name="直接连接符 6"/>
                <wp:cNvGraphicFramePr/>
                <a:graphic xmlns:a="http://schemas.openxmlformats.org/drawingml/2006/main">
                  <a:graphicData uri="http://schemas.microsoft.com/office/word/2010/wordprocessingShape">
                    <wps:wsp>
                      <wps:cNvSpPr/>
                      <wps:spPr>
                        <a:xfrm>
                          <a:off x="0" y="0"/>
                          <a:ext cx="5615940" cy="0"/>
                        </a:xfrm>
                        <a:prstGeom prst="line">
                          <a:avLst/>
                        </a:prstGeom>
                        <a:ln w="22225" cap="flat" cmpd="sng">
                          <a:solidFill>
                            <a:srgbClr val="FF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76.55pt;margin-top:239.7pt;height:0pt;width:442.2pt;mso-position-horizontal-relative:page;mso-position-vertical-relative:margin;z-index:251658240;mso-width-relative:page;mso-height-relative:page;" filled="f" stroked="t" coordsize="21600,21600" o:gfxdata="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ALJ0kP2QAAAAwBAAAPAAAAAAAAAAEAIAAAADgAAABkcnMvZG93bnJldi54bWxQSwEC&#10;FAAUAAAACACHTuJA2DXIB90BAACaAwAADgAAAAAAAAABACAAAAA+AQAAZHJzL2Uyb0RvYy54bWxQ&#10;SwUGAAAAAAYABgBZAQAAjQUAAAAA&#10;">
                <v:path arrowok="t"/>
                <v:fill on="f" focussize="0,0"/>
                <v:stroke weight="1.75pt" color="#FF0000"/>
                <v:imagedata o:title=""/>
                <o:lock v:ext="edit"/>
              </v:line>
            </w:pict>
          </mc:Fallback>
        </mc:AlternateContent>
      </w:r>
    </w:p>
    <w:p>
      <w:pPr>
        <w:keepNext w:val="0"/>
        <w:keepLines w:val="0"/>
        <w:pageBreakBefore w:val="0"/>
        <w:widowControl w:val="0"/>
        <w:kinsoku/>
        <w:wordWrap/>
        <w:overflowPunct/>
        <w:topLinePunct w:val="0"/>
        <w:autoSpaceDE/>
        <w:autoSpaceDN/>
        <w:bidi w:val="0"/>
        <w:adjustRightInd/>
        <w:snapToGrid w:val="0"/>
        <w:ind w:left="0" w:right="22" w:rightChars="7" w:hanging="320" w:hangingChars="100"/>
        <w:jc w:val="center"/>
        <w:textAlignment w:val="auto"/>
        <w:rPr>
          <w:rFonts w:hint="eastAsia" w:ascii="宋体" w:hAnsi="宋体" w:eastAsia="方正仿宋_GBK"/>
          <w:bCs/>
          <w:szCs w:val="32"/>
        </w:rPr>
      </w:pP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重庆市荣昌区人民政府办公室关于</w:t>
      </w: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印发</w:t>
      </w:r>
      <w:r>
        <w:rPr>
          <w:rFonts w:hint="eastAsia" w:ascii="方正小标宋_GBK" w:hAnsi="方正小标宋_GBK" w:eastAsia="方正小标宋_GBK" w:cs="方正小标宋_GBK"/>
          <w:sz w:val="44"/>
          <w:szCs w:val="44"/>
          <w:lang w:val="en-US" w:eastAsia="zh-CN"/>
        </w:rPr>
        <w:t>重庆市荣昌区城乡环境卫生发展</w:t>
      </w:r>
    </w:p>
    <w:p>
      <w:pPr>
        <w:pStyle w:val="3"/>
        <w:keepNext w:val="0"/>
        <w:keepLines w:val="0"/>
        <w:pageBreakBefore w:val="0"/>
        <w:widowControl w:val="0"/>
        <w:kinsoku/>
        <w:wordWrap/>
        <w:overflowPunct/>
        <w:topLinePunct w:val="0"/>
        <w:autoSpaceDE/>
        <w:autoSpaceDN/>
        <w:bidi w:val="0"/>
        <w:adjustRightInd w:val="0"/>
        <w:snapToGrid w:val="0"/>
        <w:spacing w:beforeLines="0" w:line="240" w:lineRule="atLeas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“十四五”规划（2021—2025年）</w:t>
      </w:r>
      <w:r>
        <w:rPr>
          <w:rFonts w:hint="eastAsia" w:ascii="方正小标宋_GBK" w:hAnsi="方正小标宋_GBK" w:eastAsia="方正小标宋_GBK" w:cs="方正小标宋_GBK"/>
          <w:sz w:val="44"/>
          <w:szCs w:val="44"/>
          <w:lang w:eastAsia="zh-CN"/>
        </w:rPr>
        <w:t>的通知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方正楷体_GBK" w:cs="方正楷体_GBK"/>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各镇人民政府</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lang w:eastAsia="zh-CN"/>
        </w:rPr>
        <w:t>各街道办事处，区政府各部门：</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经区政府同意，现将《重庆市荣昌区城乡环境卫生发展“十四五”规划（2021—2025年）》印发给你们，请认真贯彻执行。</w:t>
      </w:r>
    </w:p>
    <w:p>
      <w:pPr>
        <w:keepNext w:val="0"/>
        <w:keepLines w:val="0"/>
        <w:pageBreakBefore w:val="0"/>
        <w:widowControl w:val="0"/>
        <w:kinsoku/>
        <w:wordWrap/>
        <w:overflowPunct/>
        <w:topLinePunct w:val="0"/>
        <w:autoSpaceDE/>
        <w:autoSpaceDN/>
        <w:bidi w:val="0"/>
        <w:adjustRightInd/>
        <w:snapToGrid/>
        <w:spacing w:line="240" w:lineRule="auto"/>
        <w:ind w:firstLine="641"/>
        <w:jc w:val="right"/>
        <w:textAlignment w:val="auto"/>
        <w:rPr>
          <w:rFonts w:hint="eastAsia" w:ascii="宋体" w:hAnsi="宋体" w:eastAsia="方正仿宋_GBK"/>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1"/>
        <w:jc w:val="right"/>
        <w:textAlignment w:val="auto"/>
        <w:rPr>
          <w:rFonts w:hint="eastAsia" w:ascii="宋体" w:hAnsi="宋体" w:eastAsia="方正仿宋_GBK"/>
          <w:szCs w:val="32"/>
        </w:rPr>
      </w:pPr>
    </w:p>
    <w:p>
      <w:pPr>
        <w:keepNext w:val="0"/>
        <w:keepLines w:val="0"/>
        <w:pageBreakBefore w:val="0"/>
        <w:kinsoku/>
        <w:wordWrap w:val="0"/>
        <w:overflowPunct/>
        <w:topLinePunct w:val="0"/>
        <w:autoSpaceDE/>
        <w:autoSpaceDN/>
        <w:bidi w:val="0"/>
        <w:adjustRightInd/>
        <w:snapToGrid w:val="0"/>
        <w:spacing w:line="480" w:lineRule="exact"/>
        <w:ind w:firstLine="960" w:firstLineChars="300"/>
        <w:jc w:val="right"/>
        <w:textAlignment w:val="auto"/>
        <w:rPr>
          <w:rFonts w:hint="eastAsia" w:ascii="宋体" w:hAnsi="宋体" w:eastAsia="方正仿宋_GBK" w:cs="仿宋"/>
          <w:szCs w:val="32"/>
        </w:rPr>
      </w:pPr>
      <w:r>
        <w:rPr>
          <w:rFonts w:hint="eastAsia" w:ascii="宋体" w:hAnsi="宋体" w:eastAsia="仿宋" w:cs="仿宋"/>
          <w:szCs w:val="32"/>
        </w:rPr>
        <w:t xml:space="preserve">   </w:t>
      </w:r>
      <w:r>
        <w:rPr>
          <w:rFonts w:hint="eastAsia" w:ascii="宋体" w:hAnsi="宋体" w:eastAsia="方正仿宋_GBK" w:cs="仿宋"/>
          <w:szCs w:val="32"/>
        </w:rPr>
        <w:t xml:space="preserve">             重庆市荣昌区人民政府办公室 </w:t>
      </w:r>
      <w:r>
        <w:rPr>
          <w:rFonts w:hint="eastAsia" w:ascii="宋体" w:hAnsi="宋体" w:eastAsia="方正仿宋_GBK" w:cs="仿宋"/>
          <w:szCs w:val="32"/>
          <w:lang w:val="en-US" w:eastAsia="zh-CN"/>
        </w:rPr>
        <w:t xml:space="preserve"> </w:t>
      </w:r>
      <w:r>
        <w:rPr>
          <w:rFonts w:hint="eastAsia" w:ascii="宋体" w:hAnsi="宋体" w:eastAsia="方正仿宋_GBK" w:cs="仿宋"/>
          <w:szCs w:val="32"/>
        </w:rPr>
        <w:t xml:space="preserve"> </w:t>
      </w:r>
    </w:p>
    <w:p>
      <w:pPr>
        <w:keepNext w:val="0"/>
        <w:keepLines w:val="0"/>
        <w:pageBreakBefore w:val="0"/>
        <w:kinsoku/>
        <w:wordWrap w:val="0"/>
        <w:overflowPunct/>
        <w:topLinePunct w:val="0"/>
        <w:autoSpaceDE/>
        <w:autoSpaceDN/>
        <w:bidi w:val="0"/>
        <w:adjustRightInd/>
        <w:snapToGrid w:val="0"/>
        <w:spacing w:line="480" w:lineRule="exact"/>
        <w:jc w:val="right"/>
        <w:textAlignment w:val="auto"/>
        <w:rPr>
          <w:rFonts w:hint="eastAsia" w:ascii="宋体" w:hAnsi="宋体" w:eastAsia="方正仿宋_GBK" w:cs="仿宋"/>
          <w:szCs w:val="32"/>
        </w:rPr>
      </w:pPr>
      <w:r>
        <w:rPr>
          <w:rFonts w:hint="eastAsia" w:ascii="宋体" w:hAnsi="宋体" w:eastAsia="方正仿宋_GBK"/>
          <w:szCs w:val="32"/>
        </w:rPr>
        <w:t xml:space="preserve">  2021</w:t>
      </w:r>
      <w:r>
        <w:rPr>
          <w:rFonts w:hint="eastAsia" w:ascii="宋体" w:hAnsi="宋体" w:eastAsia="方正仿宋_GBK" w:cs="仿宋"/>
          <w:szCs w:val="32"/>
        </w:rPr>
        <w:t>年</w:t>
      </w:r>
      <w:r>
        <w:rPr>
          <w:rFonts w:hint="eastAsia" w:ascii="宋体" w:hAnsi="宋体" w:eastAsia="方正仿宋_GBK" w:cs="仿宋"/>
          <w:szCs w:val="32"/>
          <w:lang w:val="en-US" w:eastAsia="zh-CN"/>
        </w:rPr>
        <w:t>12</w:t>
      </w:r>
      <w:r>
        <w:rPr>
          <w:rFonts w:hint="eastAsia" w:ascii="宋体" w:hAnsi="宋体" w:eastAsia="方正仿宋_GBK" w:cs="仿宋"/>
          <w:szCs w:val="32"/>
        </w:rPr>
        <w:t>月</w:t>
      </w:r>
      <w:r>
        <w:rPr>
          <w:rFonts w:hint="eastAsia" w:ascii="宋体" w:hAnsi="宋体" w:eastAsia="方正仿宋_GBK" w:cs="仿宋"/>
          <w:szCs w:val="32"/>
          <w:lang w:val="en-US" w:eastAsia="zh-CN"/>
        </w:rPr>
        <w:t>26</w:t>
      </w:r>
      <w:r>
        <w:rPr>
          <w:rFonts w:hint="eastAsia" w:ascii="宋体" w:hAnsi="宋体" w:eastAsia="方正仿宋_GBK" w:cs="仿宋"/>
          <w:szCs w:val="32"/>
        </w:rPr>
        <w:t xml:space="preserve">日        </w:t>
      </w:r>
    </w:p>
    <w:p>
      <w:pPr>
        <w:keepNext w:val="0"/>
        <w:keepLines w:val="0"/>
        <w:pageBreakBefore w:val="0"/>
        <w:widowControl/>
        <w:kinsoku/>
        <w:overflowPunct/>
        <w:topLinePunct w:val="0"/>
        <w:autoSpaceDE/>
        <w:autoSpaceDN/>
        <w:bidi w:val="0"/>
        <w:adjustRightInd/>
        <w:snapToGrid w:val="0"/>
        <w:spacing w:line="480" w:lineRule="exact"/>
        <w:ind w:firstLine="640" w:firstLineChars="200"/>
        <w:jc w:val="left"/>
        <w:textAlignment w:val="auto"/>
        <w:rPr>
          <w:rFonts w:hint="eastAsia" w:ascii="宋体" w:hAnsi="宋体" w:eastAsia="方正仿宋_GBK" w:cs="方正仿宋_GBK"/>
          <w:color w:val="000000"/>
          <w:kern w:val="0"/>
          <w:szCs w:val="32"/>
          <w:shd w:val="clear" w:color="auto" w:fill="FFFFFF"/>
          <w:lang w:bidi="ar"/>
        </w:rPr>
      </w:pPr>
      <w:r>
        <w:rPr>
          <w:rFonts w:hint="eastAsia" w:ascii="宋体" w:hAnsi="宋体" w:eastAsia="方正仿宋_GBK" w:cs="方正仿宋_GBK"/>
          <w:color w:val="000000"/>
          <w:kern w:val="0"/>
          <w:szCs w:val="32"/>
          <w:shd w:val="clear" w:color="auto" w:fill="FFFFFF"/>
          <w:lang w:bidi="ar"/>
        </w:rPr>
        <w:t>（此件公开发布）</w:t>
      </w: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pStyle w:val="3"/>
        <w:adjustRightInd w:val="0"/>
        <w:snapToGrid w:val="0"/>
        <w:spacing w:beforeLines="0" w:line="800" w:lineRule="exact"/>
        <w:rPr>
          <w:rFonts w:ascii="方正小标宋_GBK" w:hAnsi="宋体" w:eastAsia="方正小标宋_GBK"/>
          <w:sz w:val="44"/>
          <w:szCs w:val="44"/>
        </w:rPr>
      </w:pPr>
      <w:bookmarkStart w:id="0" w:name="_Hlk74814599"/>
      <w:r>
        <w:rPr>
          <w:rFonts w:hint="eastAsia" w:ascii="方正小标宋_GBK" w:hAnsi="宋体" w:eastAsia="方正小标宋_GBK"/>
          <w:sz w:val="44"/>
          <w:szCs w:val="44"/>
        </w:rPr>
        <w:t>重庆市荣昌区城乡环境卫生发展</w:t>
      </w:r>
    </w:p>
    <w:p>
      <w:pPr>
        <w:pStyle w:val="3"/>
        <w:adjustRightInd w:val="0"/>
        <w:snapToGrid w:val="0"/>
        <w:spacing w:beforeLines="0" w:line="800" w:lineRule="exact"/>
        <w:rPr>
          <w:rFonts w:ascii="方正小标宋_GBK" w:hAnsi="宋体" w:eastAsia="方正小标宋_GBK"/>
          <w:sz w:val="44"/>
          <w:szCs w:val="44"/>
        </w:rPr>
      </w:pPr>
      <w:r>
        <w:rPr>
          <w:rFonts w:hint="eastAsia" w:ascii="方正小标宋_GBK" w:hAnsi="宋体" w:eastAsia="方正小标宋_GBK"/>
          <w:sz w:val="44"/>
          <w:szCs w:val="44"/>
        </w:rPr>
        <w:t>“十四五”规划</w:t>
      </w:r>
    </w:p>
    <w:p>
      <w:pPr>
        <w:pStyle w:val="3"/>
        <w:adjustRightInd w:val="0"/>
        <w:snapToGrid w:val="0"/>
        <w:spacing w:beforeLines="0" w:line="800" w:lineRule="exac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（2021—2025年）</w:t>
      </w:r>
    </w:p>
    <w:bookmarkEnd w:id="0"/>
    <w:p>
      <w:pPr>
        <w:widowControl/>
        <w:spacing w:line="240" w:lineRule="auto"/>
        <w:ind w:firstLine="0" w:firstLineChars="0"/>
        <w:jc w:val="left"/>
        <w:rPr>
          <w:rFonts w:ascii="方正小标宋_GBK" w:hAnsi="宋体" w:eastAsia="方正小标宋_GBK"/>
          <w:sz w:val="44"/>
          <w:szCs w:val="44"/>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spacing w:line="240" w:lineRule="auto"/>
        <w:ind w:firstLine="0" w:firstLineChars="0"/>
        <w:jc w:val="left"/>
        <w:rPr>
          <w:rFonts w:ascii="黑体" w:hAnsi="黑体" w:eastAsia="黑体" w:cs="黑体"/>
          <w:b/>
          <w:bCs/>
          <w:szCs w:val="32"/>
        </w:rPr>
      </w:pPr>
    </w:p>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重庆市荣昌区城市管理局</w:t>
      </w:r>
    </w:p>
    <w:p>
      <w:pPr>
        <w:spacing w:line="560" w:lineRule="exact"/>
        <w:jc w:val="center"/>
        <w:rPr>
          <w:rFonts w:hint="eastAsia" w:ascii="方正黑体_GBK" w:hAnsi="方正黑体_GBK" w:eastAsia="方正黑体_GBK" w:cs="方正黑体_GBK"/>
          <w:b w:val="0"/>
          <w:bCs w:val="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985" w:left="1531" w:header="851" w:footer="1474" w:gutter="0"/>
          <w:pgBorders>
            <w:top w:val="none" w:sz="0" w:space="0"/>
            <w:left w:val="none" w:sz="0" w:space="0"/>
            <w:bottom w:val="none" w:sz="0" w:space="0"/>
            <w:right w:val="none" w:sz="0" w:space="0"/>
          </w:pgBorders>
          <w:cols w:space="720" w:num="1"/>
          <w:docGrid w:type="lines" w:linePitch="579" w:charSpace="-849"/>
        </w:sectPr>
      </w:pPr>
      <w:r>
        <w:rPr>
          <w:rFonts w:hint="eastAsia" w:ascii="方正黑体_GBK" w:hAnsi="方正黑体_GBK" w:eastAsia="方正黑体_GBK" w:cs="方正黑体_GBK"/>
          <w:b w:val="0"/>
          <w:bCs w:val="0"/>
          <w:sz w:val="32"/>
          <w:szCs w:val="32"/>
        </w:rPr>
        <w:t>2021年1</w:t>
      </w:r>
      <w:r>
        <w:rPr>
          <w:rFonts w:hint="eastAsia" w:ascii="方正黑体_GBK" w:hAnsi="方正黑体_GBK" w:eastAsia="方正黑体_GBK" w:cs="方正黑体_GBK"/>
          <w:b w:val="0"/>
          <w:bCs w:val="0"/>
          <w:sz w:val="32"/>
          <w:szCs w:val="32"/>
          <w:lang w:val="en-US" w:eastAsia="zh-CN"/>
        </w:rPr>
        <w:t>2</w:t>
      </w:r>
      <w:r>
        <w:rPr>
          <w:rFonts w:hint="eastAsia" w:ascii="方正黑体_GBK" w:hAnsi="方正黑体_GBK" w:eastAsia="方正黑体_GBK" w:cs="方正黑体_GBK"/>
          <w:b w:val="0"/>
          <w:bCs w:val="0"/>
          <w:sz w:val="32"/>
          <w:szCs w:val="32"/>
        </w:rPr>
        <w:t>月</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44"/>
        </w:rPr>
      </w:pPr>
      <w:bookmarkStart w:id="1" w:name="_Toc69916711"/>
      <w:bookmarkStart w:id="2" w:name="_Toc79139069"/>
      <w:bookmarkStart w:id="3" w:name="_Toc70413675"/>
      <w:bookmarkStart w:id="4" w:name="_Toc70591404"/>
      <w:bookmarkStart w:id="5" w:name="_Toc69917213"/>
      <w:bookmarkStart w:id="6" w:name="_Toc69916666"/>
      <w:bookmarkStart w:id="7" w:name="_Toc70592230"/>
      <w:bookmarkStart w:id="8" w:name="_Toc69916773"/>
      <w:bookmarkStart w:id="9" w:name="_Toc75773242"/>
      <w:bookmarkStart w:id="10" w:name="_Toc87624927"/>
      <w:bookmarkStart w:id="11" w:name="_Toc75169051"/>
      <w:bookmarkStart w:id="12" w:name="_Toc75163166"/>
      <w:bookmarkStart w:id="13" w:name="_Toc83195988"/>
      <w:bookmarkStart w:id="14" w:name="_Toc87717258"/>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30"/>
          <w:szCs w:val="30"/>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前  言</w:t>
      </w:r>
      <w:bookmarkEnd w:id="1"/>
      <w:bookmarkEnd w:id="2"/>
      <w:bookmarkEnd w:id="3"/>
      <w:bookmarkEnd w:id="4"/>
      <w:bookmarkEnd w:id="5"/>
      <w:bookmarkEnd w:id="6"/>
      <w:bookmarkEnd w:id="7"/>
      <w:bookmarkEnd w:id="8"/>
      <w:bookmarkEnd w:id="9"/>
      <w:bookmarkEnd w:id="10"/>
      <w:bookmarkEnd w:id="11"/>
      <w:bookmarkEnd w:id="12"/>
      <w:bookmarkEnd w:id="13"/>
      <w:bookmarkEnd w:id="14"/>
    </w:p>
    <w:p>
      <w:pPr>
        <w:keepNext w:val="0"/>
        <w:keepLines w:val="0"/>
        <w:pageBreakBefore w:val="0"/>
        <w:widowControl w:val="0"/>
        <w:kinsoku/>
        <w:wordWrap/>
        <w:overflowPunct/>
        <w:topLinePunct w:val="0"/>
        <w:autoSpaceDE/>
        <w:autoSpaceDN/>
        <w:bidi w:val="0"/>
        <w:adjustRightInd/>
        <w:snapToGrid/>
        <w:spacing w:line="240" w:lineRule="auto"/>
        <w:ind w:firstLine="641"/>
        <w:textAlignment w:val="auto"/>
        <w:rPr>
          <w:rFonts w:hint="eastAsia" w:ascii="宋体" w:hAnsi="宋体" w:eastAsia="方正仿宋_GBK"/>
          <w:kern w:val="0"/>
          <w:sz w:val="32"/>
          <w:szCs w:val="32"/>
          <w:lang w:val="zh-CN"/>
        </w:rPr>
      </w:pP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宋体" w:hAnsi="宋体" w:eastAsia="方正仿宋_GBK"/>
          <w:kern w:val="0"/>
          <w:sz w:val="32"/>
          <w:szCs w:val="32"/>
          <w:lang w:val="zh-CN"/>
        </w:rPr>
      </w:pP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是我国全面建成小康社会、实现第一个百年奋斗目标之后，乘势而上开启全面建设社会主义现代化国家新征程、向第二个百年奋斗目标进军的第一个五年，也是全区抢抓成渝地区双城经济圈建设重大战略机遇、推动高质量发展高品质生活建设的关键时期。为深入贯彻党的十九大和十九届二中、三中、四中、五中</w:t>
      </w:r>
      <w:r>
        <w:rPr>
          <w:rFonts w:hint="eastAsia" w:ascii="宋体" w:hAnsi="宋体" w:eastAsia="方正仿宋_GBK"/>
          <w:kern w:val="0"/>
          <w:sz w:val="32"/>
          <w:szCs w:val="32"/>
          <w:lang w:val="zh-CN"/>
        </w:rPr>
        <w:t>、六中</w:t>
      </w:r>
      <w:r>
        <w:rPr>
          <w:rFonts w:ascii="宋体" w:hAnsi="宋体" w:eastAsia="方正仿宋_GBK"/>
          <w:kern w:val="0"/>
          <w:sz w:val="32"/>
          <w:szCs w:val="32"/>
          <w:lang w:val="zh-CN"/>
        </w:rPr>
        <w:t>全会精神，深化环境卫生事业改革创新，推进环境卫生治理体系和治理能力现代化，实现建设绿色宜居新家园目标，特编制本规划。</w:t>
      </w:r>
    </w:p>
    <w:p>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宋体" w:hAnsi="宋体" w:eastAsia="方正仿宋_GBK"/>
          <w:kern w:val="0"/>
          <w:sz w:val="32"/>
          <w:szCs w:val="32"/>
          <w:lang w:val="zh-CN"/>
        </w:rPr>
      </w:pPr>
      <w:r>
        <w:rPr>
          <w:rFonts w:ascii="宋体" w:hAnsi="宋体" w:eastAsia="方正仿宋_GBK"/>
          <w:kern w:val="0"/>
          <w:sz w:val="32"/>
          <w:szCs w:val="32"/>
          <w:lang w:val="zh-CN"/>
        </w:rPr>
        <w:t>《重庆市荣昌区城乡环境卫生发展</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规划》是重庆市</w:t>
      </w:r>
      <w:r>
        <w:rPr>
          <w:rFonts w:ascii="宋体" w:hAnsi="宋体" w:eastAsia="方正仿宋_GBK"/>
          <w:sz w:val="32"/>
          <w:szCs w:val="32"/>
        </w:rPr>
        <w:t>城乡环境卫生</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规划体系的重要组成部分，该规划的编制和实施对顺利完成全市</w:t>
      </w:r>
      <w:r>
        <w:rPr>
          <w:rFonts w:ascii="宋体" w:hAnsi="宋体" w:eastAsia="方正仿宋_GBK"/>
          <w:sz w:val="32"/>
          <w:szCs w:val="32"/>
        </w:rPr>
        <w:t>城乡环境卫生</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目标任务具有重要的意义。本规划全面总结了荣昌区城乡环境卫生事业发展现状和问题，分析了形势与机遇，提出了</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时期发展的主要任务和保障措施，是指导</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时期全区城乡环境卫生事业高质量发展的行动指南。</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kern w:val="0"/>
          <w:sz w:val="32"/>
          <w:szCs w:val="32"/>
          <w:lang w:val="zh-CN"/>
        </w:rPr>
      </w:pPr>
      <w:r>
        <w:rPr>
          <w:rFonts w:hint="eastAsia" w:ascii="宋体" w:hAnsi="宋体" w:eastAsia="方正黑体_GBK" w:cs="方正黑体_GBK"/>
          <w:b w:val="0"/>
          <w:bCs/>
          <w:kern w:val="0"/>
          <w:sz w:val="32"/>
          <w:szCs w:val="32"/>
          <w:lang w:val="zh-CN"/>
        </w:rPr>
        <w:t>规划范围：</w:t>
      </w:r>
      <w:r>
        <w:rPr>
          <w:rFonts w:ascii="宋体" w:hAnsi="宋体" w:eastAsia="方正仿宋_GBK"/>
          <w:kern w:val="0"/>
          <w:sz w:val="32"/>
          <w:szCs w:val="32"/>
          <w:lang w:val="zh-CN"/>
        </w:rPr>
        <w:t>荣昌区行政辖区。以城区为重点，涵盖各镇街及农村地区，对环卫作业方式、生活垃圾分类、环卫设施建设、环境卫生管理等进行详细规划，指导全区环境卫生工作。</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kern w:val="0"/>
          <w:sz w:val="32"/>
          <w:szCs w:val="32"/>
          <w:lang w:val="zh-CN"/>
        </w:rPr>
      </w:pPr>
      <w:r>
        <w:rPr>
          <w:rFonts w:hint="eastAsia" w:ascii="宋体" w:hAnsi="宋体" w:eastAsia="方正黑体_GBK" w:cs="方正黑体_GBK"/>
          <w:b w:val="0"/>
          <w:bCs/>
          <w:kern w:val="0"/>
          <w:sz w:val="32"/>
          <w:szCs w:val="32"/>
          <w:lang w:val="zh-CN"/>
        </w:rPr>
        <w:t>规划期限：</w:t>
      </w:r>
      <w:r>
        <w:rPr>
          <w:rFonts w:ascii="宋体" w:hAnsi="宋体" w:eastAsia="方正仿宋_GBK"/>
          <w:kern w:val="0"/>
          <w:sz w:val="32"/>
          <w:szCs w:val="32"/>
          <w:lang w:val="zh-CN"/>
        </w:rPr>
        <w:t>以2020年为基准年，规划期为2021</w:t>
      </w:r>
      <w:r>
        <w:rPr>
          <w:rFonts w:hint="eastAsia" w:ascii="宋体" w:hAnsi="宋体" w:eastAsia="方正仿宋_GBK"/>
          <w:sz w:val="32"/>
          <w:lang w:eastAsia="zh-CN"/>
        </w:rPr>
        <w:t>—</w:t>
      </w:r>
      <w:r>
        <w:rPr>
          <w:rFonts w:ascii="宋体" w:hAnsi="宋体" w:eastAsia="方正仿宋_GBK"/>
          <w:kern w:val="0"/>
          <w:sz w:val="32"/>
          <w:szCs w:val="32"/>
          <w:lang w:val="zh-CN"/>
        </w:rPr>
        <w:t>2025年，远景展望到2035年。</w:t>
      </w:r>
    </w:p>
    <w:p>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宋体" w:hAnsi="宋体" w:eastAsia="方正仿宋_GBK"/>
          <w:sz w:val="32"/>
        </w:rPr>
      </w:pPr>
      <w:r>
        <w:rPr>
          <w:rFonts w:hint="eastAsia" w:ascii="宋体" w:hAnsi="宋体" w:eastAsia="方正黑体_GBK" w:cs="方正黑体_GBK"/>
          <w:b w:val="0"/>
          <w:bCs/>
          <w:kern w:val="0"/>
          <w:sz w:val="32"/>
          <w:szCs w:val="32"/>
          <w:lang w:val="zh-CN"/>
        </w:rPr>
        <w:t>规划依据：</w:t>
      </w:r>
      <w:r>
        <w:rPr>
          <w:rFonts w:ascii="宋体" w:hAnsi="宋体" w:eastAsia="方正仿宋_GBK"/>
          <w:kern w:val="0"/>
          <w:sz w:val="32"/>
          <w:szCs w:val="32"/>
          <w:lang w:val="zh-CN"/>
        </w:rPr>
        <w:t>国家《</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城镇生活垃圾分类和处理设施发展规划》、《重庆市城乡环境卫生发展</w:t>
      </w:r>
      <w:r>
        <w:rPr>
          <w:rFonts w:hint="eastAsia" w:ascii="宋体" w:hAnsi="宋体" w:eastAsia="方正仿宋_GBK"/>
          <w:kern w:val="0"/>
          <w:sz w:val="32"/>
          <w:szCs w:val="32"/>
          <w:lang w:val="zh-CN"/>
        </w:rPr>
        <w:t>“</w:t>
      </w:r>
      <w:r>
        <w:rPr>
          <w:rFonts w:ascii="宋体" w:hAnsi="宋体" w:eastAsia="方正仿宋_GBK"/>
          <w:kern w:val="0"/>
          <w:sz w:val="32"/>
          <w:szCs w:val="32"/>
          <w:lang w:val="zh-CN"/>
        </w:rPr>
        <w:t>十四五</w:t>
      </w:r>
      <w:r>
        <w:rPr>
          <w:rFonts w:hint="eastAsia" w:ascii="宋体" w:hAnsi="宋体" w:eastAsia="方正仿宋_GBK"/>
          <w:kern w:val="0"/>
          <w:sz w:val="32"/>
          <w:szCs w:val="32"/>
          <w:lang w:val="zh-CN"/>
        </w:rPr>
        <w:t>”</w:t>
      </w:r>
      <w:r>
        <w:rPr>
          <w:rFonts w:ascii="宋体" w:hAnsi="宋体" w:eastAsia="方正仿宋_GBK"/>
          <w:kern w:val="0"/>
          <w:sz w:val="32"/>
          <w:szCs w:val="32"/>
          <w:lang w:val="zh-CN"/>
        </w:rPr>
        <w:t>规划》、</w:t>
      </w:r>
      <w:r>
        <w:rPr>
          <w:rFonts w:ascii="宋体" w:hAnsi="宋体" w:eastAsia="方正仿宋_GBK"/>
          <w:sz w:val="32"/>
        </w:rPr>
        <w:t>《重庆市固体废物处理处置规划(20</w:t>
      </w:r>
      <w:r>
        <w:rPr>
          <w:rFonts w:hint="eastAsia" w:ascii="宋体" w:hAnsi="宋体" w:eastAsia="方正仿宋_GBK"/>
          <w:sz w:val="32"/>
        </w:rPr>
        <w:t>20</w:t>
      </w:r>
      <w:r>
        <w:rPr>
          <w:rFonts w:hint="eastAsia" w:ascii="宋体" w:hAnsi="宋体" w:eastAsia="方正仿宋_GBK"/>
          <w:sz w:val="32"/>
          <w:lang w:eastAsia="zh-CN"/>
        </w:rPr>
        <w:t>—</w:t>
      </w:r>
      <w:r>
        <w:rPr>
          <w:rFonts w:ascii="宋体" w:hAnsi="宋体" w:eastAsia="方正仿宋_GBK"/>
          <w:sz w:val="32"/>
        </w:rPr>
        <w:t>2035年)》</w:t>
      </w:r>
      <w:r>
        <w:rPr>
          <w:rFonts w:ascii="宋体" w:hAnsi="宋体" w:eastAsia="方正仿宋_GBK"/>
          <w:kern w:val="0"/>
          <w:sz w:val="32"/>
          <w:szCs w:val="32"/>
          <w:lang w:val="zh-CN"/>
        </w:rPr>
        <w:t>、</w:t>
      </w:r>
      <w:r>
        <w:rPr>
          <w:rFonts w:ascii="宋体" w:hAnsi="宋体" w:eastAsia="方正仿宋_GBK"/>
          <w:sz w:val="32"/>
        </w:rPr>
        <w:t>《重庆市生活垃圾焚烧发电中长期专项规划（2021</w:t>
      </w:r>
      <w:r>
        <w:rPr>
          <w:rFonts w:hint="eastAsia" w:ascii="宋体" w:hAnsi="宋体" w:eastAsia="方正仿宋_GBK"/>
          <w:sz w:val="32"/>
          <w:lang w:eastAsia="zh-CN"/>
        </w:rPr>
        <w:t>—</w:t>
      </w:r>
      <w:r>
        <w:rPr>
          <w:rFonts w:ascii="宋体" w:hAnsi="宋体" w:eastAsia="方正仿宋_GBK"/>
          <w:sz w:val="32"/>
        </w:rPr>
        <w:t>2035年）》</w:t>
      </w:r>
      <w:r>
        <w:rPr>
          <w:rFonts w:ascii="宋体" w:hAnsi="宋体" w:eastAsia="方正仿宋_GBK"/>
          <w:kern w:val="0"/>
          <w:sz w:val="32"/>
          <w:szCs w:val="32"/>
          <w:lang w:val="zh-CN"/>
        </w:rPr>
        <w:t>、《重庆市荣昌区国民经济和社会发展第十四个五年规划和二〇三五年远景目标纲要》、</w:t>
      </w:r>
      <w:r>
        <w:rPr>
          <w:rFonts w:ascii="宋体" w:hAnsi="宋体" w:eastAsia="方正仿宋_GBK"/>
          <w:sz w:val="32"/>
        </w:rPr>
        <w:t>《重庆市荣昌区国土空间总体规划（2019</w:t>
      </w:r>
      <w:r>
        <w:rPr>
          <w:rFonts w:hint="eastAsia" w:ascii="宋体" w:hAnsi="宋体" w:eastAsia="方正仿宋_GBK"/>
          <w:sz w:val="32"/>
          <w:lang w:eastAsia="zh-CN"/>
        </w:rPr>
        <w:t>—</w:t>
      </w:r>
      <w:r>
        <w:rPr>
          <w:rFonts w:ascii="宋体" w:hAnsi="宋体" w:eastAsia="方正仿宋_GBK"/>
          <w:sz w:val="32"/>
        </w:rPr>
        <w:t>2035年）》（纲要），相关法律、法规、标准和其它相关规划等。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eastAsia="方正仿宋_GBK"/>
          <w:sz w:val="32"/>
        </w:rPr>
      </w:pPr>
      <w:r>
        <w:rPr>
          <w:rFonts w:ascii="宋体" w:hAnsi="宋体" w:eastAsia="方正仿宋_GBK"/>
          <w:sz w:val="32"/>
        </w:rPr>
        <w:br w:type="page"/>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宋体" w:hAnsi="宋体" w:eastAsia="方正仿宋_GBK"/>
          <w:sz w:val="32"/>
        </w:r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_GBK" w:hAnsi="方正小标宋_GBK" w:eastAsia="方正小标宋_GBK" w:cs="方正小标宋_GBK"/>
          <w:sz w:val="44"/>
          <w:szCs w:val="36"/>
          <w:lang w:eastAsia="zh-CN"/>
        </w:rPr>
      </w:pPr>
      <w:r>
        <w:rPr>
          <w:rFonts w:hint="eastAsia" w:ascii="方正小标宋_GBK" w:hAnsi="方正小标宋_GBK" w:eastAsia="方正小标宋_GBK" w:cs="方正小标宋_GBK"/>
          <w:sz w:val="44"/>
          <w:szCs w:val="36"/>
          <w:lang w:eastAsia="zh-CN"/>
        </w:rPr>
        <w:t>目</w:t>
      </w:r>
      <w:r>
        <w:rPr>
          <w:rFonts w:hint="default" w:ascii="方正小标宋_GBK" w:hAnsi="方正小标宋_GBK" w:eastAsia="方正小标宋_GBK" w:cs="方正小标宋_GBK"/>
          <w:sz w:val="44"/>
          <w:szCs w:val="36"/>
          <w:lang w:val="en" w:eastAsia="zh-CN"/>
        </w:rPr>
        <w:t xml:space="preserve">  </w:t>
      </w:r>
      <w:r>
        <w:rPr>
          <w:rFonts w:hint="eastAsia" w:ascii="方正小标宋_GBK" w:hAnsi="方正小标宋_GBK" w:eastAsia="方正小标宋_GBK" w:cs="方正小标宋_GBK"/>
          <w:sz w:val="44"/>
          <w:szCs w:val="36"/>
          <w:lang w:eastAsia="zh-CN"/>
        </w:rPr>
        <w:t>录</w:t>
      </w:r>
    </w:p>
    <w:p>
      <w:pPr>
        <w:spacing w:line="560" w:lineRule="exact"/>
        <w:jc w:val="left"/>
        <w:rPr>
          <w:rFonts w:hint="eastAsia" w:ascii="方正仿宋_GBK" w:hAnsi="方正仿宋_GBK" w:eastAsia="方正仿宋_GBK" w:cs="方正仿宋_GBK"/>
          <w:b w:val="0"/>
          <w:bCs w:val="0"/>
          <w:sz w:val="32"/>
          <w:szCs w:val="32"/>
        </w:rPr>
      </w:pP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 w:val="0"/>
          <w:bCs w:val="0"/>
          <w:sz w:val="32"/>
          <w:szCs w:val="32"/>
        </w:rPr>
        <w:fldChar w:fldCharType="begin"/>
      </w:r>
      <w:r>
        <w:rPr>
          <w:rFonts w:hint="eastAsia" w:ascii="方正仿宋_GBK" w:hAnsi="方正仿宋_GBK" w:eastAsia="方正仿宋_GBK" w:cs="方正仿宋_GBK"/>
          <w:b w:val="0"/>
          <w:bCs w:val="0"/>
          <w:sz w:val="32"/>
          <w:szCs w:val="32"/>
        </w:rPr>
        <w:instrText xml:space="preserve">TOC \o "1-2" \h \u </w:instrText>
      </w:r>
      <w:r>
        <w:rPr>
          <w:rFonts w:hint="eastAsia" w:ascii="方正仿宋_GBK" w:hAnsi="方正仿宋_GBK" w:eastAsia="方正仿宋_GBK" w:cs="方正仿宋_GBK"/>
          <w:b w:val="0"/>
          <w:bCs w:val="0"/>
          <w:sz w:val="32"/>
          <w:szCs w:val="32"/>
        </w:rPr>
        <w:fldChar w:fldCharType="separate"/>
      </w:r>
      <w:r>
        <w:rPr>
          <w:rFonts w:hint="eastAsia" w:ascii="方正黑体_GBK" w:hAnsi="方正黑体_GBK" w:eastAsia="方正黑体_GBK" w:cs="方正黑体_GBK"/>
          <w:sz w:val="32"/>
          <w:szCs w:val="32"/>
          <w:lang w:eastAsia="zh-CN"/>
        </w:rPr>
        <w:fldChar w:fldCharType="begin"/>
      </w:r>
      <w:r>
        <w:rPr>
          <w:rFonts w:hint="eastAsia" w:ascii="方正黑体_GBK" w:hAnsi="方正黑体_GBK" w:eastAsia="方正黑体_GBK" w:cs="方正黑体_GBK"/>
          <w:sz w:val="32"/>
          <w:szCs w:val="32"/>
          <w:lang w:eastAsia="zh-CN"/>
        </w:rPr>
        <w:instrText xml:space="preserve"> HYPERLINK \l _Toc1802816102 </w:instrText>
      </w:r>
      <w:r>
        <w:rPr>
          <w:rFonts w:hint="eastAsia" w:ascii="方正黑体_GBK" w:hAnsi="方正黑体_GBK" w:eastAsia="方正黑体_GBK" w:cs="方正黑体_GBK"/>
          <w:sz w:val="32"/>
          <w:szCs w:val="32"/>
          <w:lang w:eastAsia="zh-CN"/>
        </w:rPr>
        <w:fldChar w:fldCharType="separate"/>
      </w:r>
      <w:r>
        <w:rPr>
          <w:rFonts w:hint="eastAsia" w:ascii="方正黑体_GBK" w:hAnsi="方正黑体_GBK" w:eastAsia="方正黑体_GBK" w:cs="方正黑体_GBK"/>
          <w:sz w:val="32"/>
          <w:szCs w:val="32"/>
          <w:lang w:eastAsia="zh-CN"/>
        </w:rPr>
        <w:t>第一章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“十三五”发展回顾</w:t>
      </w:r>
      <w:r>
        <w:rPr>
          <w:rFonts w:hint="eastAsia" w:ascii="方正黑体_GBK" w:hAnsi="方正黑体_GBK" w:eastAsia="方正黑体_GBK" w:cs="方正黑体_GBK"/>
          <w:sz w:val="32"/>
          <w:szCs w:val="32"/>
          <w:lang w:eastAsia="zh-CN"/>
        </w:rPr>
        <w:tab/>
      </w:r>
      <w:r>
        <w:rPr>
          <w:rFonts w:hint="eastAsia" w:ascii="方正仿宋_GBK" w:hAnsi="方正仿宋_GBK" w:eastAsia="方正仿宋_GBK" w:cs="方正仿宋_GBK"/>
          <w:sz w:val="32"/>
          <w:szCs w:val="32"/>
          <w:lang w:eastAsia="zh-CN"/>
        </w:rPr>
        <w:fldChar w:fldCharType="begin"/>
      </w:r>
      <w:r>
        <w:rPr>
          <w:rFonts w:hint="eastAsia" w:ascii="方正仿宋_GBK" w:hAnsi="方正仿宋_GBK" w:eastAsia="方正仿宋_GBK" w:cs="方正仿宋_GBK"/>
          <w:sz w:val="32"/>
          <w:szCs w:val="32"/>
          <w:lang w:eastAsia="zh-CN"/>
        </w:rPr>
        <w:instrText xml:space="preserve"> PAGEREF _Toc1802816102 </w:instrText>
      </w:r>
      <w:r>
        <w:rPr>
          <w:rFonts w:hint="eastAsia" w:ascii="方正仿宋_GBK" w:hAnsi="方正仿宋_GBK" w:eastAsia="方正仿宋_GBK" w:cs="方正仿宋_GBK"/>
          <w:sz w:val="32"/>
          <w:szCs w:val="32"/>
          <w:lang w:eastAsia="zh-CN"/>
        </w:rPr>
        <w:fldChar w:fldCharType="separate"/>
      </w:r>
      <w:r>
        <w:rPr>
          <w:rFonts w:hint="eastAsia" w:ascii="方正仿宋_GBK" w:hAnsi="方正仿宋_GBK" w:eastAsia="方正仿宋_GBK" w:cs="方正仿宋_GBK"/>
          <w:sz w:val="32"/>
          <w:szCs w:val="32"/>
          <w:lang w:eastAsia="zh-CN"/>
        </w:rPr>
        <w:t>7</w:t>
      </w:r>
      <w:r>
        <w:rPr>
          <w:rFonts w:hint="eastAsia" w:ascii="方正仿宋_GBK" w:hAnsi="方正仿宋_GBK" w:eastAsia="方正仿宋_GBK" w:cs="方正仿宋_GBK"/>
          <w:sz w:val="32"/>
          <w:szCs w:val="32"/>
          <w:lang w:eastAsia="zh-CN"/>
        </w:rPr>
        <w:fldChar w:fldCharType="end"/>
      </w:r>
      <w:r>
        <w:rPr>
          <w:rFonts w:hint="eastAsia" w:ascii="方正黑体_GBK" w:hAnsi="方正黑体_GBK" w:eastAsia="方正黑体_GBK" w:cs="方正黑体_GBK"/>
          <w:sz w:val="32"/>
          <w:szCs w:val="32"/>
          <w:lang w:eastAsia="zh-CN"/>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_Toc1544044728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bCs w:val="0"/>
          <w:sz w:val="32"/>
          <w:szCs w:val="32"/>
          <w:lang w:eastAsia="zh-CN"/>
        </w:rPr>
        <w:t>第一节</w:t>
      </w:r>
      <w:r>
        <w:rPr>
          <w:rFonts w:hint="eastAsia" w:ascii="方正仿宋_GBK" w:hAnsi="方正仿宋_GBK" w:eastAsia="方正仿宋_GBK" w:cs="方正仿宋_GBK"/>
          <w:bCs w:val="0"/>
          <w:sz w:val="32"/>
          <w:szCs w:val="32"/>
          <w:lang w:val="en-US" w:eastAsia="zh-CN"/>
        </w:rPr>
        <w:t xml:space="preserve">  </w:t>
      </w:r>
      <w:r>
        <w:rPr>
          <w:rFonts w:hint="eastAsia" w:ascii="方正仿宋_GBK" w:hAnsi="方正仿宋_GBK" w:eastAsia="方正仿宋_GBK" w:cs="方正仿宋_GBK"/>
          <w:bCs w:val="0"/>
          <w:sz w:val="32"/>
          <w:szCs w:val="32"/>
        </w:rPr>
        <w:t>主要成效</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_Toc1544044728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_Toc1542708169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“十三五”规划项目实施评估</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_Toc1542708169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_Toc1694594331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存在不足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_Toc1694594331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_Toc839066463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第二章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“十四五”时期面临形势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_Toc839066463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_Toc1367238941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新形势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_Toc1367238941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_Toc1922616237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新机遇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_Toc1922616237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_Toc478948638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需求预测</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_Toc478948638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18</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_Toc1061682818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第三章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指导思想、基本原则与发展目标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_Toc1061682818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_Toc1912101580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指导思想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_Toc1912101580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_Toc1228995265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基本原则</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_Toc1228995265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_Toc800848948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发展目标</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_Toc800848948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27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_Toc1456808071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第四章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主要任务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_Toc1456808071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_Toc2135603585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提升清扫保洁作业水平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_Toc2135603585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32</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_Toc1553810240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健全垃圾收运处理体系</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_Toc1553810240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33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_Toc1922931479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落实公厕、粪便管理工作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_Toc1922931479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40</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_Toc9310898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第四节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补齐环卫设施短板</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_Toc9310898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_Toc338823833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第五节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规范二次污染治理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_Toc338823833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_Toc1932597155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第六节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提升精细管理水平</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_Toc1932597155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44</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_Toc1667294277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第七节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加强成渝地区合作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_Toc1667294277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_Toc1033813110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第八节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强化环卫队伍保障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_Toc1033813110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_Toc1727659384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第九节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规范监管落实保障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_Toc1727659384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_Toc1368048611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第十节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提升应急保障能力</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_Toc1368048611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_Toc860211847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第五章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项目库、投资估算与建设时序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_Toc860211847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_Toc452194476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项目库及投资估算</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_Toc452194476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49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_Toc92346075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项目建设时序</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_Toc92346075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51</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_Toc1052352558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第六章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加强生态环境保护</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_Toc1052352558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_Toc401007831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环境影响分析和评估</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_Toc401007831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_Toc433350647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预防和减轻不良环境影响对策和措施</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_Toc433350647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53</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7"/>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_Toc1120493043 </w:instrText>
      </w:r>
      <w:r>
        <w:rPr>
          <w:rFonts w:hint="eastAsia" w:ascii="方正仿宋_GBK" w:hAnsi="方正仿宋_GBK" w:eastAsia="方正仿宋_GBK" w:cs="方正仿宋_GBK"/>
          <w:bCs w:val="0"/>
          <w:sz w:val="32"/>
          <w:szCs w:val="32"/>
        </w:rPr>
        <w:fldChar w:fldCharType="separate"/>
      </w:r>
      <w:r>
        <w:rPr>
          <w:rFonts w:hint="eastAsia" w:ascii="方正黑体_GBK" w:hAnsi="方正黑体_GBK" w:eastAsia="方正黑体_GBK" w:cs="方正黑体_GBK"/>
          <w:sz w:val="32"/>
          <w:szCs w:val="32"/>
          <w:lang w:eastAsia="zh-CN"/>
        </w:rPr>
        <w:t>第七章</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保障措施</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_Toc1120493043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_Toc143787067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第一节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坚持以人为本，提高社会参与</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_Toc143787067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_Toc88683101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第二节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完善政策保障，加大行业监管</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_Toc88683101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_Toc517054124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第三节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健全评估体系，加强长效管理</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_Toc517054124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55</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_Toc1686495237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lang w:eastAsia="zh-CN"/>
        </w:rPr>
        <w:t>第四节</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加强资金保障，推动市场运作</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_Toc1686495237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56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_Toc1783277432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附图一</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区位分析图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_Toc1783277432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76</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_Toc1356120587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附图二</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环卫设施现状分布图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_Toc1356120587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77</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_Toc906250530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附图三</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生活垃圾转运设施规划示意图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_Toc906250530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78</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_Toc1558410021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附图四</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环卫处理设施规划示意图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_Toc1558410021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_Toc1835069225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附图五</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环卫车辆排污点规划示意图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_Toc1835069225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79</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pStyle w:val="8"/>
        <w:tabs>
          <w:tab w:val="right" w:leader="dot" w:pos="8844"/>
        </w:tabs>
        <w:rPr>
          <w:rFonts w:hint="eastAsia" w:ascii="方正仿宋_GBK" w:hAnsi="方正仿宋_GBK" w:eastAsia="方正仿宋_GBK" w:cs="方正仿宋_GBK"/>
          <w:sz w:val="32"/>
          <w:szCs w:val="32"/>
        </w:rPr>
      </w:pPr>
      <w:r>
        <w:rPr>
          <w:rFonts w:hint="eastAsia" w:ascii="方正仿宋_GBK" w:hAnsi="方正仿宋_GBK" w:eastAsia="方正仿宋_GBK" w:cs="方正仿宋_GBK"/>
          <w:bCs w:val="0"/>
          <w:sz w:val="32"/>
          <w:szCs w:val="32"/>
        </w:rPr>
        <w:fldChar w:fldCharType="begin"/>
      </w:r>
      <w:r>
        <w:rPr>
          <w:rFonts w:hint="eastAsia" w:ascii="方正仿宋_GBK" w:hAnsi="方正仿宋_GBK" w:eastAsia="方正仿宋_GBK" w:cs="方正仿宋_GBK"/>
          <w:bCs w:val="0"/>
          <w:sz w:val="32"/>
          <w:szCs w:val="32"/>
        </w:rPr>
        <w:instrText xml:space="preserve"> HYPERLINK \l _Toc1967933348 </w:instrText>
      </w:r>
      <w:r>
        <w:rPr>
          <w:rFonts w:hint="eastAsia" w:ascii="方正仿宋_GBK" w:hAnsi="方正仿宋_GBK" w:eastAsia="方正仿宋_GBK" w:cs="方正仿宋_GBK"/>
          <w:bCs w:val="0"/>
          <w:sz w:val="32"/>
          <w:szCs w:val="32"/>
        </w:rPr>
        <w:fldChar w:fldCharType="separate"/>
      </w:r>
      <w:r>
        <w:rPr>
          <w:rFonts w:hint="eastAsia" w:ascii="方正仿宋_GBK" w:hAnsi="方正仿宋_GBK" w:eastAsia="方正仿宋_GBK" w:cs="方正仿宋_GBK"/>
          <w:sz w:val="32"/>
          <w:szCs w:val="32"/>
        </w:rPr>
        <w:t>附图六</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入城洗车场规划示意图</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PAGEREF _Toc1967933348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80</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bCs w:val="0"/>
          <w:sz w:val="32"/>
          <w:szCs w:val="32"/>
        </w:rPr>
        <w:fldChar w:fldCharType="end"/>
      </w:r>
    </w:p>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bCs w:val="0"/>
          <w:sz w:val="32"/>
          <w:szCs w:val="32"/>
        </w:rPr>
        <w:fldChar w:fldCharType="end"/>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pStyle w:val="2"/>
        <w:bidi w:val="0"/>
        <w:rPr>
          <w:rFonts w:hint="eastAsia"/>
        </w:rPr>
      </w:pPr>
      <w:bookmarkStart w:id="15" w:name="_Toc87624928"/>
      <w:bookmarkStart w:id="16" w:name="_Toc70592231"/>
      <w:bookmarkStart w:id="17" w:name="_Toc1802816102"/>
      <w:bookmarkStart w:id="18" w:name="_Toc87717259"/>
      <w:r>
        <w:rPr>
          <w:rFonts w:hint="eastAsia"/>
          <w:lang w:eastAsia="zh-CN"/>
        </w:rPr>
        <w:t>第一章</w:t>
      </w:r>
      <w:r>
        <w:rPr>
          <w:rFonts w:hint="eastAsia"/>
          <w:lang w:val="en-US" w:eastAsia="zh-CN"/>
        </w:rPr>
        <w:t xml:space="preserve">  </w:t>
      </w:r>
      <w:r>
        <w:rPr>
          <w:rFonts w:hint="eastAsia"/>
        </w:rPr>
        <w:t>“十三五”发展回顾</w:t>
      </w:r>
      <w:bookmarkEnd w:id="15"/>
      <w:bookmarkEnd w:id="16"/>
      <w:bookmarkEnd w:id="17"/>
      <w:bookmarkEnd w:id="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十三五”时期是全面建成小康社会决胜阶段，我区全面贯彻党中央战略决策和市委安排部署，围绕重庆市“科学发展、富民兴渝”总任务，积极融入成渝地区双城经济圈建设，经济社会发展各项事业迈上新台阶。全区强化完善社会治理体系，提升环境保护意识，加大环境卫生事业发展投入，落实环境卫生治理措施，城乡环境卫生工作取得显著成效，人民群众的获得感、幸福感显著增强，为开启社会主义现代化建设新征程奠定了坚实基础。</w:t>
      </w:r>
    </w:p>
    <w:p>
      <w:pPr>
        <w:pStyle w:val="4"/>
        <w:keepNext/>
        <w:keepLines/>
        <w:pageBreakBefore w:val="0"/>
        <w:widowControl w:val="0"/>
        <w:kinsoku/>
        <w:wordWrap/>
        <w:overflowPunct/>
        <w:topLinePunct w:val="0"/>
        <w:autoSpaceDE/>
        <w:autoSpaceDN/>
        <w:bidi w:val="0"/>
        <w:adjustRightInd/>
        <w:snapToGrid w:val="0"/>
        <w:spacing w:before="581" w:beforeLines="100" w:after="581" w:afterLines="100"/>
        <w:textAlignment w:val="auto"/>
        <w:rPr>
          <w:rFonts w:hint="eastAsia"/>
          <w:b w:val="0"/>
          <w:bCs w:val="0"/>
        </w:rPr>
      </w:pPr>
      <w:bookmarkStart w:id="19" w:name="_Toc70592232"/>
      <w:bookmarkStart w:id="20" w:name="_Toc87717260"/>
      <w:bookmarkStart w:id="21" w:name="_Toc87624929"/>
      <w:bookmarkStart w:id="22" w:name="_Toc1544044728"/>
      <w:r>
        <w:rPr>
          <w:rFonts w:hint="eastAsia"/>
          <w:b w:val="0"/>
          <w:bCs w:val="0"/>
          <w:lang w:eastAsia="zh-CN"/>
        </w:rPr>
        <w:t>第一节</w:t>
      </w:r>
      <w:r>
        <w:rPr>
          <w:rFonts w:hint="eastAsia"/>
          <w:b w:val="0"/>
          <w:bCs w:val="0"/>
          <w:lang w:val="en-US" w:eastAsia="zh-CN"/>
        </w:rPr>
        <w:t xml:space="preserve">  </w:t>
      </w:r>
      <w:r>
        <w:rPr>
          <w:rFonts w:hint="eastAsia"/>
          <w:b w:val="0"/>
          <w:bCs w:val="0"/>
        </w:rPr>
        <w:t>主要成效</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bookmarkStart w:id="23" w:name="_Hlk70071239"/>
      <w:r>
        <w:rPr>
          <w:rFonts w:hint="eastAsia" w:ascii="方正仿宋_GBK" w:hAnsi="方正仿宋_GBK" w:eastAsia="方正仿宋_GBK" w:cs="方正仿宋_GBK"/>
          <w:sz w:val="32"/>
          <w:szCs w:val="32"/>
          <w:lang w:val="zh-CN"/>
        </w:rPr>
        <w:t>“十三五”期间，全区环境卫生事业长足发展，环境卫生事业发展水平跻身全市第一方阵，城乡环境质量大幅跃升。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lang w:val="zh-CN"/>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环卫清扫清漂作业效能提高，城乡环境全面提升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道路清扫面积和机械化率稳步增长。“十三五”期间，全区开展清扫改革，道路清扫保洁面积不断增加，机械化装备配置逐步完善，道路清扫作业向机械化、现代化方向迈进，清扫保洁质量和精细化水平显著提升。目前，全区共有扫地车21辆（清洗扫地车17辆，扫地车4辆），清洗车53辆（高压清洗车16辆，清洗车25辆，护栏清洗车2辆，路面养护车6辆，抑尘车4辆）。截至2020年底，全区道路清扫面积达756.00万平方米，</w:t>
      </w:r>
      <w:r>
        <w:rPr>
          <w:rFonts w:hint="eastAsia" w:ascii="方正仿宋_GBK" w:hAnsi="方正仿宋_GBK" w:eastAsia="方正仿宋_GBK" w:cs="方正仿宋_GBK"/>
          <w:sz w:val="32"/>
          <w:szCs w:val="32"/>
        </w:rPr>
        <w:t>道路清扫覆盖率达100%</w:t>
      </w:r>
      <w:r>
        <w:rPr>
          <w:rFonts w:hint="eastAsia" w:ascii="方正仿宋_GBK" w:hAnsi="方正仿宋_GBK" w:eastAsia="方正仿宋_GBK" w:cs="方正仿宋_GBK"/>
          <w:sz w:val="32"/>
          <w:szCs w:val="32"/>
          <w:lang w:val="zh-CN"/>
        </w:rPr>
        <w:t>，机械化清扫率达43.72%，其中城区主要道路机械化清扫率达90%以上。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水域清漂成效显著，水域环境改善较大。全区深入落实河长制，制定专项行动方案，广泛开展整治专项活动，加大巡河力度及频次，加强河道清淤、清漂、疏浚工作，水域清漂保洁工作成效显著，水域环境改善较大。目前，全区水域清漂作业船舶共计18艘（机动船1艘，塑料船17艘）。城区水域垃圾产生量基本稳定在一定范围内，“十三五”期间，城区平均清理水域垃圾约1275.00吨/年。</w:t>
      </w:r>
    </w:p>
    <w:bookmarkEnd w:id="23"/>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生活垃圾分类卓有成效，设施设备配置逐步完善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清运总量逐年增长。“十三五”期间，全区生活垃圾清运量逐年递增，其中，随着餐厨垃圾单独收运工作的高质量开展，餐厨垃圾清运总量增幅较大。截至2020年底，全区生活垃圾（不包含餐厨垃圾）清运总量达17.13万吨，城镇人均生活垃圾清运量约0.86千克/日，农村约0.46千克/日。餐厨垃圾清运总量达1.87万吨，城镇人均餐厨垃圾清运量约0.13千克/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分类工作有序推进。按照习近平总书记关于生活垃圾分类系列重要讲话精神和市委、市政府对垃圾分类的工作部署，坚持“减量化、资源化、无害化”原则，编制印发《荣昌区生活垃圾分类制度实施方案（2019—2022）》，加强科学管理，形成长效机制，推动习惯养成，扩大生活垃圾分类制度覆盖范围，生活垃圾分类成效大幅提高。截至2020年底，城区建成生活垃圾分类示范点16处，包括示范街道3个、示范小区6个、示范单位7个；全区86家公共机构参与垃圾分类，党政机关基本实现垃圾分类全覆盖；全区建成垃圾分类示范村20个。各示范点工作机制健全，宣传氛围良好，群众垃圾分类知晓率达95%，参与率达80%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生活垃圾转运能力大幅提升。“十三五”期间，全区有序推进生活垃圾转运设施建设和升级改造，生活垃圾转运设施向压缩式、密闭式转变。目前，全区生活垃圾中转站共计34座，</w:t>
      </w:r>
      <w:bookmarkStart w:id="24" w:name="_Hlk77168195"/>
      <w:r>
        <w:rPr>
          <w:rFonts w:hint="eastAsia" w:ascii="方正仿宋_GBK" w:hAnsi="方正仿宋_GBK" w:eastAsia="方正仿宋_GBK" w:cs="方正仿宋_GBK"/>
          <w:sz w:val="32"/>
          <w:szCs w:val="32"/>
          <w:lang w:val="zh-CN"/>
        </w:rPr>
        <w:t>总转运能力达1047.00吨/日</w:t>
      </w:r>
      <w:bookmarkEnd w:id="24"/>
      <w:r>
        <w:rPr>
          <w:rFonts w:hint="eastAsia" w:ascii="方正仿宋_GBK" w:hAnsi="方正仿宋_GBK" w:eastAsia="方正仿宋_GBK" w:cs="方正仿宋_GBK"/>
          <w:sz w:val="32"/>
          <w:szCs w:val="32"/>
          <w:lang w:val="zh-CN"/>
        </w:rPr>
        <w:t>，其中城区10座，转运能力共计460.00吨/日；镇街24座，转运能力共计587.00吨/日。环卫专用车辆数量持续增加，车辆密闭性和机械化水平不断提高。全区生活垃圾运输车辆共计128辆，其中压缩式垃圾车13辆，勾臂车106辆，餐厨垃圾运输车9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生活垃圾处理基本实现全量无害化。全区生活垃圾处理方式主要为卫生填埋，餐厨垃圾运至永川区餐厨垃圾处理厂进行资源化利用。目前，全区共有生活垃圾填埋场1座，设计处理能力260.00吨/日，为提高资源循环利用水平及有效防控二次污染，配套建设了填埋气收集发电设备和渗滤液处理设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农村生活垃圾长效治理，农村人居环境有效改善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贯彻落实重庆市关于农村生活垃圾长效治理相关文件精神，制订了《荣昌区农村生活垃圾治理工作实施方案》、《荣昌区农村生活垃圾治理长效工作机制方案》，通过逐级完善保洁制度，规范垃圾收运设施，推行垃圾分类减量，严格收运处置管理，扎实推进农村生活垃圾长效治理工作，提高农村生活垃圾资源化、减量化、无害化处理能力。目前，全区农村生活垃圾治理专（兼）职管理人员76人，保洁员1035人，垃圾桶8662个，垃圾箱5481个，垃圾运输车81辆，镇和村级可再生资源回收站点138个，92个行政村全部签订了农村环境卫生相关村规民约，全区农村生活垃圾有效治理行政村覆盖率达100%，人居环境改善显著，顺利通过市级验收和全国验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建筑垃圾安全处置，资源化处理能力大幅提升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bookmarkStart w:id="25" w:name="_Hlk69916204"/>
      <w:r>
        <w:rPr>
          <w:rFonts w:hint="eastAsia" w:ascii="方正仿宋_GBK" w:hAnsi="方正仿宋_GBK" w:eastAsia="方正仿宋_GBK" w:cs="方正仿宋_GBK"/>
          <w:sz w:val="32"/>
          <w:szCs w:val="32"/>
          <w:lang w:val="zh-CN"/>
        </w:rPr>
        <w:t>全区建筑垃圾</w:t>
      </w:r>
      <w:r>
        <w:rPr>
          <w:rFonts w:hint="eastAsia" w:ascii="方正仿宋_GBK" w:hAnsi="方正仿宋_GBK" w:eastAsia="方正仿宋_GBK" w:cs="方正仿宋_GBK"/>
          <w:sz w:val="32"/>
          <w:szCs w:val="32"/>
        </w:rPr>
        <w:t>综合管理工作稳步推进，</w:t>
      </w:r>
      <w:r>
        <w:rPr>
          <w:rFonts w:hint="eastAsia" w:ascii="方正仿宋_GBK" w:hAnsi="方正仿宋_GBK" w:eastAsia="方正仿宋_GBK" w:cs="方正仿宋_GBK"/>
          <w:sz w:val="32"/>
          <w:szCs w:val="32"/>
          <w:lang w:val="zh-CN"/>
        </w:rPr>
        <w:t>全过程监管不断强化，《重庆市荣昌区城区建设工程弃土管理办法》出台印发，建筑垃圾运输、消纳整治行动广泛开展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zh-CN"/>
        </w:rPr>
        <w:t>安全处置能力和水平大幅提升</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zh-CN"/>
        </w:rPr>
        <w:t>“十三五”</w:t>
      </w:r>
      <w:r>
        <w:rPr>
          <w:rFonts w:hint="eastAsia" w:ascii="方正仿宋_GBK" w:hAnsi="方正仿宋_GBK" w:eastAsia="方正仿宋_GBK" w:cs="方正仿宋_GBK"/>
          <w:sz w:val="32"/>
          <w:szCs w:val="32"/>
        </w:rPr>
        <w:t>期间，</w:t>
      </w:r>
      <w:r>
        <w:rPr>
          <w:rFonts w:hint="eastAsia" w:ascii="方正仿宋_GBK" w:hAnsi="方正仿宋_GBK" w:eastAsia="方正仿宋_GBK" w:cs="方正仿宋_GBK"/>
          <w:sz w:val="32"/>
          <w:szCs w:val="32"/>
          <w:lang w:val="zh-CN"/>
        </w:rPr>
        <w:t>全区建筑垃圾清运量和处理量稳步提升，2020年共计约12.82万吨，其中城区12.67万吨，镇街0.15万吨。目前，城区新建成（未运行）建筑垃圾资源化利用厂1座，处理能力1000.00吨/日，投入运行后全区建筑垃圾处理能力和资源化利用水平将大幅跃升。</w:t>
      </w:r>
    </w:p>
    <w:bookmarkEnd w:id="25"/>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大件垃圾产量增长，园林垃圾资源化利用方式初步确定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暂无大件垃圾处理设施，大件垃圾中高回收价值的家用电器、电子产品和部分家具主要由市场回收，其余部分则与生活垃圾一同收运、填埋处理。随着社会经济高速发展，居民生活水平快速提升，全区大件垃圾产生量不断增长。截至2020年底，城区大件垃圾清运量约2640.00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随着城市绿化管养面积不断扩大，园林垃圾产生量大幅增加。截至2020年底，城区园林垃圾清运量达3000.00吨。同时，全区积极探索资源循环利用方式，推动园林垃圾处理设施建设，应用堆肥处理技术生产有机肥产品，实现节能减排，变废为宝。</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公共厕所服务能力大幅跃升，城市粪便清运及时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公厕数量有序增加，服务水平稳步提升。全区持续深化“厕所革命”，增加公厕数量，优化公厕布局，实现公厕服务范围高水平覆盖。城区持续开展公厕提档升级工作，公厕配置标准及智慧化水平不断提高。目前，全区环境卫生直管公厕共计202座，其中城区81座，镇街121座。城区一、二类公厕达66座，占比约81.48%，公厕配置标准、服务能力和水平较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城市粪便产量基本稳定，清掏运输及时有序。全区粪便处理设施由专人管理、定期进行清掏维护。截至2020年底，全区共有粪便处理设施2346座（储粪池93座、化粪池1595座、生化池3座），其中城区1691座，镇街655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w:t>
      </w:r>
      <w:r>
        <w:rPr>
          <w:rFonts w:hint="eastAsia" w:ascii="方正黑体_GBK" w:hAnsi="方正黑体_GBK" w:eastAsia="方正黑体_GBK" w:cs="方正黑体_GBK"/>
          <w:sz w:val="32"/>
          <w:szCs w:val="32"/>
        </w:rPr>
        <w:t>其他环卫设施短板不断补齐，管理基础逐步筑牢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全区加强环卫停车场、环卫休息场所、入城洗车场、洒水车供水器等其他环卫设施建设，进一步巩固环卫管理基础，提高环卫管理水平，强化对环卫一线作业人员的关爱和保障，促进全区环卫工作水平整体跃升。目前，全区共有环卫车辆专用停车场11处，总面积达1.7公顷，基本满足环卫车辆停放需求。环卫工人休息场所30座，其中，城区23座，镇街7座，为环卫工人提供了较为齐全的休息设施和物资。洒水车供水器15处，环卫车辆排污点1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环卫智慧管理平台初步建立，智慧城管有序推进</w:t>
      </w:r>
      <w:r>
        <w:rPr>
          <w:rFonts w:hint="eastAsia" w:ascii="方正仿宋_GBK" w:hAnsi="方正仿宋_GBK" w:eastAsia="方正仿宋_GBK" w:cs="方正仿宋_GBK"/>
          <w:sz w:val="32"/>
          <w:szCs w:val="32"/>
          <w:lang w:val="zh-CN"/>
        </w:rPr>
        <w:t>“十三五”期间，为贯彻“推进智慧城市建设”的精神，落实《重庆市深入推进智慧城市建设的总体方案（2016—2020）》、《重庆市人民政府办公厅关于推进智慧城管建设的指导意见》有关要求，全区大力推进智慧环卫建设，拓展智慧环卫应用范围，提升环卫管理精细化、规范化、科学化水平，加快实现环卫管理要素、过程、决策等全方位的信息化、智慧化。目前，全区初步建立环卫信息监管系统，建成智慧环卫管理平台、基础台账、安装车辆GPS系统和一线员工定位系统，全区共有89辆机械作业车辆安装GPS系统，可视频实时监控车辆26辆，智慧环卫应用水平不断提高。</w:t>
      </w:r>
    </w:p>
    <w:p>
      <w:pPr>
        <w:pStyle w:val="4"/>
        <w:bidi w:val="0"/>
        <w:rPr>
          <w:rFonts w:hint="eastAsia" w:ascii="方正仿宋_GBK" w:hAnsi="方正仿宋_GBK" w:eastAsia="方正仿宋_GBK" w:cs="方正仿宋_GBK"/>
          <w:sz w:val="32"/>
          <w:szCs w:val="32"/>
          <w:lang w:val="zh-CN"/>
        </w:rPr>
      </w:pPr>
      <w:bookmarkStart w:id="26" w:name="_Toc87624930"/>
      <w:bookmarkStart w:id="27" w:name="_Toc1542708169"/>
      <w:bookmarkStart w:id="28" w:name="_Toc87717261"/>
      <w:r>
        <w:rPr>
          <w:rFonts w:hint="eastAsia"/>
          <w:lang w:eastAsia="zh-CN"/>
        </w:rPr>
        <w:t>第二节</w:t>
      </w:r>
      <w:r>
        <w:rPr>
          <w:rFonts w:hint="eastAsia"/>
          <w:lang w:val="en-US" w:eastAsia="zh-CN"/>
        </w:rPr>
        <w:t xml:space="preserve">  </w:t>
      </w:r>
      <w:r>
        <w:rPr>
          <w:rFonts w:hint="eastAsia"/>
        </w:rPr>
        <w:t>“十三五”规划项目实施评估</w:t>
      </w:r>
      <w:bookmarkEnd w:id="26"/>
      <w:bookmarkEnd w:id="27"/>
      <w:bookmarkEnd w:id="2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由于我区未编制城乡环境卫生发展“十三五”规划，本次评估对象为《重庆市荣昌区“十三五”生态文明建设规划》，针对其中环卫项目实施情况进行评估。“十三五”期间，全区环卫项目基本完成了规划确定的目标，具体完成情况详见表1-1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表1-1 “十三五”规划项目实施情况表</w:t>
      </w:r>
    </w:p>
    <w:tbl>
      <w:tblPr>
        <w:tblStyle w:val="9"/>
        <w:tblW w:w="8775"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714"/>
        <w:gridCol w:w="1380"/>
        <w:gridCol w:w="4128"/>
        <w:gridCol w:w="979"/>
        <w:gridCol w:w="1574"/>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74" w:hRule="atLeast"/>
        </w:trPr>
        <w:tc>
          <w:tcPr>
            <w:tcW w:w="7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序号</w:t>
            </w:r>
          </w:p>
        </w:tc>
        <w:tc>
          <w:tcPr>
            <w:tcW w:w="55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“十三五”重点工程表</w:t>
            </w:r>
          </w:p>
        </w:tc>
        <w:tc>
          <w:tcPr>
            <w:tcW w:w="9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完成情况</w:t>
            </w:r>
          </w:p>
        </w:tc>
        <w:tc>
          <w:tcPr>
            <w:tcW w:w="15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7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sz w:val="24"/>
                <w:szCs w:val="24"/>
                <w:lang w:val="zh-CN"/>
              </w:rPr>
            </w:pP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工程名称</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r>
              <w:rPr>
                <w:rFonts w:hint="eastAsia" w:ascii="方正黑体_GBK" w:hAnsi="方正黑体_GBK" w:eastAsia="方正黑体_GBK" w:cs="方正黑体_GBK"/>
                <w:sz w:val="24"/>
                <w:szCs w:val="24"/>
                <w:lang w:val="zh-CN"/>
              </w:rPr>
              <w:t>工程内容</w:t>
            </w:r>
          </w:p>
        </w:tc>
        <w:tc>
          <w:tcPr>
            <w:tcW w:w="9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p>
        </w:tc>
        <w:tc>
          <w:tcPr>
            <w:tcW w:w="15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67"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1</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存量垃圾治理</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华江厂、益民厂老垃圾场封场、绿化和管网建设。</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151"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2</w:t>
            </w:r>
          </w:p>
        </w:tc>
        <w:tc>
          <w:tcPr>
            <w:tcW w:w="13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农村生活垃圾收运体系建设</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镇街农村增配垃圾桶3212个，垃圾箱1543个，长安钩臂车20辆，两轮手推车1298辆</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98"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3</w:t>
            </w:r>
          </w:p>
        </w:tc>
        <w:tc>
          <w:tcPr>
            <w:tcW w:w="13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区农村增配双后桥垃圾钩臂车5辆，压缩箱10个</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35"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4</w:t>
            </w:r>
          </w:p>
        </w:tc>
        <w:tc>
          <w:tcPr>
            <w:tcW w:w="13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存量垃圾治理，治理量93700吨。</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153"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5</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餐厨垃圾处理系统</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新建30吨/日餐厨垃圾处理厂，垃圾集中收运点，餐厨垃圾运输车及相关配套设施</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规划变更</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现状餐厨垃圾进入永川餐厨垃圾处理厂</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225"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6</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荣昌污泥处置中心</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在荣昌污水处理厂新建50吨/日荣昌污泥处置中心，工艺为深度脱水-生活垃圾协同焚烧/填埋</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46"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7</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垃圾焚烧项目</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荣昌区双河镇建设600吨/日的垃圾焚烧发电厂</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规划变更</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002" w:hRule="atLeast"/>
        </w:trPr>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8</w:t>
            </w:r>
          </w:p>
        </w:tc>
        <w:tc>
          <w:tcPr>
            <w:tcW w:w="13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垃圾填埋场渗滤液处理设施</w:t>
            </w:r>
          </w:p>
        </w:tc>
        <w:tc>
          <w:tcPr>
            <w:tcW w:w="41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在荣昌区城市生活垃圾处理场改建填埋场渗滤液处理设施130吨/日</w:t>
            </w:r>
          </w:p>
        </w:tc>
        <w:tc>
          <w:tcPr>
            <w:tcW w:w="9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完成</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lang w:val="zh-CN"/>
              </w:rPr>
            </w:pPr>
            <w:r>
              <w:rPr>
                <w:rFonts w:hint="eastAsia" w:ascii="方正仿宋_GBK" w:hAnsi="方正仿宋_GBK" w:eastAsia="方正仿宋_GBK" w:cs="方正仿宋_GBK"/>
                <w:sz w:val="24"/>
                <w:szCs w:val="24"/>
                <w:lang w:val="zh-CN"/>
              </w:rPr>
              <w:t>现状处理能力达350吨/日</w:t>
            </w:r>
          </w:p>
        </w:tc>
      </w:tr>
    </w:tbl>
    <w:p>
      <w:pPr>
        <w:pStyle w:val="4"/>
        <w:bidi w:val="0"/>
        <w:rPr>
          <w:rFonts w:hint="eastAsia" w:ascii="方正仿宋_GBK" w:hAnsi="方正仿宋_GBK" w:eastAsia="方正仿宋_GBK" w:cs="方正仿宋_GBK"/>
          <w:sz w:val="32"/>
          <w:szCs w:val="32"/>
          <w:lang w:val="zh-CN"/>
        </w:rPr>
      </w:pPr>
      <w:bookmarkStart w:id="29" w:name="_Toc70592233"/>
      <w:bookmarkStart w:id="30" w:name="_Toc87717262"/>
      <w:bookmarkStart w:id="31" w:name="_Toc1694594331"/>
      <w:bookmarkStart w:id="32" w:name="_Toc87624931"/>
      <w:r>
        <w:rPr>
          <w:rFonts w:hint="eastAsia"/>
          <w:lang w:eastAsia="zh-CN"/>
        </w:rPr>
        <w:t>第三节</w:t>
      </w:r>
      <w:r>
        <w:rPr>
          <w:rFonts w:hint="eastAsia"/>
          <w:lang w:val="en-US" w:eastAsia="zh-CN"/>
        </w:rPr>
        <w:t xml:space="preserve">  </w:t>
      </w:r>
      <w:r>
        <w:rPr>
          <w:rFonts w:hint="eastAsia"/>
        </w:rPr>
        <w:t>存在</w:t>
      </w:r>
      <w:bookmarkEnd w:id="29"/>
      <w:r>
        <w:rPr>
          <w:rFonts w:hint="eastAsia"/>
        </w:rPr>
        <w:t>不足</w:t>
      </w:r>
      <w:bookmarkEnd w:id="30"/>
      <w:bookmarkEnd w:id="31"/>
      <w:bookmarkEnd w:id="3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“十三五”时期，荣昌环境卫生事业发展取得重大进步的同时，也存在一定的不足。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环卫设施建设有待加强，环卫设备有待更新。生活垃圾分类收集设施、转运设施分类设备尚未配套完善，无法匹配生活垃圾分类的推进进度；现状生活垃圾处理方式较为单一，厨余垃圾无专项处理设施，城镇餐厨垃圾尚未全量资源化处理；生活源有害垃圾缺乏规范的存放设施。建筑垃圾资源化处理设施未投入运行，装修垃圾分选、填埋设施缺乏。大件垃圾缺少规范的分选设施；园林垃圾和水域垃圾缺乏稳定合理的资源化处理设施。公共厕所、环卫工人休息场所、入城洗车场等现状环卫公共设施数量低于标准配置要求，设施功能较为单一，智慧化应用不足。环卫专用车辆、水域清漂船只等环卫作业设备仍需更新升级。农村垃圾治理仍需进一步深入自然村组，地方宣传教育引导力度需进一步加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智慧环卫平台初步建立，管理应用水平不高。现状智慧环卫综合监控覆盖面较小，环卫车辆、垃圾转运和垃圾处置终端等管理对象尚未全部纳入环卫综合监控系统，环卫管理智慧应用水平不高。区智慧管理系统尚未与市城管局建立的总部“智慧环卫”管理系统联网，无法实现实时交流、统筹安排、推进各类事务的进行，环卫智慧管理体系有待进一步完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sz w:val="32"/>
          <w:szCs w:val="32"/>
          <w:lang w:val="zh-CN"/>
        </w:rPr>
        <w:t>环卫保障能力仍需加强，专业人才亟需扩充。随着环境卫生事业的发展，高素质管理人员和专业技术人员不足的问题日益突出，专业人才队伍亟需扩充。环卫一线作业人员老龄化程度高，文化和业务水平相对较低，无法满足环卫作业机械化、智能化发展的需求。环卫应急保障能力有待提升，节假日、活动日、突发事件（如洪水、防疫）等应急保障能力建设的资金投入、移动式环卫设施设备、人员储备仍需加强。</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lang w:eastAsia="zh-CN"/>
        </w:rPr>
      </w:pPr>
      <w:bookmarkStart w:id="33" w:name="_Toc87624932"/>
      <w:bookmarkStart w:id="34" w:name="_Toc8771726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35" w:name="_Toc839066463"/>
      <w:r>
        <w:rPr>
          <w:rFonts w:hint="eastAsia"/>
          <w:lang w:eastAsia="zh-CN"/>
        </w:rPr>
        <w:t>第二章</w:t>
      </w:r>
      <w:r>
        <w:rPr>
          <w:rFonts w:hint="eastAsia"/>
          <w:lang w:val="en-US" w:eastAsia="zh-CN"/>
        </w:rPr>
        <w:t xml:space="preserve">  </w:t>
      </w:r>
      <w:r>
        <w:rPr>
          <w:rFonts w:hint="eastAsia"/>
        </w:rPr>
        <w:t>“十四五”时期面临形势</w:t>
      </w:r>
      <w:bookmarkEnd w:id="33"/>
      <w:bookmarkEnd w:id="34"/>
      <w:bookmarkEnd w:id="35"/>
    </w:p>
    <w:p>
      <w:pPr>
        <w:pStyle w:val="4"/>
        <w:bidi w:val="0"/>
        <w:rPr>
          <w:rFonts w:hint="eastAsia" w:ascii="宋体" w:hAnsi="宋体" w:eastAsia="方正仿宋_GBK" w:cs="方正仿宋_GBK"/>
          <w:sz w:val="32"/>
          <w:szCs w:val="32"/>
        </w:rPr>
      </w:pPr>
      <w:bookmarkStart w:id="36" w:name="_Toc87624933"/>
      <w:bookmarkStart w:id="37" w:name="_Toc1367238941"/>
      <w:bookmarkStart w:id="38" w:name="_Toc70592234"/>
      <w:bookmarkStart w:id="39" w:name="_Toc87717264"/>
      <w:r>
        <w:rPr>
          <w:rFonts w:hint="eastAsia"/>
          <w:lang w:eastAsia="zh-CN"/>
        </w:rPr>
        <w:t>第一节</w:t>
      </w:r>
      <w:r>
        <w:rPr>
          <w:rFonts w:hint="eastAsia"/>
          <w:lang w:val="en-US" w:eastAsia="zh-CN"/>
        </w:rPr>
        <w:t xml:space="preserve">  </w:t>
      </w:r>
      <w:r>
        <w:rPr>
          <w:rFonts w:hint="eastAsia"/>
        </w:rPr>
        <w:t>新形势</w:t>
      </w:r>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“无废城市”建设对环卫发展要求提高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无废城市”建设是从城市整体层面深化固体废物综合管理的重要举措，重庆市（主城区）作为首批建设试点，将在“十四五”期间向全域推广。根据《重庆市（主城区）“无废城市”建设试点实施方案》，“无废城市”建设目标为：实现城市固体废物产生量最小，资源化利用充分，处置安全。“无废城市”建设对我区环卫事业领域的生活垃圾、建筑垃圾分类处置和精细化管理提出更高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生活垃圾处理技术路线进一步明确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重庆市城市管理局在“十四五”期间将推进以资源化应用和焚烧处理为主、填埋处理为应急保障、其他处理方式并存的生活垃圾分类处置体系建设。根据国家《“十四五”城镇生活垃圾分类和处理设施发展规划》及重庆市发展路线，我区结合自身条件，确定加快推进生活垃圾焚烧处理和厨余垃圾资源化利用能力建设、提升生活垃圾资源化利用率的发展方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“智慧环卫”已经成为环卫行业的发展趋势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根据住房和城乡建设部及《重庆市国民经济和社会发展第十四个五年规划和二〇三五年远景目标纲要》等文件要求，加强数字社会、数字政府建设，开发培育智能化应用场景，挖掘数据资源的商用、民用、政用价值，拓展智慧政务、智慧社区等智能化应用的发展目标。相关文件精神指明环境卫生事业发展应：启用智慧环境卫生管理平台，实现环境卫生智能监管全覆盖，增强环卫监管服务统筹协调能力，提高环卫监管服务水平，进而推动实现环境卫生治理体系和治理能力现代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推进市场化改革，提升环卫作业效能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环境卫生作业市场化运营可打破传统“政企不分、管干不离”的传统模式，大幅提升环境卫生作业效率和服务水平，促进环境卫生部门由职能型向服务型转变，减轻政府的压力，提升行政效能，提高精细化管理水平。目前，我国环境卫生市场化率平均为76%，我区环境卫生市场化率低于全国平均水平，仍有较大的发展空间。</w:t>
      </w:r>
    </w:p>
    <w:p>
      <w:pPr>
        <w:pStyle w:val="4"/>
        <w:bidi w:val="0"/>
        <w:rPr>
          <w:rFonts w:hint="eastAsia" w:ascii="宋体" w:hAnsi="宋体" w:eastAsia="方正仿宋_GBK" w:cs="方正仿宋_GBK"/>
          <w:sz w:val="32"/>
          <w:szCs w:val="32"/>
        </w:rPr>
      </w:pPr>
      <w:bookmarkStart w:id="40" w:name="_Toc87624934"/>
      <w:bookmarkStart w:id="41" w:name="_Toc87717265"/>
      <w:bookmarkStart w:id="42" w:name="_Toc1922616237"/>
      <w:r>
        <w:rPr>
          <w:rFonts w:hint="eastAsia"/>
          <w:lang w:eastAsia="zh-CN"/>
        </w:rPr>
        <w:t>第二节</w:t>
      </w:r>
      <w:r>
        <w:rPr>
          <w:rFonts w:hint="eastAsia"/>
          <w:lang w:val="en-US" w:eastAsia="zh-CN"/>
        </w:rPr>
        <w:t xml:space="preserve">  </w:t>
      </w:r>
      <w:r>
        <w:rPr>
          <w:rFonts w:hint="eastAsia"/>
        </w:rPr>
        <w:t>新机遇</w:t>
      </w:r>
      <w:bookmarkEnd w:id="40"/>
      <w:bookmarkEnd w:id="41"/>
      <w:bookmarkEnd w:id="4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生态文明建设与现代化城市管理的新要求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我国生态文明建设国际影响不断扩大，生态文明建设写入“五位一体”总体布局和“四个全面”战略布局的重要内容。习近平总书记在十九大报告中指出要加快生态文明体制改革，建设美丽中国，新的发展理念对于城市环境综合治理提出更高要求。习近平总书记还提出“城市管理应该像绣花一样精细”“提高城市管理水平，要在科学化、精细化、智能化上下功夫”。党中央的高度重视和习近平总书记的系列论述为“十四五”时期城市管理工作提供了思想保障和根本遵循，为环卫事业发展指明了方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成渝地区双城经济圈与一区两群的战略指引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成渝地区双城经济圈建设和重庆市一区两群空间格局为地处成渝腹心的荣昌发展提供了前所未有的机遇。成渝地区双城经济圈建设要求牢固树立一盘棋思想和一体化发展理念，加强毗邻地区深度融合，“一区两群”协调发展战略提出突出区域差异化发展，共同推动实现区域环卫设施互联互通、共建共享、一体化发展，协同发展。我区作为成渝地区双城经济圈建设的桥头堡、重要支点，重庆市主城都市区重要增长极，将加强区域协同，构建保障能力强、专业化服务功能完善、具有全国影响力和竞争力的现代化都市区环卫事业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环卫新技术与智慧环卫建设的快速发展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lang w:val="zh-CN"/>
        </w:rPr>
        <w:t>垃圾处理无害化、资源循环利用化、产业化处理技术的不断升级完善和广泛应用，为推动源头减量和提高资源化利用水平，有效防治二次污染提供了有力的技术支撑。“十四五”期间，重庆市遵循数字政府，数字社会建设战略，突出数字技术应用，强化城市智慧管理，深入推进“大城智管”，为我区智慧环卫建设提供了强大的技术支撑和行动指引，助力环卫管理精细化、规范化、科学化水平提升，完善城市综合“智”理体系。</w:t>
      </w:r>
    </w:p>
    <w:p>
      <w:pPr>
        <w:pStyle w:val="4"/>
        <w:bidi w:val="0"/>
        <w:rPr>
          <w:rFonts w:hint="eastAsia"/>
          <w:lang w:eastAsia="zh-CN"/>
        </w:rPr>
      </w:pPr>
      <w:bookmarkStart w:id="43" w:name="_Toc87624935"/>
      <w:bookmarkStart w:id="44" w:name="_Toc70592236"/>
      <w:bookmarkStart w:id="45" w:name="_Toc87717266"/>
    </w:p>
    <w:p>
      <w:pPr>
        <w:pStyle w:val="4"/>
        <w:bidi w:val="0"/>
        <w:rPr>
          <w:rFonts w:hint="eastAsia"/>
        </w:rPr>
      </w:pPr>
      <w:bookmarkStart w:id="46" w:name="_Toc478948638"/>
      <w:r>
        <w:rPr>
          <w:rFonts w:hint="eastAsia"/>
          <w:lang w:eastAsia="zh-CN"/>
        </w:rPr>
        <w:t>第三节</w:t>
      </w:r>
      <w:r>
        <w:rPr>
          <w:rFonts w:hint="eastAsia"/>
          <w:lang w:val="en-US" w:eastAsia="zh-CN"/>
        </w:rPr>
        <w:t xml:space="preserve">  </w:t>
      </w:r>
      <w:r>
        <w:rPr>
          <w:rFonts w:hint="eastAsia"/>
        </w:rPr>
        <w:t>需求预测</w:t>
      </w:r>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人口规模预测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基于城乡人口与城市发展历史与现状，结合未来功能定位、经济产业发展态势与重庆市人口与城镇化发展趋势，对全区城乡未来的人口与城镇化发展进行预测。预测至2025年，全区常住人口约72万人，其中城区43万人，镇街6万人，农村23万人。服务人口约3万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生活垃圾发展预测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（一）生活垃圾产生量预测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人均法预测生活垃圾产生总量。根据国家发展和改革委员会颁布的《生活垃圾无害化处理设施建设“十三五”规划大纲》，建议一般城市人均居民生活垃圾产生量按1.00千克/（人·日）计算；同时，结合《重庆市生活垃圾焚烧发电中长期专项规划（2021—2035年）》等相关规划确定的指标及荣昌区现状人均</w:t>
      </w:r>
      <w:r>
        <w:rPr>
          <w:rFonts w:hint="eastAsia" w:ascii="宋体" w:hAnsi="宋体" w:eastAsia="方正仿宋_GBK" w:cs="方正仿宋_GBK"/>
          <w:sz w:val="32"/>
          <w:szCs w:val="32"/>
        </w:rPr>
        <w:t>指标</w:t>
      </w:r>
      <w:r>
        <w:rPr>
          <w:rFonts w:hint="eastAsia" w:ascii="宋体" w:hAnsi="宋体" w:eastAsia="方正仿宋_GBK" w:cs="方正仿宋_GBK"/>
          <w:sz w:val="32"/>
          <w:szCs w:val="32"/>
          <w:lang w:val="zh-CN"/>
        </w:rPr>
        <w:t>，</w:t>
      </w:r>
      <w:r>
        <w:rPr>
          <w:rFonts w:hint="eastAsia" w:ascii="宋体" w:hAnsi="宋体" w:eastAsia="方正仿宋_GBK" w:cs="方正仿宋_GBK"/>
          <w:sz w:val="32"/>
          <w:szCs w:val="32"/>
        </w:rPr>
        <w:t>预计</w:t>
      </w:r>
      <w:r>
        <w:rPr>
          <w:rFonts w:hint="eastAsia" w:ascii="宋体" w:hAnsi="宋体" w:eastAsia="方正仿宋_GBK" w:cs="方正仿宋_GBK"/>
          <w:sz w:val="32"/>
          <w:szCs w:val="32"/>
          <w:lang w:val="zh-CN"/>
        </w:rPr>
        <w:t>“十四五”</w:t>
      </w:r>
      <w:r>
        <w:rPr>
          <w:rFonts w:hint="eastAsia" w:ascii="宋体" w:hAnsi="宋体" w:eastAsia="方正仿宋_GBK" w:cs="方正仿宋_GBK"/>
          <w:sz w:val="32"/>
          <w:szCs w:val="32"/>
        </w:rPr>
        <w:t>期间，</w:t>
      </w:r>
      <w:r>
        <w:rPr>
          <w:rFonts w:hint="eastAsia" w:ascii="宋体" w:hAnsi="宋体" w:eastAsia="方正仿宋_GBK" w:cs="方正仿宋_GBK"/>
          <w:sz w:val="32"/>
          <w:szCs w:val="32"/>
          <w:lang w:val="zh-CN"/>
        </w:rPr>
        <w:t>荣昌区城镇和农村地区常住人口人均居民生活垃圾产生量分别为1.00千克/(人·日）、0.50千克/(人·日）；城镇人均餐厨垃圾产生量为0.20千克/(人·日），农村产生量较少，不予考虑。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根据重庆市市政环卫监测中心提供的数据，近三年转运站中生活垃圾平均组分如下所示。</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表2-1  2018—2020年重庆市各类生活垃圾平均组分构成</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w:t>
      </w:r>
    </w:p>
    <w:tbl>
      <w:tblPr>
        <w:tblStyle w:val="9"/>
        <w:tblW w:w="8810" w:type="dxa"/>
        <w:tblInd w:w="0" w:type="dxa"/>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707"/>
        <w:gridCol w:w="906"/>
        <w:gridCol w:w="802"/>
        <w:gridCol w:w="837"/>
        <w:gridCol w:w="827"/>
        <w:gridCol w:w="835"/>
        <w:gridCol w:w="756"/>
        <w:gridCol w:w="800"/>
        <w:gridCol w:w="765"/>
        <w:gridCol w:w="840"/>
        <w:gridCol w:w="735"/>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30" w:hRule="atLeast"/>
        </w:trPr>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家庭厨余</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纸类</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塑胶类</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纺织类</w:t>
            </w:r>
          </w:p>
        </w:tc>
        <w:tc>
          <w:tcPr>
            <w:tcW w:w="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木竹类</w:t>
            </w:r>
          </w:p>
        </w:tc>
        <w:tc>
          <w:tcPr>
            <w:tcW w:w="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灰土类</w:t>
            </w:r>
          </w:p>
        </w:tc>
        <w:tc>
          <w:tcPr>
            <w:tcW w:w="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砖瓦</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陶瓷</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玻璃类</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金属类</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其他类</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混合类</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595" w:hRule="atLeast"/>
        </w:trPr>
        <w:tc>
          <w:tcPr>
            <w:tcW w:w="7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50.41</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16.28</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19.07</w:t>
            </w:r>
          </w:p>
        </w:tc>
        <w:tc>
          <w:tcPr>
            <w:tcW w:w="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4.74</w:t>
            </w:r>
          </w:p>
        </w:tc>
        <w:tc>
          <w:tcPr>
            <w:tcW w:w="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1.29</w:t>
            </w:r>
          </w:p>
        </w:tc>
        <w:tc>
          <w:tcPr>
            <w:tcW w:w="8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1.61</w:t>
            </w:r>
          </w:p>
        </w:tc>
        <w:tc>
          <w:tcPr>
            <w:tcW w:w="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1.41</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1.86</w:t>
            </w:r>
          </w:p>
        </w:tc>
        <w:tc>
          <w:tcPr>
            <w:tcW w:w="7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0.79</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2.07</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0.48</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由于该数据在中转站取样测定，考虑到(1)一部分可回收物在进入生活垃圾收运系统前已被拾荒者或民间垃圾回收站回收（研究表明，源头分类直接进入再生资源行业的可回收物大约占生活垃圾总产量的10%-20%，平均在15%左右）；(2)可回收组分大多为低值物质，且部分在使用过程中被污染，无法再次回收利用，本规划中可回收物中可回收利用部分按纸类的10%、塑胶类的20%、玻璃及金属类的80%考虑；(3)考虑到家庭厨余类组分中含有其他杂质或难生物降解组分，可资源化利用的量占其总量的60%；同时考虑生活垃圾分类参与率68%，生活垃圾分类准确率70%；(4)按四分类方式，对生活垃圾各组分比例进行修正。</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表2-2  2025年荣昌区生活垃圾各组分源头产量预测表</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w:t>
      </w:r>
      <w:bookmarkStart w:id="47" w:name="_Hlk74157855"/>
      <w:r>
        <w:rPr>
          <w:rFonts w:hint="eastAsia" w:ascii="方正楷体_GBK" w:hAnsi="方正楷体_GBK" w:eastAsia="方正楷体_GBK" w:cs="方正楷体_GBK"/>
          <w:sz w:val="28"/>
          <w:szCs w:val="28"/>
        </w:rPr>
        <w:t>吨/日</w:t>
      </w:r>
      <w:bookmarkEnd w:id="47"/>
      <w:r>
        <w:rPr>
          <w:rFonts w:hint="eastAsia" w:ascii="方正楷体_GBK" w:hAnsi="方正楷体_GBK" w:eastAsia="方正楷体_GBK" w:cs="方正楷体_GBK"/>
          <w:sz w:val="28"/>
          <w:szCs w:val="28"/>
        </w:rPr>
        <w:t>）</w:t>
      </w:r>
    </w:p>
    <w:tbl>
      <w:tblPr>
        <w:tblStyle w:val="9"/>
        <w:tblW w:w="8708" w:type="dxa"/>
        <w:jc w:val="center"/>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1560"/>
        <w:gridCol w:w="1280"/>
        <w:gridCol w:w="1574"/>
        <w:gridCol w:w="1264"/>
        <w:gridCol w:w="1165"/>
        <w:gridCol w:w="951"/>
        <w:gridCol w:w="914"/>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90" w:hRule="atLeast"/>
          <w:tblHeader/>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区域</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餐厨垃圾(吨/日)</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家庭及其他厨余垃圾(吨/日)</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前段可回收物(吨/日)</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后端可回收物(吨/日)</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其他垃圾(吨/日)</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有害垃圾(吨/日)</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荣昌区合计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82.83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41.76</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428.38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2.54</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服务人口小计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3.76</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3.91</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1.97</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20.24</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0.12</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53.83</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56.09</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28.28</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290.08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1.72</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7.51</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7.83</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3.95</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40.48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0.24</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PrEx>
        <w:trPr>
          <w:trHeight w:val="443" w:hRule="atLeast"/>
          <w:jc w:val="center"/>
        </w:trPr>
        <w:tc>
          <w:tcPr>
            <w:tcW w:w="15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农村小计</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0.00</w:t>
            </w:r>
          </w:p>
        </w:tc>
        <w:tc>
          <w:tcPr>
            <w:tcW w:w="15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14.40</w:t>
            </w:r>
          </w:p>
        </w:tc>
        <w:tc>
          <w:tcPr>
            <w:tcW w:w="12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c>
          <w:tcPr>
            <w:tcW w:w="11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7.56</w:t>
            </w:r>
          </w:p>
        </w:tc>
        <w:tc>
          <w:tcPr>
            <w:tcW w:w="9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77.58</w:t>
            </w:r>
          </w:p>
        </w:tc>
        <w:tc>
          <w:tcPr>
            <w:tcW w:w="9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0.46</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结合荣昌区实际情况，考虑家庭及其他厨余垃圾在实际收运处理过程中，城区地区全部进入收运处理系统，镇街地区约20%在家庭内部消耗，农村地区约90%通过畜禽喂养等内部消耗。预测至2025年，全区生活垃圾处理量（</w:t>
      </w:r>
      <w:r>
        <w:rPr>
          <w:rFonts w:hint="eastAsia" w:ascii="宋体" w:hAnsi="宋体" w:eastAsia="方正仿宋_GBK" w:cs="方正仿宋_GBK"/>
          <w:sz w:val="32"/>
          <w:szCs w:val="32"/>
        </w:rPr>
        <w:t>不含餐厨垃圾与前端可回收物部分</w:t>
      </w:r>
      <w:r>
        <w:rPr>
          <w:rFonts w:hint="eastAsia" w:ascii="宋体" w:hAnsi="宋体" w:eastAsia="方正仿宋_GBK" w:cs="方正仿宋_GBK"/>
          <w:sz w:val="32"/>
          <w:szCs w:val="32"/>
          <w:lang w:val="zh-CN"/>
        </w:rPr>
        <w:t>）约537.72吨/日，餐厨垃圾处理量约104.00吨/日。</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表2-3  2025年荣昌区生活垃圾各组分实际处理量预测表</w:t>
      </w:r>
    </w:p>
    <w:p>
      <w:pPr>
        <w:keepNext w:val="0"/>
        <w:keepLines w:val="0"/>
        <w:pageBreakBefore w:val="0"/>
        <w:widowControl w:val="0"/>
        <w:kinsoku/>
        <w:wordWrap/>
        <w:overflowPunct/>
        <w:topLinePunct w:val="0"/>
        <w:autoSpaceDE/>
        <w:autoSpaceDN/>
        <w:bidi w:val="0"/>
        <w:adjustRightInd/>
        <w:snapToGrid/>
        <w:jc w:val="right"/>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（单位：吨/日）</w:t>
      </w:r>
    </w:p>
    <w:tbl>
      <w:tblPr>
        <w:tblStyle w:val="9"/>
        <w:tblW w:w="86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1822"/>
        <w:gridCol w:w="1158"/>
        <w:gridCol w:w="1846"/>
        <w:gridCol w:w="1564"/>
        <w:gridCol w:w="1240"/>
        <w:gridCol w:w="1068"/>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32"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区域</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餐厨垃圾(吨/日)</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家庭及其他厨余垃圾(吨/日)</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后端可回收物(吨/日)</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其他垃圾(吨/日)</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有害垃圾(吨/日)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荣昌区合计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65.04</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428.38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服务人口小计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3.76</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1.97</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20.24</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0.12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53.83</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28.28</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290.08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6.01</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3.95</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40.48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07" w:hRule="atLeast"/>
        </w:trPr>
        <w:tc>
          <w:tcPr>
            <w:tcW w:w="1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农村小计</w:t>
            </w:r>
          </w:p>
        </w:tc>
        <w:tc>
          <w:tcPr>
            <w:tcW w:w="11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0.00</w:t>
            </w:r>
          </w:p>
        </w:tc>
        <w:tc>
          <w:tcPr>
            <w:tcW w:w="18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1.44</w:t>
            </w:r>
          </w:p>
        </w:tc>
        <w:tc>
          <w:tcPr>
            <w:tcW w:w="15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7.56</w:t>
            </w:r>
          </w:p>
        </w:tc>
        <w:tc>
          <w:tcPr>
            <w:tcW w:w="12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77.58</w:t>
            </w:r>
          </w:p>
        </w:tc>
        <w:tc>
          <w:tcPr>
            <w:tcW w:w="10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0.46</w:t>
            </w:r>
          </w:p>
        </w:tc>
      </w:tr>
    </w:tbl>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en" w:eastAsia="zh-CN"/>
        </w:rPr>
      </w:pPr>
      <w:r>
        <w:rPr>
          <w:rFonts w:hint="eastAsia" w:ascii="方正楷体_GBK" w:hAnsi="方正楷体_GBK" w:eastAsia="方正楷体_GBK" w:cs="方正楷体_GBK"/>
          <w:sz w:val="32"/>
          <w:szCs w:val="32"/>
          <w:lang w:val="zh-CN"/>
        </w:rPr>
        <w:t>生活垃圾处置设施需求分析</w:t>
      </w:r>
      <w:r>
        <w:rPr>
          <w:rFonts w:hint="eastAsia" w:ascii="方正楷体_GBK" w:hAnsi="方正楷体_GBK" w:eastAsia="方正楷体_GBK" w:cs="方正楷体_GBK"/>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生活垃圾转运需求分析。根据生活垃圾产生量预测结果，为满足垃圾收集转运，生活垃圾转运能力按进入收运系统的生活垃圾量的1.5倍考虑，则预测到2025年，全区生活垃圾转运需求约为802.76吨/日，现状转运能力满足转运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生活垃圾焚烧需求分析。根据生活垃圾各组分产生量预测，预测到2025年，全区生活垃圾焚烧处理需求约428.38吨/日。同时建议预留部分焚烧处理能力，协同处置厨余垃圾处理产生的废渣和沼渣（约占厨余垃圾的30%），及预留其他垃圾和生活污水厂污泥等协同处置空间（约15%的焚烧处理空间幅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根据分类标准和处理技术要求，将厨余垃圾区分为餐厨垃圾、家庭厨余垃圾、其他厨余垃圾三大类进行分析。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餐厨垃圾处理需求分析。预测到2025年，全区餐厨垃圾处理需求约为104.00吨/日，现状运往永川处理，“十四五”时期若考虑独自处理，则新增处理能力应不低于100.00吨/日。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家庭及其他厨余垃圾处理需求分析。随着生活垃圾分类加快推进，根据生活垃圾组分校正，预测到2025年，全区家庭及其他厨余垃圾处理能力需求约为65.04吨/日。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有害垃圾规范贮存需求分析。根据生活垃圾各组分产生量预测，预测到2025年，全区有害垃圾贮存需求约为2.54吨/日。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建筑垃圾发展预测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方正楷体_GBK" w:hAnsi="方正楷体_GBK" w:eastAsia="方正楷体_GBK" w:cs="方正楷体_GBK"/>
          <w:sz w:val="32"/>
          <w:szCs w:val="32"/>
          <w:lang w:val="en"/>
        </w:rPr>
      </w:pPr>
      <w:r>
        <w:rPr>
          <w:rFonts w:hint="eastAsia" w:ascii="方正楷体_GBK" w:hAnsi="方正楷体_GBK" w:eastAsia="方正楷体_GBK" w:cs="方正楷体_GBK"/>
          <w:sz w:val="32"/>
          <w:szCs w:val="32"/>
          <w:lang w:val="zh-CN"/>
        </w:rPr>
        <w:t>（一）建筑垃圾产生量预测。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建筑垃圾产量及规模计算参照《建筑垃圾处理技术规范（CJJ134/T-2019）》中4.1章的规定，分为工程垃圾、拆除垃圾、装修垃圾、工程渣土、工程泥浆五部分。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年均竣工面积预测工程垃圾产生量。工程垃圾采用单位建筑面积工程垃圾产生量基数乘以服务区域年新增建筑面积得到。结合规范要求及城市现状，近5年全区平均房屋建筑竣工面积约306.56万平方米，单位建筑面积工程垃圾产生量基数取400.00吨/万平方米。预测到2025年，全区工程垃圾总产生量约12.26万吨/年，即335.96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单位面积法预测拆除垃圾产生量。</w:t>
      </w:r>
      <w:r>
        <w:rPr>
          <w:rFonts w:hint="eastAsia" w:ascii="宋体" w:hAnsi="宋体" w:eastAsia="方正仿宋_GBK" w:cs="方正仿宋_GBK"/>
          <w:sz w:val="32"/>
          <w:szCs w:val="32"/>
        </w:rPr>
        <w:t>拆除垃圾产生量采用单位面积拆除垃圾产生量基数乘以服务区域年拆除面积得出。</w:t>
      </w:r>
      <w:r>
        <w:rPr>
          <w:rFonts w:hint="eastAsia" w:ascii="宋体" w:hAnsi="宋体" w:eastAsia="方正仿宋_GBK" w:cs="方正仿宋_GBK"/>
          <w:sz w:val="32"/>
          <w:szCs w:val="32"/>
          <w:lang w:val="zh-CN"/>
        </w:rPr>
        <w:t>结合《重庆市主城区环卫设施规划（2020—2035）》，主城区每年拆除建筑物的总面积一般按照房屋建筑竣工面积的7%计算，考虑到荣昌区建设情况，将这一比例下调至2%。同时结合现状拆除垃圾产生量情况，单位面积建筑垃圾产生量基数取10000.00吨/万平方米。预测至2025年，全区拆除垃圾总产生量约6.13万吨/年，即167.98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户均产生量预测装修垃圾产生量。装修垃圾产生量采用单位户数装修垃圾产生量基数乘以服务区域居民户数。单位户数装修垃圾产生量基数可取0.50吨/（户·年）～1.00吨/（户·年），结合未来低碳装修的趋势，此处取0.50吨/（户·年）。按每户3.13人计算，预计2025年全区城镇约15.65万户。预测至2025年，全区装修垃圾总产生量约7.83万吨/年，即214.45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单位面积法预测工程渣土及工程泥浆产生量。工程渣土指建筑物、构筑物、管网等基础开挖过程产生的弃土，工程泥浆指钻孔桩基施工、地下连续墙施工、泥水盾构施工、水平定向钻及泥水顶管等施工产生的泥浆。本规划工程泥浆量按工程渣土1%估算。预测至2025年，全区工程渣土总产生量约为344.88万立方米/年，工程泥浆约3.45万立方米/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（二）建筑垃圾处置设施需求分析。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工程垃圾、拆除垃圾、装修垃圾综合处理需求分析。工程垃圾和拆除垃圾采用“源头分类→收集→运输→回收利用→资源化利用”处理模式，源头分类后分选出的金属废弃物等可回收材料直接回收，剩余部分进入建筑垃圾综合处理厂资源化利用；装修垃圾在分选场分选后，进入建筑垃圾综合处理厂的装修垃圾仅53%左右。根据建筑垃圾产生量预测到2025年，全区工程垃圾、拆除垃圾、装修垃圾综合处理需求共计约22.50万吨/年，即616.52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装修垃圾分选和处理需求分析。装修垃圾采用“收集→运输→分选→回收利用→资源化利用→无害化填埋”模式处理，装修垃圾先进入分选场分选，分选出的金属废弃物等可回收材料单独回收利用，可再生利用的进入资源化综合利用厂处理（约53%左右），其他部分进入装修垃圾填埋场无害化处理（约30%左右），同时考虑预留20%的规模。预测到2025年，全区装修垃圾分选能力需求约为7.83万吨/年，即214.45吨/日；装修垃圾填埋处理需求约为2.82万吨/年，即1.76万立方米/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工程渣土和工程泥浆处理需求分析。工程渣土、工程泥浆受现场地形、设计资料及施工工艺等因素综合影响，根据《中华人民共和国固体废物污染环境防治法》及《重庆市房屋市政工程建筑垃圾减量化工作实施方案》等相关要求工程项目开发应同步设计渣土去向，原则上自行平衡处理，尽量减少外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大件垃圾发展预测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大件垃圾产生量预测。据相关部门统计，上海市大件垃圾产量大约为生活垃圾的2%左右。重庆市《悦来生态城固体废物收集资源化利用综合规划》中，大件垃圾占生活垃圾的3.6%。结合对荣昌区的实际情况，将大件垃圾占比定为3.0%。预测到2025年，全区大件垃圾总产生量约21.09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大件垃圾处理需求分析。大件垃圾拆解后的再生资源与生活垃圾中可回收物合流回收，木质材料与园林垃圾合流进行资源化处理，其余部分在中转站内与生活垃圾中的相应成分合流，合流后的各类垃圾再运输到相应处理设施进行分类处理。预测到2025年，大件垃圾拆解处理需求约为21.09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园林垃圾发展预测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园林垃圾产生量预测。根据“十</w:t>
      </w:r>
      <w:r>
        <w:rPr>
          <w:rFonts w:hint="eastAsia" w:ascii="宋体" w:hAnsi="宋体" w:eastAsia="方正仿宋_GBK" w:cs="方正仿宋_GBK"/>
          <w:sz w:val="32"/>
          <w:szCs w:val="32"/>
        </w:rPr>
        <w:t>三</w:t>
      </w:r>
      <w:r>
        <w:rPr>
          <w:rFonts w:hint="eastAsia" w:ascii="宋体" w:hAnsi="宋体" w:eastAsia="方正仿宋_GBK" w:cs="方正仿宋_GBK"/>
          <w:sz w:val="32"/>
          <w:szCs w:val="32"/>
          <w:lang w:val="zh-CN"/>
        </w:rPr>
        <w:t>五”期间园林垃圾产生量增长情况，采用平均增长率和平均增长量两种方法进行预测，综合考虑两种预测结果，预测到2025年，全区园林垃圾产生量约5000吨/年，即13.70吨/日。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园林垃圾处理需求分析。园林垃圾收集时应将非植物材料分拣剔除，避免混入土石块、铁丝、铁钉、花盆等园艺装饰材料及塑料等非植物性材料。推荐采取粉碎、混料、高温发酵后制成绿化用有机基质或有机肥的处理方式。预测至2025年，园林垃圾处理需求约为13.70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六、</w:t>
      </w:r>
      <w:r>
        <w:rPr>
          <w:rFonts w:hint="eastAsia" w:ascii="方正黑体_GBK" w:hAnsi="方正黑体_GBK" w:eastAsia="方正黑体_GBK" w:cs="方正黑体_GBK"/>
          <w:sz w:val="32"/>
          <w:szCs w:val="32"/>
        </w:rPr>
        <w:t>水域垃圾发展预测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lang w:val="zh-CN"/>
        </w:rPr>
        <w:t>水域垃圾产生量预测。随着对水域环境的高度重视、居民环境卫生意识的提高，预测“十</w:t>
      </w:r>
      <w:r>
        <w:rPr>
          <w:rFonts w:hint="eastAsia" w:ascii="宋体" w:hAnsi="宋体" w:eastAsia="方正仿宋_GBK" w:cs="方正仿宋_GBK"/>
          <w:sz w:val="32"/>
          <w:szCs w:val="32"/>
        </w:rPr>
        <w:t>四</w:t>
      </w:r>
      <w:r>
        <w:rPr>
          <w:rFonts w:hint="eastAsia" w:ascii="宋体" w:hAnsi="宋体" w:eastAsia="方正仿宋_GBK" w:cs="方正仿宋_GBK"/>
          <w:sz w:val="32"/>
          <w:szCs w:val="32"/>
          <w:lang w:val="zh-CN"/>
        </w:rPr>
        <w:t>五”期间水域垃圾量保持相对稳定，规划取近五年水域垃圾产生量最大值，即预测到2025年，全区水域垃圾总产生量约4.05吨/日。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水域垃圾处理分析。结合生活垃圾收运设施布局就近设置水域垃圾上岸点，分选后的水域垃圾与对应成分合流，再运输到相应处理设施进行分类处理。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七、</w:t>
      </w:r>
      <w:r>
        <w:rPr>
          <w:rFonts w:hint="eastAsia" w:ascii="方正黑体_GBK" w:hAnsi="方正黑体_GBK" w:eastAsia="方正黑体_GBK" w:cs="方正黑体_GBK"/>
          <w:sz w:val="32"/>
          <w:szCs w:val="32"/>
        </w:rPr>
        <w:t>城市粪便发展预测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bookmarkStart w:id="48" w:name="_Hlk77001126"/>
      <w:r>
        <w:rPr>
          <w:rFonts w:hint="eastAsia" w:ascii="宋体" w:hAnsi="宋体" w:eastAsia="方正仿宋_GBK" w:cs="方正仿宋_GBK"/>
          <w:sz w:val="32"/>
          <w:szCs w:val="32"/>
        </w:rPr>
        <w:t>城市粪便</w:t>
      </w:r>
      <w:bookmarkEnd w:id="48"/>
      <w:r>
        <w:rPr>
          <w:rFonts w:hint="eastAsia" w:ascii="宋体" w:hAnsi="宋体" w:eastAsia="方正仿宋_GBK" w:cs="方正仿宋_GBK"/>
          <w:sz w:val="32"/>
          <w:szCs w:val="32"/>
        </w:rPr>
        <w:t>产生量预测。</w:t>
      </w:r>
      <w:r>
        <w:rPr>
          <w:rFonts w:hint="eastAsia" w:ascii="宋体" w:hAnsi="宋体" w:eastAsia="方正仿宋_GBK" w:cs="方正仿宋_GBK"/>
          <w:sz w:val="32"/>
          <w:szCs w:val="32"/>
          <w:lang w:val="zh-CN"/>
        </w:rPr>
        <w:t>人均产生量法预测城市粪便产生量。根据《建筑给水排水设计规范（GB50015-2003（2009年版））》，每人每天计算粪便量按0.40升/日（折算为0.40千克/日），粪渣（指积存在化粪池底部的消化污泥、沉渣及上层浮渣）占粪便的10%。预测到2025年，城市粪便总产生量为208.00吨/日，化粪池粪渣约20.80吨/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城市粪便处理分析。城市粪便及粪渣应由具备相应资质的单位进行清掏、运输，实现无害化处理和资源化利用。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八、</w:t>
      </w:r>
      <w:r>
        <w:rPr>
          <w:rFonts w:hint="eastAsia" w:ascii="方正黑体_GBK" w:hAnsi="方正黑体_GBK" w:eastAsia="方正黑体_GBK" w:cs="方正黑体_GBK"/>
          <w:sz w:val="32"/>
          <w:szCs w:val="32"/>
        </w:rPr>
        <w:t>公共厕所规模预测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宋体" w:hAnsi="宋体" w:eastAsia="方正仿宋_GBK" w:cs="方正仿宋_GBK"/>
          <w:sz w:val="32"/>
          <w:szCs w:val="32"/>
          <w:lang w:val="zh-CN"/>
        </w:rPr>
        <w:t>结合《重庆市荣昌区主城区控规整合(2019年版)》用地布局，参照《城市环境卫生设施规划标准》（GB50337-2018），城区公厕平均设置密度应达到每平方公里建设用地3～5座，每个镇街不少于3座，综合考虑各镇街现状公厕数量和建设计划，预测至2025年，全区直管公厕共计252座，其中，城区公厕141座，镇街公厕111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bookmarkStart w:id="49" w:name="_Toc8771726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50" w:name="_Toc1061682818"/>
      <w:r>
        <w:rPr>
          <w:rFonts w:hint="eastAsia"/>
          <w:lang w:eastAsia="zh-CN"/>
        </w:rPr>
        <w:t>第三章</w:t>
      </w:r>
      <w:r>
        <w:rPr>
          <w:rFonts w:hint="eastAsia"/>
          <w:lang w:val="en-US" w:eastAsia="zh-CN"/>
        </w:rPr>
        <w:t xml:space="preserve">  </w:t>
      </w:r>
      <w:r>
        <w:rPr>
          <w:rFonts w:hint="eastAsia"/>
        </w:rPr>
        <w:t>指导思想、基本原则与发展目标</w:t>
      </w:r>
      <w:bookmarkEnd w:id="49"/>
      <w:bookmarkEnd w:id="50"/>
    </w:p>
    <w:p>
      <w:pPr>
        <w:pStyle w:val="4"/>
        <w:bidi w:val="0"/>
        <w:rPr>
          <w:rFonts w:hint="eastAsia" w:ascii="方正仿宋_GBK" w:hAnsi="方正仿宋_GBK" w:eastAsia="方正仿宋_GBK" w:cs="方正仿宋_GBK"/>
          <w:sz w:val="32"/>
          <w:szCs w:val="32"/>
        </w:rPr>
      </w:pPr>
      <w:bookmarkStart w:id="51" w:name="_Toc69917220"/>
      <w:bookmarkStart w:id="52" w:name="_Toc1912101580"/>
      <w:bookmarkStart w:id="53" w:name="_Toc70592239"/>
      <w:bookmarkStart w:id="54" w:name="_Toc87717268"/>
      <w:r>
        <w:rPr>
          <w:rFonts w:hint="eastAsia"/>
          <w:lang w:eastAsia="zh-CN"/>
        </w:rPr>
        <w:t>第一节</w:t>
      </w:r>
      <w:r>
        <w:rPr>
          <w:rFonts w:hint="eastAsia"/>
          <w:lang w:val="en-US" w:eastAsia="zh-CN"/>
        </w:rPr>
        <w:t xml:space="preserve">  </w:t>
      </w:r>
      <w:r>
        <w:rPr>
          <w:rFonts w:hint="eastAsia"/>
        </w:rPr>
        <w:t>指导思想</w:t>
      </w:r>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以习近平新时代中国特色社会主义思想为指导，全面贯彻党的十九大和十九届二中、三中、四中、五中、六中全会精神，深入落实习总书记对重庆提出的营造良好政治生态，坚持“两点”定位、“两地”“两高”目标，发挥“三个作用”和推动成渝地区双城经济圈建设等重要指示要求，以全面建设成渝地区双城经济圈重要增长极为目标，围绕创新发展新平台、现代产业经济新高地、开放融合新格局和绿色宜居新家园等重点任务，坚持垃圾“减量化、资源化、无害化”，提高环卫治理体系和治理能力现代化，推动实现环境卫生事业高质量发展，助力建成国家城乡融合发展西部样板区、川南渝西融合发展先行区。</w:t>
      </w:r>
      <w:bookmarkStart w:id="55" w:name="_Toc69917221"/>
      <w:bookmarkStart w:id="56" w:name="_Toc87717269"/>
      <w:bookmarkStart w:id="57" w:name="_Toc70592240"/>
    </w:p>
    <w:p>
      <w:pPr>
        <w:pStyle w:val="4"/>
        <w:bidi w:val="0"/>
        <w:rPr>
          <w:rFonts w:hint="eastAsia" w:ascii="方正仿宋_GBK" w:hAnsi="方正仿宋_GBK" w:eastAsia="方正仿宋_GBK" w:cs="方正仿宋_GBK"/>
          <w:sz w:val="32"/>
          <w:szCs w:val="32"/>
        </w:rPr>
      </w:pPr>
      <w:bookmarkStart w:id="58" w:name="_Toc1228995265"/>
      <w:r>
        <w:rPr>
          <w:rFonts w:hint="eastAsia"/>
          <w:lang w:eastAsia="zh-CN"/>
        </w:rPr>
        <w:t>第二节</w:t>
      </w:r>
      <w:r>
        <w:rPr>
          <w:rFonts w:hint="eastAsia"/>
          <w:lang w:val="en-US" w:eastAsia="zh-CN"/>
        </w:rPr>
        <w:t xml:space="preserve">  </w:t>
      </w:r>
      <w:r>
        <w:rPr>
          <w:rFonts w:hint="eastAsia"/>
        </w:rPr>
        <w:t>基本原则</w:t>
      </w:r>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坚持问题导向，建设长效机制。积极解决当前垃圾产生量大、利用不畅、设施不足等突出问题，积极探索开展体制改革、制度建设、技术创新。实现重点突破、整体推进，建立环境卫生发展长效机制。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因地制宜，发挥特色优势。立足荣昌区产业基础雄厚、旅游餐饮产业发达等特点，找准垃圾投放、收集、转运、利用、处置等过程中的薄弱点和关键环节，清晰定位目标，突出重点任务，完善具体措施，形成分工明确、权责明晰、协同高效的环境卫生管理体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源头减量，加强分类处置。根据垃圾特性、处理方式和管理水平，科学制定分类办法，明确工作目标、实施步骤和政策措施，逐步推进。按照先易后难、循序渐进的原则，大力推进垃圾源头减量、分类处置，逐步完善垃圾分类投放、收集、运输和处理的管理和运行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坚持城乡统筹，推进区域合作。充分发挥荣昌区桥头堡作用，加强在环境卫生领域的区域合作，协同推进川南渝西毗邻地区融合发展，打破区域行政界限，以人民为中心，以环境为本，集约用地、科学布局，结合各镇街发展规模和人口分布，合理设置垃圾收运设施，鼓励跨行政区域共建共享处理设施。</w:t>
      </w:r>
    </w:p>
    <w:p>
      <w:pPr>
        <w:pStyle w:val="4"/>
        <w:bidi w:val="0"/>
        <w:rPr>
          <w:rFonts w:hint="eastAsia" w:ascii="方正仿宋_GBK" w:hAnsi="方正仿宋_GBK" w:eastAsia="方正仿宋_GBK" w:cs="方正仿宋_GBK"/>
          <w:sz w:val="32"/>
          <w:szCs w:val="32"/>
        </w:rPr>
      </w:pPr>
      <w:bookmarkStart w:id="59" w:name="_Toc87717270"/>
      <w:bookmarkStart w:id="60" w:name="_Toc800848948"/>
      <w:bookmarkStart w:id="61" w:name="_Toc69917222"/>
      <w:bookmarkStart w:id="62" w:name="_Toc70592241"/>
      <w:r>
        <w:rPr>
          <w:rFonts w:hint="eastAsia"/>
          <w:lang w:eastAsia="zh-CN"/>
        </w:rPr>
        <w:t>第三节</w:t>
      </w:r>
      <w:r>
        <w:rPr>
          <w:rFonts w:hint="eastAsia"/>
          <w:lang w:val="en-US" w:eastAsia="zh-CN"/>
        </w:rPr>
        <w:t xml:space="preserve">  </w:t>
      </w:r>
      <w:r>
        <w:rPr>
          <w:rFonts w:hint="eastAsia"/>
        </w:rPr>
        <w:t>发展目标</w:t>
      </w:r>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总体目标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贯彻落实推动成渝地区双城经济圈建设的重要指示，坚持“减量化、资源化、无害化”原则，推动荣昌区“无废城市”建设，基本建成城乡统筹发展的垃圾分类收运处理体系，形成川南渝西地区环境卫生事业高质量发展“荣昌样板”，不断满足人民群众日益增长的优美生态环境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具体目标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先进、高效的垃圾分类收运处理体系。按照减量化、资源化、无害化的处理原则，建立先进高效、协同发展、规模适宜的现代化垃圾分类收运处理体系，实现垃圾分类投放、分类收运、分类处理。规划期末，全区生活垃圾转运能力达到1559吨/日；生活垃圾焚烧处理能力达到600吨/日，环境卫生事业整体发展水平领先川南渝西地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补齐环卫设施短板，统筹区域融合发展。加快补齐生活垃圾分类和处理设施短板弱项，规范环卫设施用地布局；统筹城乡环卫设施一体化全覆盖，加强毗邻地区在环境卫生领域的融合发展，稳步推进荣昌区环境卫生事业有序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智慧科技引领发展，提升精细管理水平。以大数据智能化为引领，构建智慧环卫管理系统，涵盖环卫作业、管理、监督和评价等各个环节，同时对接管理部门、环卫企业等多个平台，实现一站式精细化管理。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推进镇街及农村环卫工作市场化改革。大力推进环卫工作市场化改革，由政府管理公共卫生服务体制转变为市场化运作、企业化管理新模式，实现环卫资源的合理配置，环卫保洁作业市场化率不低于75%，推动全区环境卫生工作迈上新台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加快环境卫生应急管理体系建设。坚持以人民为中心，认真总结并固化灾害、疫情、重大节庆等特殊情况中形成的好经验好做法，抓紧补短板、堵漏洞、强弱项，大力加强环境卫生应急管理体系建设。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2035年远景展望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面建成城乡统筹的垃圾收运处理体系，强化科技创新成果转换，山清水秀美丽荣昌基本建成，环卫事业发展领先成渝中部地区。全面推进生活垃圾分类，实现城乡生活垃圾减量化、资源化；持续完善环卫基础设施建设，提升城乡环卫作业精细化、标准化、市场化、机械化水平；结合荣昌区国家畜牧科学城建设规划，积极探索厨余垃圾资源化利用，实现科技创新成果转换，建立荣昌区特色化的厨余垃圾处理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“十四五”规划指标体系</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表3-1“十四五”规划指标体系表</w:t>
      </w:r>
    </w:p>
    <w:tbl>
      <w:tblPr>
        <w:tblStyle w:val="9"/>
        <w:tblW w:w="8936" w:type="dxa"/>
        <w:jc w:val="center"/>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Layout w:type="fixed"/>
        <w:tblCellMar>
          <w:top w:w="0" w:type="dxa"/>
          <w:left w:w="0" w:type="dxa"/>
          <w:bottom w:w="0" w:type="dxa"/>
          <w:right w:w="0" w:type="dxa"/>
        </w:tblCellMar>
      </w:tblPr>
      <w:tblGrid>
        <w:gridCol w:w="581"/>
        <w:gridCol w:w="3501"/>
        <w:gridCol w:w="1762"/>
        <w:gridCol w:w="697"/>
        <w:gridCol w:w="699"/>
        <w:gridCol w:w="896"/>
        <w:gridCol w:w="800"/>
      </w:tblGrid>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tblHeader/>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35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主要指标</w:t>
            </w:r>
          </w:p>
        </w:tc>
        <w:tc>
          <w:tcPr>
            <w:tcW w:w="1762"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现状</w:t>
            </w:r>
          </w:p>
        </w:tc>
        <w:tc>
          <w:tcPr>
            <w:tcW w:w="2292"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规划</w:t>
            </w:r>
          </w:p>
        </w:tc>
        <w:tc>
          <w:tcPr>
            <w:tcW w:w="8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属性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tblHeader/>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35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c>
          <w:tcPr>
            <w:tcW w:w="8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生活垃圾分类覆盖率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城市建成区约75%</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开展生活垃圾分类示范占比</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城市建成区100%；农村约20%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生活垃圾回收利用率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城镇约26%</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生活垃圾一次转运能力（吨/日）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1047</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1559</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生活垃圾分类转运能力（吨/日）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基本满足城区生活垃圾分类收运处理需求</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生活垃圾无害化处理率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城镇100%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生活垃圾无害化处理能力（吨/日）</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生活垃圾资源化利用率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约50%</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生活垃圾焚烧处理能力占比</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建筑垃圾综合处理能力（万吨/年）</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36.5（已建成未运行）</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工程垃圾、拆除垃圾、装修垃圾分类收集率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70%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建筑垃圾资源化利用率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80%</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w:t>
            </w:r>
            <w:r>
              <w:rPr>
                <w:rFonts w:hint="eastAsia" w:ascii="方正仿宋_GBK" w:hAnsi="方正仿宋_GBK" w:eastAsia="方正仿宋_GBK" w:cs="方正仿宋_GBK"/>
                <w:sz w:val="24"/>
                <w:szCs w:val="24"/>
                <w:lang w:eastAsia="zh-CN"/>
              </w:rPr>
              <w:t>综合利用</w:t>
            </w:r>
            <w:r>
              <w:rPr>
                <w:rFonts w:hint="eastAsia" w:ascii="方正仿宋_GBK" w:hAnsi="方正仿宋_GBK" w:eastAsia="方正仿宋_GBK" w:cs="方正仿宋_GBK"/>
                <w:sz w:val="24"/>
                <w:szCs w:val="24"/>
              </w:rPr>
              <w:t>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22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70</w:t>
            </w:r>
            <w:r>
              <w:rPr>
                <w:rFonts w:hint="eastAsia" w:ascii="方正仿宋_GBK" w:hAnsi="方正仿宋_GBK" w:eastAsia="方正仿宋_GBK" w:cs="方正仿宋_GBK"/>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公厕建设</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现状保留环卫直管公厕（座）</w:t>
            </w:r>
          </w:p>
        </w:tc>
        <w:tc>
          <w:tcPr>
            <w:tcW w:w="176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全区直管公厕共计202座</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69</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新增环卫直管公厕（座）</w:t>
            </w: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升级改造环卫直管公厕（座）</w:t>
            </w:r>
          </w:p>
        </w:tc>
        <w:tc>
          <w:tcPr>
            <w:tcW w:w="176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清扫保洁</w:t>
            </w: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城镇主要道路机械化清扫率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城市建成区约90%，镇街约25%</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城市建成区水面垃圾清捞率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340" w:hRule="atLeast"/>
          <w:jc w:val="center"/>
        </w:trPr>
        <w:tc>
          <w:tcPr>
            <w:tcW w:w="58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35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清扫保洁作业市场化率</w:t>
            </w:r>
          </w:p>
        </w:tc>
        <w:tc>
          <w:tcPr>
            <w:tcW w:w="17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约70%</w:t>
            </w:r>
          </w:p>
        </w:tc>
        <w:tc>
          <w:tcPr>
            <w:tcW w:w="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w:t>
            </w:r>
          </w:p>
        </w:tc>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预期性</w:t>
            </w:r>
          </w:p>
        </w:tc>
      </w:tr>
      <w:tr>
        <w:tblPrEx>
          <w:tblBorders>
            <w:top w:val="single" w:color="000000" w:sz="4" w:space="0"/>
            <w:left w:val="single" w:color="000000" w:sz="4" w:space="0"/>
            <w:bottom w:val="single" w:color="000000" w:sz="4" w:space="0"/>
            <w:right w:val="single" w:color="000000" w:sz="4" w:space="0"/>
            <w:insideH w:val="single" w:color="7F7F7F" w:sz="4" w:space="0"/>
            <w:insideV w:val="single" w:color="7F7F7F" w:sz="4" w:space="0"/>
          </w:tblBorders>
          <w:tblCellMar>
            <w:top w:w="0" w:type="dxa"/>
            <w:left w:w="0" w:type="dxa"/>
            <w:bottom w:w="0" w:type="dxa"/>
            <w:right w:w="0" w:type="dxa"/>
          </w:tblCellMar>
        </w:tblPrEx>
        <w:trPr>
          <w:trHeight w:val="448" w:hRule="atLeast"/>
          <w:jc w:val="center"/>
        </w:trPr>
        <w:tc>
          <w:tcPr>
            <w:tcW w:w="8936"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备注：厨余垃圾处理设施按“十四五”期末建成运行计算相应指标</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en-US"/>
        </w:rPr>
      </w:pPr>
      <w:r>
        <w:rPr>
          <w:rFonts w:hint="eastAsia" w:ascii="方正仿宋_GBK" w:hAnsi="方正仿宋_GBK" w:eastAsia="方正仿宋_GBK" w:cs="方正仿宋_GBK"/>
          <w:sz w:val="32"/>
          <w:szCs w:val="32"/>
          <w:lang w:val="en-US"/>
        </w:rPr>
        <w:t>名词解释：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预期性指标：是指按照经济社会发展预期，规划期内要努力实现的指标。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约束性指标：是为实现规划目标，在规划期内必须实现的指标。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生活垃圾回收利用率：（生活垃圾回收利用量+厨余垃圾资源化利用量）/生活垃圾产生量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生活垃圾资源化利用率：（可回收物量+焚烧处理量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焚烧处理的资源化率折算系数+厨余垃圾处理量*厨余处理的资源化率折算系数+填埋处理量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填埋处理的资源化率折算系数）/（可回收物量+生活垃圾清运量）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100%；焚烧处理的资源化率折算系数取0.7，厨余处理的资源化率折算系数取0.9，填埋处理的资源化率折算系数有填埋气利用的取0.3、无填埋气利用的取0。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生活垃圾焚烧处理能力占比：生活垃圾焚烧无害化处理能力/生活垃圾无害化处理总能力</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工程垃圾、拆除垃圾、装修垃圾分类收集</w:t>
      </w:r>
      <w:r>
        <w:rPr>
          <w:rFonts w:hint="eastAsia" w:ascii="方正仿宋_GBK" w:hAnsi="方正仿宋_GBK" w:eastAsia="方正仿宋_GBK" w:cs="方正仿宋_GBK"/>
          <w:sz w:val="32"/>
          <w:szCs w:val="32"/>
        </w:rPr>
        <w:t>率：</w:t>
      </w:r>
      <w:r>
        <w:rPr>
          <w:rFonts w:hint="eastAsia" w:ascii="方正仿宋_GBK" w:hAnsi="方正仿宋_GBK" w:eastAsia="方正仿宋_GBK" w:cs="方正仿宋_GBK"/>
          <w:sz w:val="32"/>
          <w:szCs w:val="32"/>
          <w:lang w:eastAsia="zh-CN"/>
        </w:rPr>
        <w:t>（工程垃圾、拆除垃圾、装修垃圾分类收集量）</w:t>
      </w:r>
      <w:r>
        <w:rPr>
          <w:rFonts w:hint="eastAsia" w:ascii="方正仿宋_GBK" w:hAnsi="方正仿宋_GBK" w:eastAsia="方正仿宋_GBK" w:cs="方正仿宋_GBK"/>
          <w:sz w:val="32"/>
          <w:szCs w:val="32"/>
          <w:lang w:val="en-US" w:eastAsia="zh-CN"/>
        </w:rPr>
        <w:t>/（工程垃圾、拆除垃圾、装修垃圾产生总量）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lang w:val="en-US" w:eastAsia="zh-CN"/>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建筑垃圾</w:t>
      </w:r>
      <w:r>
        <w:rPr>
          <w:rFonts w:hint="eastAsia" w:ascii="方正仿宋_GBK" w:hAnsi="方正仿宋_GBK" w:eastAsia="方正仿宋_GBK" w:cs="方正仿宋_GBK"/>
          <w:sz w:val="32"/>
          <w:szCs w:val="32"/>
          <w:lang w:eastAsia="zh-CN"/>
        </w:rPr>
        <w:t>资源化</w:t>
      </w:r>
      <w:r>
        <w:rPr>
          <w:rFonts w:hint="eastAsia" w:ascii="方正仿宋_GBK" w:hAnsi="方正仿宋_GBK" w:eastAsia="方正仿宋_GBK" w:cs="方正仿宋_GBK"/>
          <w:sz w:val="32"/>
          <w:szCs w:val="32"/>
        </w:rPr>
        <w:t>利用率：</w:t>
      </w:r>
      <w:r>
        <w:rPr>
          <w:rFonts w:hint="eastAsia" w:ascii="方正仿宋_GBK" w:hAnsi="方正仿宋_GBK" w:eastAsia="方正仿宋_GBK" w:cs="方正仿宋_GBK"/>
          <w:sz w:val="32"/>
          <w:szCs w:val="32"/>
          <w:lang w:eastAsia="zh-CN"/>
        </w:rPr>
        <w:t>（工程垃圾、拆除垃圾、装修垃圾资源化利用量）/（工程垃圾、拆除垃圾、装修垃圾总量）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sz w:val="32"/>
          <w:szCs w:val="32"/>
        </w:rPr>
        <w:t>建筑垃圾</w:t>
      </w:r>
      <w:r>
        <w:rPr>
          <w:rFonts w:hint="eastAsia" w:ascii="方正仿宋_GBK" w:hAnsi="方正仿宋_GBK" w:eastAsia="方正仿宋_GBK" w:cs="方正仿宋_GBK"/>
          <w:sz w:val="32"/>
          <w:szCs w:val="32"/>
          <w:lang w:eastAsia="zh-CN"/>
        </w:rPr>
        <w:t>综合利用</w:t>
      </w:r>
      <w:r>
        <w:rPr>
          <w:rFonts w:hint="eastAsia" w:ascii="方正仿宋_GBK" w:hAnsi="方正仿宋_GBK" w:eastAsia="方正仿宋_GBK" w:cs="方正仿宋_GBK"/>
          <w:sz w:val="32"/>
          <w:szCs w:val="32"/>
        </w:rPr>
        <w:t>率：</w:t>
      </w:r>
      <w:r>
        <w:rPr>
          <w:rFonts w:hint="eastAsia" w:ascii="方正仿宋_GBK" w:hAnsi="方正仿宋_GBK" w:eastAsia="方正仿宋_GBK" w:cs="方正仿宋_GBK"/>
          <w:sz w:val="32"/>
          <w:szCs w:val="32"/>
          <w:lang w:eastAsia="zh-CN"/>
        </w:rPr>
        <w:t>（工程渣土、工程泥浆、工程垃圾、拆除垃圾、装修垃圾工程回填、资源化利用的量）</w:t>
      </w:r>
      <w:r>
        <w:rPr>
          <w:rFonts w:hint="eastAsia" w:ascii="方正仿宋_GBK" w:hAnsi="方正仿宋_GBK" w:eastAsia="方正仿宋_GBK" w:cs="方正仿宋_GBK"/>
          <w:sz w:val="32"/>
          <w:szCs w:val="32"/>
          <w:lang w:val="en-US" w:eastAsia="zh-CN"/>
        </w:rPr>
        <w:t>/建筑垃圾总量</w:t>
      </w:r>
      <w:r>
        <w:rPr>
          <w:rFonts w:hint="default" w:ascii="Arial" w:hAnsi="Arial" w:eastAsia="方正仿宋_GBK" w:cs="Arial"/>
          <w:sz w:val="32"/>
          <w:szCs w:val="32"/>
        </w:rPr>
        <w:t>×</w:t>
      </w:r>
      <w:r>
        <w:rPr>
          <w:rFonts w:hint="eastAsia" w:ascii="方正仿宋_GBK" w:hAnsi="方正仿宋_GBK" w:eastAsia="方正仿宋_GBK" w:cs="方正仿宋_GBK"/>
          <w:sz w:val="32"/>
          <w:szCs w:val="32"/>
        </w:rPr>
        <w:t>100%。</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rPr>
      </w:pPr>
      <w:bookmarkStart w:id="63" w:name="_Toc69917223"/>
      <w:bookmarkStart w:id="64" w:name="_Toc87717271"/>
      <w:bookmarkStart w:id="65" w:name="_Toc70592242"/>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宋体" w:hAnsi="宋体" w:eastAsia="方正仿宋_GBK" w:cs="方正仿宋_GBK"/>
          <w:sz w:val="32"/>
          <w:szCs w:val="32"/>
        </w:rPr>
      </w:pPr>
    </w:p>
    <w:p>
      <w:pPr>
        <w:pStyle w:val="2"/>
        <w:bidi w:val="0"/>
        <w:rPr>
          <w:rFonts w:hint="eastAsia"/>
        </w:rPr>
      </w:pPr>
      <w:bookmarkStart w:id="66" w:name="_Toc1456808071"/>
      <w:r>
        <w:rPr>
          <w:rFonts w:hint="eastAsia"/>
          <w:lang w:eastAsia="zh-CN"/>
        </w:rPr>
        <w:t>第四章</w:t>
      </w:r>
      <w:r>
        <w:rPr>
          <w:rFonts w:hint="eastAsia"/>
          <w:lang w:val="en-US" w:eastAsia="zh-CN"/>
        </w:rPr>
        <w:t xml:space="preserve">  </w:t>
      </w:r>
      <w:r>
        <w:rPr>
          <w:rFonts w:hint="eastAsia"/>
        </w:rPr>
        <w:t>主要任务</w:t>
      </w:r>
      <w:bookmarkEnd w:id="63"/>
      <w:bookmarkEnd w:id="64"/>
      <w:bookmarkEnd w:id="65"/>
      <w:bookmarkEnd w:id="66"/>
    </w:p>
    <w:p>
      <w:pPr>
        <w:pStyle w:val="4"/>
        <w:bidi w:val="0"/>
        <w:rPr>
          <w:rFonts w:hint="eastAsia" w:ascii="宋体" w:hAnsi="宋体" w:eastAsia="方正仿宋_GBK" w:cs="方正仿宋_GBK"/>
          <w:sz w:val="32"/>
          <w:szCs w:val="32"/>
        </w:rPr>
      </w:pPr>
      <w:bookmarkStart w:id="67" w:name="_Toc87717272"/>
      <w:bookmarkStart w:id="68" w:name="_Toc2135603585"/>
      <w:bookmarkStart w:id="69" w:name="_Toc70592244"/>
      <w:bookmarkStart w:id="70" w:name="_Toc69917224"/>
      <w:bookmarkStart w:id="71" w:name="_Toc70592243"/>
      <w:r>
        <w:rPr>
          <w:rFonts w:hint="eastAsia"/>
          <w:lang w:eastAsia="zh-CN"/>
        </w:rPr>
        <w:t>第一节</w:t>
      </w:r>
      <w:r>
        <w:rPr>
          <w:rFonts w:hint="eastAsia"/>
          <w:lang w:val="en-US" w:eastAsia="zh-CN"/>
        </w:rPr>
        <w:t xml:space="preserve">  </w:t>
      </w:r>
      <w:r>
        <w:rPr>
          <w:rFonts w:hint="eastAsia"/>
        </w:rPr>
        <w:t>提升清扫保洁作业水平</w:t>
      </w:r>
      <w:bookmarkEnd w:id="67"/>
      <w:bookmarkEnd w:id="68"/>
      <w:bookmarkEnd w:id="6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道路清扫保洁管理，提高作业水平和服务质量。进一步落实《城市市容和环境卫生管理条例》和《重庆市城市环境卫生管理条例》，加强荣昌区城市道路清扫保洁管理，提高道路清扫作业水平和服务质量。明确道路清扫责任分工，通过“门前三包”、村规民约等方式明确居民保洁义务，进一步提高荣昌区城镇主要道路机械化清扫率，合理安排机械化保洁设备、车辆和专业技术人员，合理安排分配环卫经费，协调相关职能部门共同协作，强化区域性属地管理，建立竞争机制，推进环卫作业市场化进程。不断完善保障道路清扫保洁措施，保障环卫工人合法权益，强化日常巡查力度，强化路面清扫保洁力度，加强职工队伍建设，提高环卫作业人员整体素质，加大工作考核力度，开展机械化保洁创优活动。进一步做好道路深度保洁工作，提高城市环卫保洁水平，实现城区城市主要道路机械化清扫率达到95%，镇街主要道路机械化清扫率达到30%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稳抓水域清漂保洁工作，开展水域清漂联防联控。深入落实河（湖）长制，大力开展“清河、护岸、净水、保水”行动，充分保障下游水生态安全；进一步完善清漂设施设备，优化配置打捞和转运能力；加强区域协作、上下联动，建立健全</w:t>
      </w:r>
      <w:bookmarkStart w:id="72" w:name="_Hlk81471644"/>
      <w:r>
        <w:rPr>
          <w:rFonts w:hint="eastAsia" w:ascii="宋体" w:hAnsi="宋体" w:eastAsia="方正仿宋_GBK" w:cs="方正仿宋_GBK"/>
          <w:sz w:val="32"/>
          <w:szCs w:val="32"/>
        </w:rPr>
        <w:t>成渝地区双城经济圈</w:t>
      </w:r>
      <w:bookmarkEnd w:id="72"/>
      <w:bookmarkStart w:id="73" w:name="_Hlk83290326"/>
      <w:r>
        <w:rPr>
          <w:rFonts w:hint="eastAsia" w:ascii="宋体" w:hAnsi="宋体" w:eastAsia="方正仿宋_GBK" w:cs="方正仿宋_GBK"/>
          <w:sz w:val="32"/>
          <w:szCs w:val="32"/>
        </w:rPr>
        <w:t>水域清漂保洁联动联控机制</w:t>
      </w:r>
      <w:bookmarkEnd w:id="73"/>
      <w:r>
        <w:rPr>
          <w:rFonts w:hint="eastAsia" w:ascii="宋体" w:hAnsi="宋体" w:eastAsia="方正仿宋_GBK" w:cs="方正仿宋_GBK"/>
          <w:sz w:val="32"/>
          <w:szCs w:val="32"/>
        </w:rPr>
        <w:t>；加强应急联动，做到早发现、早处置，对漂浮物实行层层拦截，切实减轻地方水环境污染负荷。原则上，就近结合生活垃圾转运站设置水域垃圾上岸点，分流压缩后由环卫专用车运送至对应处理设施进行处理。</w:t>
      </w:r>
    </w:p>
    <w:p>
      <w:pPr>
        <w:pStyle w:val="4"/>
        <w:bidi w:val="0"/>
        <w:rPr>
          <w:rFonts w:hint="eastAsia" w:ascii="宋体" w:hAnsi="宋体" w:eastAsia="方正仿宋_GBK" w:cs="方正仿宋_GBK"/>
          <w:sz w:val="32"/>
          <w:szCs w:val="32"/>
        </w:rPr>
      </w:pPr>
      <w:bookmarkStart w:id="74" w:name="_Toc1553810240"/>
      <w:bookmarkStart w:id="75" w:name="_Toc87717273"/>
      <w:r>
        <w:rPr>
          <w:rFonts w:hint="eastAsia"/>
          <w:lang w:eastAsia="zh-CN"/>
        </w:rPr>
        <w:t>第二节</w:t>
      </w:r>
      <w:r>
        <w:rPr>
          <w:rFonts w:hint="eastAsia"/>
          <w:lang w:val="en-US" w:eastAsia="zh-CN"/>
        </w:rPr>
        <w:t xml:space="preserve">  </w:t>
      </w:r>
      <w:r>
        <w:rPr>
          <w:rFonts w:hint="eastAsia"/>
        </w:rPr>
        <w:t>健全垃圾收运处理体系</w:t>
      </w:r>
      <w:bookmarkEnd w:id="70"/>
      <w:bookmarkEnd w:id="71"/>
      <w:bookmarkEnd w:id="74"/>
      <w:bookmarkEnd w:id="7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生活垃圾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引导推动垃圾源头减量。建立涵盖生产、流通、消费等领域的各类生活垃圾源头减量工作机制，避免过度包装，推行净菜上市，促进闲置物品再使用，减少一次性产品的使用量，旅游、住宿等行业应当按照国家有关规定推行不主动提供一次性用品；依法禁止、限制生产、销售和使用不可降解塑料袋等一次性塑料制品；探索出台差异化收费制度、可回收物回收补贴机制相关政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抓细抓实垃圾分类工作。加强生活垃圾分类宣传教育，普及分类知识，提高群众垃圾分类知晓率和参与率，推动习惯养成。全面推行生活垃圾精准分类，尽快制定出台相关办法，按照《生活垃圾分类标志》要求细化生活垃圾细分类别、品种、投放、收运、处置等方面要求。压实属地责任和部门属事责任，构建齐抓共管合力，强化“人、财、物”保障，强化考评督导，确保分类工作落实到位。切实提高民众对垃圾分类处理的认识，强化生活垃圾的源头减量，确保生活垃圾分类工作常态化和长效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标准设置分类收集设施。统筹开展生活垃圾收集设施规范化建设，推进垃圾分类收集设施建设改造，统一规范收集设施颜色和图文标志；有序推进定时定点分类投放、楼层撤桶、厨余垃圾滤出水分投放、桶车对接、厢车对接、车车对接等新式清洁收集方式，提高可回收物、厨余垃圾分类投放比例；加快城市建成区生活垃圾前端收集设施转型升级，逐步改造升级既有收集站，完成功能转换；已建区逐步补建垃圾分类收集点，新建区域不再增设垃圾收集站，同时强制要求开发商在小区建设同时配建垃圾分类收集点，满足生活垃圾分类要求，提升垃圾收运效率；创新推行生活垃圾分类智能化设备，引导居民广泛参与、准确分类投放，实现生活垃圾分类收集设施全覆盖。“十四五”期间，荣昌区城区生活垃圾分类收集设施覆盖率达到100%。</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分类转运系统。以镇街为中心，建立“户集、村收、镇（街道）运、区处理”的城乡一体化生活垃圾分类收运模式。因地制宜选择新建或提档升级等方式提高生活垃圾转运能力，并预留应急规模；综合考虑大件垃圾、有害垃圾、可回收物等分类、周转所需设备、场所等因素，新、改建生活垃圾转运站应满足分类转运功能；生活垃圾转运站配建渗滤液收集设施，降低二次污染；每个镇街原则上建设1—2座生活垃圾转运站，相邻镇街可共建共享，普及密闭或压缩式运输车辆，提高收运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分类处理体系。加强规划衔接，切实保障设施建设用地，加快形成以资源化利用和焚烧处理为主、填埋处理为应急保障、其他处理方式并存的生活垃圾分类处理体系。倡导“绿色焚烧”理念，优化技术工艺，加快推进生活垃圾焚烧处理设施建设，提高生活垃圾焚烧处理能力占比；标准配建相关设施，有效解决焚烧烟气和飞灰、渗滤液等二次污染问题，提高污染控制水平。结合焚烧处理设施建设情况，鼓励采取库容腾退、生态修复、景观营造等措施有序开展生活垃圾填埋场规范封场，加强应急保障能力。以餐厨垃圾及家庭厨余垃圾为重点，因地制宜选择科学合理的处理技术路线，加快推动厨余垃圾处理设施建设，鼓励厨余垃圾与其他有机垃圾协同处置，促成厨余垃圾生产生物柴油、沼气、土壤改良剂、生物蛋白等产品，实现资源化利用。</w:t>
      </w:r>
    </w:p>
    <w:tbl>
      <w:tblPr>
        <w:tblStyle w:val="10"/>
        <w:tblW w:w="8843"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专栏一：生活垃圾分类收运处理方案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生活垃圾分类投放：</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城区及镇街全面开展生活垃圾四分类工作，基本实现城区公共机构、相关企业全面精准分类，起到示范带头作用；</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农村地区结合实际形成可复制、可推广的分类投放模式，鼓励采取“二次四分法”为主，“一次四分法”、“三分法”等多种模式相结合的分类方式，完成市级农村生活垃圾分类示范区建设。</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生活垃圾分类收运：</w:t>
            </w:r>
            <w:r>
              <w:rPr>
                <w:rFonts w:hint="eastAsia" w:ascii="宋体" w:hAnsi="宋体" w:eastAsia="方正仿宋_GBK" w:cs="方正仿宋_GBK"/>
                <w:sz w:val="28"/>
                <w:szCs w:val="28"/>
              </w:rPr>
              <w:t>全区规划生活垃圾转运站共计27座，转运能力共计1559吨/日，其中，城区9座（规划新增6座，提档升级3座），镇街18座（规划新增7座，提档升级11座）。详见附表4-2。</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城区、镇街及距离生活垃圾处理设施较近的地区建立“一次转运+直运”相结合的分类收运模式；</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交通不便、运距较远的少数地区，可采取“户集、村收、镇处理”的镇街集中收运模式；</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极少数不具备集中收运条件的偏远自然村组，可采取“户集、村收、村处理”的村庄分散收运模式。</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8038" w:hRule="atLeast"/>
          <w:jc w:val="center"/>
        </w:trPr>
        <w:tc>
          <w:tcPr>
            <w:tcW w:w="884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生活垃圾分类处理：</w:t>
            </w:r>
            <w:r>
              <w:rPr>
                <w:rFonts w:hint="eastAsia" w:ascii="宋体" w:hAnsi="宋体" w:eastAsia="方正仿宋_GBK" w:cs="方正仿宋_GBK"/>
                <w:sz w:val="28"/>
                <w:szCs w:val="28"/>
              </w:rPr>
              <w:t>形成以资源化利用和焚烧处理为主、填埋处理为应急保障、其他处理方式并存的生活垃圾分类处理体系。详见附表4-1。</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生活垃圾焚烧处理设施：规划新增生活垃圾焚烧处理设施1座，占地面积7公顷，建设规模600吨/日；</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生活垃圾填埋处理设施：有序推进既有填埋场部分规范封场，着重做好堆体边坡整形、渗滤液收集导排和处理、堆体覆盖、植被恢复、填埋气收集处理设施建设，并对封场填埋设施开展定期跟踪监测，解决生活垃圾无害化处理过程中的二次污染问题，鼓励采取库容腾退、生态修复、景观营造等措施推动规范封场治理，同时，剩余库容转为应急保障；</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厨余垃圾处理设施：规划近期厨余垃圾处理考虑区域协同共享，由周边区县厨余垃圾处理设施协同处置；同时，荣昌区应结合区情积极探索厨余垃圾处理技术，力争“十四五”期末，稳步推进荣昌区厨余垃圾处理设施建设。</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④</w:t>
            </w:r>
            <w:r>
              <w:rPr>
                <w:rFonts w:hint="eastAsia" w:ascii="宋体" w:hAnsi="宋体" w:eastAsia="方正仿宋_GBK" w:cs="方正仿宋_GBK"/>
                <w:sz w:val="28"/>
                <w:szCs w:val="28"/>
              </w:rPr>
              <w:t>农村地区处理设施：因地制宜推动农村地区协同处理设施建设，各类处理设施均应达到环保要求，不能产生二次污染，不得使用没有稳定达标运行实绩的工艺；禁止露天焚烧或利用耕地、山谷、河塘沟渠等直接堆放或填埋农村垃圾，坚决防止生活垃圾污染“大转移”。</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sz w:val="32"/>
          <w:szCs w:val="32"/>
        </w:rPr>
        <w:t>建筑垃圾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贯彻落实发展循环经济、建设环境友好型和资源节约型社会的新型发展理念，按照“无废城市”建设要求，建立源头排放控制有力、密闭运输监管严密、消纳处置利用规范的长效管理机制，加强建筑垃圾全过程管理，最大限度减少填埋量，实现建筑垃圾综合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落实责任，加快推进源头减量。深入贯彻落实《重庆市房屋市政工程建筑垃圾减量化工作实施方案》，落实建设单位建筑垃圾减量化的首要责任，强化绿色策划、绿色设计和绿色施工，建立健全建筑垃圾减量化工作机制，进一步推进建筑垃圾减量化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分类处理，提高综合利用水平。深入推进建筑垃圾分类收集、分类运输、分类处理工作，积极探索建筑垃圾资源化利用技术及途径，有序开展建筑垃圾综合处理设施建设，提高建筑垃圾资源化水平。工程渣土和工程泥浆按照“谁产生、谁负责”原则，督促责任主体进行就近区域平衡，可资源化利用的部分进入建筑垃圾综合处理厂资源化利用，无法平衡和资源化利用的部分则进入建筑渣土填埋场进行回填。工程垃圾和拆除垃圾采用“源头分类→收运→回收利用→资源化利用”的处理模式，在源头分类后通过规范清运，进行回收和资源化利用。装修垃圾采用“收集→运输→分选→回收利用→资源化利用→无害化填埋”的处理模式，分选出的可回收材料进入再生资源回收利用体系，可再生利用的流入建筑垃圾综合处理厂进行资源化利用，不能就地处理、就地使用以及有害的建筑垃圾，进入装修垃圾填埋场进行无害化填埋处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top"/>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方正仿宋_GBK" w:cs="方正仿宋_GBK"/>
                <w:kern w:val="2"/>
                <w:sz w:val="28"/>
                <w:szCs w:val="28"/>
                <w:lang w:val="en-US" w:eastAsia="zh-CN" w:bidi="ar-SA"/>
              </w:rPr>
            </w:pPr>
            <w:r>
              <w:rPr>
                <w:rFonts w:hint="eastAsia" w:ascii="方正黑体_GBK" w:hAnsi="方正黑体_GBK" w:eastAsia="方正黑体_GBK" w:cs="方正黑体_GBK"/>
                <w:sz w:val="28"/>
                <w:szCs w:val="28"/>
              </w:rPr>
              <w:t>专栏二：建筑垃圾分类处置方案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center"/>
          </w:tcPr>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kern w:val="2"/>
                <w:sz w:val="28"/>
                <w:szCs w:val="28"/>
                <w:lang w:val="en-US" w:eastAsia="zh-CN" w:bidi="ar-SA"/>
              </w:rPr>
            </w:pPr>
            <w:r>
              <w:rPr>
                <w:rFonts w:hint="eastAsia" w:ascii="宋体" w:hAnsi="宋体" w:eastAsia="方正仿宋_GBK" w:cs="方正仿宋_GBK"/>
                <w:sz w:val="28"/>
                <w:szCs w:val="28"/>
              </w:rPr>
              <w:t>至2025年，荣昌区</w:t>
            </w:r>
            <w:r>
              <w:rPr>
                <w:rFonts w:hint="eastAsia" w:ascii="宋体" w:hAnsi="宋体" w:eastAsia="方正仿宋_GBK" w:cs="方正仿宋_GBK"/>
                <w:sz w:val="28"/>
                <w:szCs w:val="28"/>
                <w:lang w:eastAsia="zh-CN"/>
              </w:rPr>
              <w:t>工程垃圾、拆除垃圾、装修垃圾分类收集率达</w:t>
            </w:r>
            <w:r>
              <w:rPr>
                <w:rFonts w:hint="eastAsia" w:ascii="宋体" w:hAnsi="宋体" w:eastAsia="方正仿宋_GBK" w:cs="方正仿宋_GBK"/>
                <w:sz w:val="28"/>
                <w:szCs w:val="28"/>
                <w:lang w:val="en-US" w:eastAsia="zh-CN"/>
              </w:rPr>
              <w:t xml:space="preserve">70%，建筑垃圾资源化利用率达80%，建筑垃圾综合利用率达70%。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8" w:type="dxa"/>
            <w:noWrap w:val="0"/>
            <w:vAlign w:val="top"/>
          </w:tcPr>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建筑垃圾处理设施：</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①</w:t>
            </w:r>
            <w:r>
              <w:rPr>
                <w:rFonts w:hint="eastAsia" w:ascii="宋体" w:hAnsi="宋体" w:eastAsia="方正仿宋_GBK" w:cs="方正仿宋_GBK"/>
                <w:sz w:val="28"/>
                <w:szCs w:val="28"/>
              </w:rPr>
              <w:t>投入运行1座建筑垃圾综合处理厂，总处理能力为36.5万吨/年；</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②</w:t>
            </w:r>
            <w:r>
              <w:rPr>
                <w:rFonts w:hint="eastAsia" w:ascii="宋体" w:hAnsi="宋体" w:eastAsia="方正仿宋_GBK" w:cs="方正仿宋_GBK"/>
                <w:sz w:val="28"/>
                <w:szCs w:val="28"/>
              </w:rPr>
              <w:t>规划新建1座装修垃圾分选场，总处理能力为15万吨/年；</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③</w:t>
            </w:r>
            <w:r>
              <w:rPr>
                <w:rFonts w:hint="eastAsia" w:ascii="宋体" w:hAnsi="宋体" w:eastAsia="方正仿宋_GBK" w:cs="方正仿宋_GBK"/>
                <w:sz w:val="28"/>
                <w:szCs w:val="28"/>
              </w:rPr>
              <w:t>规划新建1座装修垃圾填埋场，总填埋库容为40万立方米。</w:t>
            </w:r>
          </w:p>
          <w:p>
            <w:pPr>
              <w:keepNext w:val="0"/>
              <w:keepLines w:val="0"/>
              <w:pageBreakBefore w:val="0"/>
              <w:widowControl w:val="0"/>
              <w:kinsoku/>
              <w:wordWrap/>
              <w:overflowPunct/>
              <w:topLinePunct w:val="0"/>
              <w:autoSpaceDE/>
              <w:autoSpaceDN/>
              <w:bidi w:val="0"/>
              <w:adjustRightInd/>
              <w:snapToGrid w:val="0"/>
              <w:ind w:firstLine="560" w:firstLineChars="200"/>
              <w:textAlignment w:val="auto"/>
              <w:rPr>
                <w:rFonts w:hint="eastAsia" w:ascii="宋体" w:hAnsi="宋体" w:eastAsia="方正仿宋_GBK" w:cs="方正仿宋_GBK"/>
                <w:sz w:val="28"/>
                <w:szCs w:val="28"/>
              </w:rPr>
            </w:pPr>
            <w:r>
              <w:rPr>
                <w:rFonts w:hint="eastAsia" w:ascii="汉仪书宋二S" w:hAnsi="汉仪书宋二S" w:eastAsia="汉仪书宋二S" w:cs="汉仪书宋二S"/>
                <w:sz w:val="28"/>
                <w:szCs w:val="28"/>
              </w:rPr>
              <w:t>④</w:t>
            </w:r>
            <w:r>
              <w:rPr>
                <w:rFonts w:hint="eastAsia" w:ascii="宋体" w:hAnsi="宋体" w:eastAsia="方正仿宋_GBK" w:cs="方正仿宋_GBK"/>
                <w:sz w:val="28"/>
                <w:szCs w:val="28"/>
              </w:rPr>
              <w:t>为节约用地及投资，建议建筑垃圾处理设施合并建设，详见附表4-1。</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全程监管，保障长效安全处置。建立建筑垃圾全过程监管制度，规范建筑垃圾源头产生、过程运输、终端处置行为，加强污染防治。加强对建筑垃圾综合治理过程中的源头减量监督，尤其是对建设项目建筑垃圾的就地平衡方案、源头分类情况、源头利用情况进行监督。优化建筑垃圾车辆运输管理系统和建筑垃圾综合管理循环利用平台，强化执法信息共享、数据对接，加强建筑垃圾运输车辆监控，进一步规范建筑垃圾运输监管。加强对建筑垃圾综合处理厂、装修垃圾填埋场等终端处理设施的全过程监管，对其处置作业是否符合相关技术规范、消纳指标是否达到标准、终端处置是否无害化、生态修复措施是否自然生态等方面进行监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大件、园林垃圾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规范大件垃圾收运处理。结合生活垃圾转运站、再生资源回收点等设施合并配套设置大件垃圾堆放场，并明确投放管理责任人。大件垃圾运输部门对运输单位、运输工具名称、牌号、大件垃圾名称、来源、重量或者数量、受纳场地等信息进行登记，并取得受纳场地管理部门签发的回执，定期报送环卫部门检查。家用电器和电子产品由市场上具有相应资质的公司进行集中回收处理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园林垃圾循环利用。健全园林垃圾全过程处置机制，坚持推进园林垃圾源头分流减量，建设园林垃圾处理设施。根据园林垃圾物质特性，鼓励采取粉碎后做生态覆盖物，发酵堆肥生产绿化用有机基质或有机肥、生产生物质燃料等资源化利用方式，实现园林垃圾循环利用。</w:t>
      </w:r>
    </w:p>
    <w:tbl>
      <w:tblPr>
        <w:tblStyle w:val="10"/>
        <w:tblpPr w:leftFromText="180" w:rightFromText="180" w:vertAnchor="text" w:horzAnchor="page" w:tblpXSpec="center" w:tblpY="130"/>
        <w:tblOverlap w:val="never"/>
        <w:tblW w:w="8678"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678"/>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505"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方正仿宋_GBK" w:cs="方正仿宋_GBK"/>
                <w:sz w:val="28"/>
                <w:szCs w:val="28"/>
              </w:rPr>
            </w:pPr>
            <w:r>
              <w:rPr>
                <w:rFonts w:hint="eastAsia" w:ascii="方正黑体_GBK" w:hAnsi="方正黑体_GBK" w:eastAsia="方正黑体_GBK" w:cs="方正黑体_GBK"/>
                <w:sz w:val="28"/>
                <w:szCs w:val="28"/>
              </w:rPr>
              <w:t>专栏三：大件、园林垃圾处置方案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2596"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大件垃圾处理设施：</w:t>
            </w:r>
            <w:r>
              <w:rPr>
                <w:rFonts w:hint="eastAsia" w:ascii="宋体" w:hAnsi="宋体" w:eastAsia="方正仿宋_GBK" w:cs="方正仿宋_GBK"/>
                <w:sz w:val="28"/>
                <w:szCs w:val="28"/>
              </w:rPr>
              <w:t>规划新建1座大件垃圾拆解中心，处理规模1万吨/年，建议结合装修垃圾分选场合建。拆解后的再生资源与生活垃圾中可回收物合流回收，木质材料与园林垃圾合流进行统一处理，其他垃圾和有害垃圾在转运站内进行与生活垃圾中的相应成分合流，合流后的各类垃圾再运输到相应处理设施中进行分类处理。详见附表4-1。</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20" w:hRule="atLeast"/>
          <w:jc w:val="center"/>
        </w:trPr>
        <w:tc>
          <w:tcPr>
            <w:tcW w:w="86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rPr>
              <w:t>园林垃圾处理设施：</w:t>
            </w:r>
            <w:r>
              <w:rPr>
                <w:rFonts w:hint="eastAsia" w:ascii="宋体" w:hAnsi="宋体" w:eastAsia="方正仿宋_GBK" w:cs="方正仿宋_GBK"/>
                <w:sz w:val="28"/>
                <w:szCs w:val="28"/>
              </w:rPr>
              <w:t>规划新建1座园林垃圾堆肥场，处理规模15吨/日，实现园林垃圾循环利用。详见附表4-1。</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32"/>
        </w:rPr>
      </w:pPr>
      <w:bookmarkStart w:id="76" w:name="_Toc69917226"/>
      <w:bookmarkStart w:id="77" w:name="_Toc70592245"/>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“两网融合”促进资源利用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资源节约集约循环利用政策体系，推动资源利用方式根本转变，促进生产、流通、消费过程的减量化、再利用、资源化。推动大宗固体废弃物综合利用基地建设，加快垃圾分类处理与再生资源利用“两网融合”，构建线上线下融合的废旧资源回收和循环利用体系，进一步提高废旧资源利用效率，完善循环产业链条。</w:t>
      </w:r>
      <w:bookmarkStart w:id="78" w:name="_Toc87717274"/>
    </w:p>
    <w:p>
      <w:pPr>
        <w:pStyle w:val="4"/>
        <w:bidi w:val="0"/>
        <w:rPr>
          <w:rFonts w:hint="eastAsia"/>
        </w:rPr>
      </w:pPr>
      <w:bookmarkStart w:id="79" w:name="_Toc1922931479"/>
      <w:r>
        <w:rPr>
          <w:rFonts w:hint="eastAsia"/>
          <w:lang w:eastAsia="zh-CN"/>
        </w:rPr>
        <w:t>第三节</w:t>
      </w:r>
      <w:r>
        <w:rPr>
          <w:rFonts w:hint="eastAsia"/>
          <w:lang w:val="en-US" w:eastAsia="zh-CN"/>
        </w:rPr>
        <w:t xml:space="preserve">  </w:t>
      </w:r>
      <w:r>
        <w:rPr>
          <w:rFonts w:hint="eastAsia"/>
        </w:rPr>
        <w:t>落实公厕、粪便管理工作</w:t>
      </w:r>
      <w:bookmarkEnd w:id="76"/>
      <w:bookmarkEnd w:id="77"/>
      <w:bookmarkEnd w:id="78"/>
      <w:bookmarkEnd w:id="7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合理优化布局，提升公厕服务水平。强化规范引导，结合城市用地布局，合理优化公厕布局，满足公厕服务范围全覆盖；深化落实《城市公厕“增量提质”（2020年—2022年）实施方案》，严格执行《农村改厕管理办法》，进一步推进“厕所革命”，提高城乡公厕服务质量；加强公厕人性化设计，推进公厕智慧化建设，满足市民日益提高的舒适化、个性化、体验化、多元化需求；强化公厕管理责任，严格落实公厕的管理责任，进一步健全公厕管理责任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监管机制，加强在线实时监控。加强公厕及化粪池环境监管工作，结合相关排查整治专项行动，完善监管机制，落实管理责任，定时对公厕和化粪池进行规范化的除臭和清掏疏浚；在环境敏感地带、人口密集区及国家机关和事业单位等重点场所，化粪池在线监控系统覆盖率达到20%；有条件的地区，可结合智慧公厕改造建设，加强公厕和化粪池的排污监测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规范行业行为，健全粪便收运处理体系。对辖区内化粪池进行全面排查，摸清底数，建档造册，并监督责任主体定期组织化粪池清掏工作，杜绝粪便长期淤积造成管道阻塞或粪便满溢现象发生。以特许经营等形式将粪便清掏收运工作承包给具有资质的环卫企业，确保粪便清运有序。积极探索粪渣生物处理、回田再利用、无害化处理等路径，加快建设粪便处理设施，实现无害化处理、资源化利用。</w:t>
      </w:r>
    </w:p>
    <w:tbl>
      <w:tblPr>
        <w:tblStyle w:val="10"/>
        <w:tblW w:w="8904"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195" w:hRule="atLeast"/>
          <w:jc w:val="center"/>
        </w:trPr>
        <w:tc>
          <w:tcPr>
            <w:tcW w:w="8904" w:type="dxa"/>
            <w:tcBorders>
              <w:tl2br w:val="nil"/>
              <w:tr2bl w:val="nil"/>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方正仿宋_GBK" w:cs="方正仿宋_GBK"/>
                <w:b w:val="0"/>
                <w:bCs w:val="0"/>
                <w:kern w:val="0"/>
                <w:sz w:val="28"/>
                <w:szCs w:val="28"/>
              </w:rPr>
            </w:pPr>
            <w:bookmarkStart w:id="80" w:name="_Toc69917227"/>
            <w:bookmarkStart w:id="81" w:name="_Toc87717275"/>
            <w:bookmarkStart w:id="82" w:name="_Toc70592246"/>
            <w:r>
              <w:rPr>
                <w:rFonts w:hint="eastAsia" w:ascii="方正黑体_GBK" w:hAnsi="方正黑体_GBK" w:eastAsia="方正黑体_GBK" w:cs="方正黑体_GBK"/>
                <w:b w:val="0"/>
                <w:bCs w:val="0"/>
                <w:kern w:val="0"/>
                <w:sz w:val="28"/>
                <w:szCs w:val="28"/>
              </w:rPr>
              <w:t>专栏四：公厕建设及粪便管理方案</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790" w:hRule="atLeast"/>
          <w:jc w:val="center"/>
        </w:trPr>
        <w:tc>
          <w:tcPr>
            <w:tcW w:w="890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方正楷体_GBK" w:hAnsi="方正楷体_GBK" w:eastAsia="方正楷体_GBK" w:cs="方正楷体_GBK"/>
                <w:b w:val="0"/>
                <w:bCs w:val="0"/>
                <w:kern w:val="0"/>
                <w:sz w:val="28"/>
                <w:szCs w:val="28"/>
              </w:rPr>
              <w:t>公共厕所：</w:t>
            </w:r>
            <w:r>
              <w:rPr>
                <w:rFonts w:hint="eastAsia" w:ascii="宋体" w:hAnsi="宋体" w:eastAsia="方正仿宋_GBK" w:cs="方正仿宋_GBK"/>
                <w:b w:val="0"/>
                <w:bCs w:val="0"/>
                <w:kern w:val="0"/>
                <w:sz w:val="28"/>
                <w:szCs w:val="28"/>
              </w:rPr>
              <w:t>“十四五”规划期间，全区环卫直管公共厕所总量达到252座（详见附表4-3），其中：</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leftChars="0" w:firstLine="560" w:firstLine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城区公厕141座：现状保留91座，规划新增25座，升级改造25座；</w:t>
            </w:r>
          </w:p>
          <w:p>
            <w:pPr>
              <w:keepNext w:val="0"/>
              <w:keepLines w:val="0"/>
              <w:pageBreakBefore w:val="0"/>
              <w:widowControl/>
              <w:numPr>
                <w:ilvl w:val="0"/>
                <w:numId w:val="0"/>
              </w:numPr>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镇街公厕111座：现状保留69座，规划新增26座，升级改造16座。</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94" w:hRule="atLeast"/>
          <w:jc w:val="center"/>
        </w:trPr>
        <w:tc>
          <w:tcPr>
            <w:tcW w:w="8904" w:type="dxa"/>
            <w:tcBorders>
              <w:tl2br w:val="nil"/>
              <w:tr2bl w:val="nil"/>
            </w:tcBorders>
            <w:noWrap w:val="0"/>
            <w:vAlign w:val="top"/>
          </w:tcPr>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方正楷体_GBK" w:hAnsi="方正楷体_GBK" w:eastAsia="方正楷体_GBK" w:cs="方正楷体_GBK"/>
                <w:b w:val="0"/>
                <w:bCs w:val="0"/>
                <w:kern w:val="0"/>
                <w:sz w:val="28"/>
                <w:szCs w:val="28"/>
              </w:rPr>
              <w:t>化粪池监管：</w:t>
            </w:r>
            <w:r>
              <w:rPr>
                <w:rFonts w:hint="eastAsia" w:ascii="宋体" w:hAnsi="宋体" w:eastAsia="方正仿宋_GBK" w:cs="方正仿宋_GBK"/>
                <w:b w:val="0"/>
                <w:bCs w:val="0"/>
                <w:kern w:val="0"/>
                <w:sz w:val="28"/>
                <w:szCs w:val="28"/>
              </w:rPr>
              <w:t>加强公厕和化粪池的排污监测能力，重点场所化粪池在线监控系统覆盖率达到20%。</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机关企事业单位等厕所化粪池每年要清掏2次以上；</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居民住宅区化粪池每年清掏1次以上；</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③</w:t>
            </w:r>
            <w:r>
              <w:rPr>
                <w:rFonts w:hint="eastAsia" w:ascii="宋体" w:hAnsi="宋体" w:eastAsia="方正仿宋_GBK" w:cs="方正仿宋_GBK"/>
                <w:b w:val="0"/>
                <w:bCs w:val="0"/>
                <w:kern w:val="0"/>
                <w:sz w:val="28"/>
                <w:szCs w:val="28"/>
              </w:rPr>
              <w:t>公厕化粪池每年至少清掏2—3次，确保粪水不外溢。</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985" w:hRule="atLeast"/>
          <w:jc w:val="center"/>
        </w:trPr>
        <w:tc>
          <w:tcPr>
            <w:tcW w:w="8904" w:type="dxa"/>
            <w:tcBorders>
              <w:tl2br w:val="nil"/>
              <w:tr2bl w:val="nil"/>
            </w:tcBorders>
            <w:noWrap w:val="0"/>
            <w:vAlign w:val="top"/>
          </w:tcPr>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方正楷体_GBK" w:hAnsi="方正楷体_GBK" w:eastAsia="方正楷体_GBK" w:cs="方正楷体_GBK"/>
                <w:b w:val="0"/>
                <w:bCs w:val="0"/>
                <w:kern w:val="0"/>
                <w:sz w:val="28"/>
                <w:szCs w:val="28"/>
              </w:rPr>
            </w:pPr>
            <w:r>
              <w:rPr>
                <w:rFonts w:hint="eastAsia" w:ascii="方正楷体_GBK" w:hAnsi="方正楷体_GBK" w:eastAsia="方正楷体_GBK" w:cs="方正楷体_GBK"/>
                <w:b w:val="0"/>
                <w:bCs w:val="0"/>
                <w:kern w:val="0"/>
                <w:sz w:val="28"/>
                <w:szCs w:val="28"/>
              </w:rPr>
              <w:t>粪便收运处理：</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①</w:t>
            </w:r>
            <w:r>
              <w:rPr>
                <w:rFonts w:hint="eastAsia" w:ascii="宋体" w:hAnsi="宋体" w:eastAsia="方正仿宋_GBK" w:cs="方正仿宋_GBK"/>
                <w:b w:val="0"/>
                <w:bCs w:val="0"/>
                <w:kern w:val="0"/>
                <w:sz w:val="28"/>
                <w:szCs w:val="28"/>
              </w:rPr>
              <w:t>粪便收运：以特许经营等形式将粪便清掏收运工作承包给具有资质的环卫企业，确保粪便清运有序；</w:t>
            </w:r>
          </w:p>
          <w:p>
            <w:pPr>
              <w:pStyle w:val="13"/>
              <w:keepNext w:val="0"/>
              <w:keepLines w:val="0"/>
              <w:pageBreakBefore w:val="0"/>
              <w:numPr>
                <w:ilvl w:val="0"/>
                <w:numId w:val="0"/>
              </w:numPr>
              <w:kinsoku/>
              <w:wordWrap/>
              <w:overflowPunct/>
              <w:topLinePunct w:val="0"/>
              <w:autoSpaceDE/>
              <w:autoSpaceDN/>
              <w:bidi w:val="0"/>
              <w:adjustRightInd/>
              <w:snapToGrid w:val="0"/>
              <w:spacing w:line="240" w:lineRule="auto"/>
              <w:ind w:leftChars="200"/>
              <w:jc w:val="both"/>
              <w:textAlignment w:val="auto"/>
              <w:rPr>
                <w:rFonts w:hint="eastAsia" w:ascii="宋体" w:hAnsi="宋体" w:eastAsia="方正仿宋_GBK" w:cs="方正仿宋_GBK"/>
                <w:b w:val="0"/>
                <w:bCs w:val="0"/>
                <w:kern w:val="0"/>
                <w:sz w:val="28"/>
                <w:szCs w:val="28"/>
              </w:rPr>
            </w:pPr>
            <w:r>
              <w:rPr>
                <w:rFonts w:hint="eastAsia" w:ascii="汉仪书宋二S" w:hAnsi="汉仪书宋二S" w:eastAsia="汉仪书宋二S" w:cs="汉仪书宋二S"/>
                <w:b w:val="0"/>
                <w:bCs w:val="0"/>
                <w:kern w:val="0"/>
                <w:sz w:val="28"/>
                <w:szCs w:val="28"/>
              </w:rPr>
              <w:t>②</w:t>
            </w:r>
            <w:r>
              <w:rPr>
                <w:rFonts w:hint="eastAsia" w:ascii="宋体" w:hAnsi="宋体" w:eastAsia="方正仿宋_GBK" w:cs="方正仿宋_GBK"/>
                <w:b w:val="0"/>
                <w:bCs w:val="0"/>
                <w:kern w:val="0"/>
                <w:sz w:val="28"/>
                <w:szCs w:val="28"/>
              </w:rPr>
              <w:t>粪便处理：积极探索粪渣生物处理、回田再利用、粪渣无害化处理等路径，加快建设粪便处理设施，实现无害化处理、资源化利用。</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路径一：城市粪便预处理设施固液分离后，污水进入污水处理厂联合处理，粪渣脱水后结合生活垃圾填埋场进行无害化填埋；</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路径二：城市粪便预处理设施固液分离后，污水进入污水处理厂联合处理，粪渣脱水后转交由有资质的专业单位进行市场化资源利用；</w:t>
            </w:r>
          </w:p>
          <w:p>
            <w:pPr>
              <w:pStyle w:val="13"/>
              <w:keepNext w:val="0"/>
              <w:keepLines w:val="0"/>
              <w:pageBreakBefore w:val="0"/>
              <w:kinsoku/>
              <w:wordWrap/>
              <w:overflowPunct/>
              <w:topLinePunct w:val="0"/>
              <w:autoSpaceDE/>
              <w:autoSpaceDN/>
              <w:bidi w:val="0"/>
              <w:adjustRightInd/>
              <w:snapToGrid w:val="0"/>
              <w:spacing w:line="240" w:lineRule="auto"/>
              <w:ind w:left="0" w:firstLine="560" w:firstLineChars="200"/>
              <w:jc w:val="both"/>
              <w:textAlignment w:val="auto"/>
              <w:rPr>
                <w:rFonts w:hint="eastAsia" w:ascii="宋体" w:hAnsi="宋体" w:eastAsia="方正仿宋_GBK" w:cs="方正仿宋_GBK"/>
                <w:b w:val="0"/>
                <w:bCs w:val="0"/>
                <w:kern w:val="0"/>
                <w:sz w:val="28"/>
                <w:szCs w:val="28"/>
              </w:rPr>
            </w:pPr>
            <w:r>
              <w:rPr>
                <w:rFonts w:hint="eastAsia" w:ascii="宋体" w:hAnsi="宋体" w:eastAsia="方正仿宋_GBK" w:cs="方正仿宋_GBK"/>
                <w:b w:val="0"/>
                <w:bCs w:val="0"/>
                <w:kern w:val="0"/>
                <w:sz w:val="28"/>
                <w:szCs w:val="28"/>
              </w:rPr>
              <w:t>路径三：城市粪便预处理设施固液分离后，污水进入污水处理厂联合处理，分离后的固体粪渣进入单独建设的粪便处理设施进行处理。</w:t>
            </w:r>
          </w:p>
        </w:tc>
      </w:tr>
    </w:tbl>
    <w:p>
      <w:pPr>
        <w:pStyle w:val="4"/>
        <w:bidi w:val="0"/>
        <w:rPr>
          <w:rFonts w:hint="eastAsia"/>
        </w:rPr>
      </w:pPr>
      <w:bookmarkStart w:id="83" w:name="_Toc9310898"/>
      <w:r>
        <w:rPr>
          <w:rFonts w:hint="eastAsia"/>
          <w:lang w:eastAsia="zh-CN"/>
        </w:rPr>
        <w:t>第四节</w:t>
      </w:r>
      <w:r>
        <w:rPr>
          <w:rFonts w:hint="eastAsia"/>
          <w:lang w:val="en-US" w:eastAsia="zh-CN"/>
        </w:rPr>
        <w:t xml:space="preserve">  </w:t>
      </w:r>
      <w:r>
        <w:rPr>
          <w:rFonts w:hint="eastAsia"/>
        </w:rPr>
        <w:t>补齐环卫设施</w:t>
      </w:r>
      <w:bookmarkEnd w:id="80"/>
      <w:r>
        <w:rPr>
          <w:rFonts w:hint="eastAsia"/>
        </w:rPr>
        <w:t>短板</w:t>
      </w:r>
      <w:bookmarkEnd w:id="81"/>
      <w:bookmarkEnd w:id="82"/>
      <w:bookmarkEnd w:id="8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落实《城镇生活垃圾分类和处理设施补短板强弱项实施方案》各项要求，进一步完善环境卫生管理设施及相应配套设施，巩固提升环卫常态化保洁水平，大力推进环卫基础设施建设。对入城洗车场，环卫基地，环卫作息场所以及洒水车供水器等目前与需求仍存在一定差距的环卫设施进一步建设，以满足实际需求。加强对环卫设施的管理，进一步提高环卫设施的管理水平。</w:t>
      </w:r>
    </w:p>
    <w:tbl>
      <w:tblPr>
        <w:tblStyle w:val="10"/>
        <w:tblW w:w="8904" w:type="dxa"/>
        <w:jc w:val="center"/>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Layout w:type="fixed"/>
        <w:tblCellMar>
          <w:top w:w="0" w:type="dxa"/>
          <w:left w:w="108" w:type="dxa"/>
          <w:bottom w:w="0" w:type="dxa"/>
          <w:right w:w="108" w:type="dxa"/>
        </w:tblCellMar>
      </w:tblPr>
      <w:tblGrid>
        <w:gridCol w:w="8904"/>
      </w:tblGrid>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trHeight w:val="377" w:hRule="atLeast"/>
          <w:jc w:val="center"/>
        </w:trPr>
        <w:tc>
          <w:tcPr>
            <w:tcW w:w="8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黑体_GBK" w:hAnsi="方正黑体_GBK" w:eastAsia="方正黑体_GBK" w:cs="方正黑体_GBK"/>
                <w:sz w:val="28"/>
                <w:szCs w:val="28"/>
                <w:lang w:val="en-US"/>
              </w:rPr>
            </w:pPr>
            <w:r>
              <w:rPr>
                <w:rFonts w:hint="eastAsia" w:ascii="方正黑体_GBK" w:hAnsi="方正黑体_GBK" w:eastAsia="方正黑体_GBK" w:cs="方正黑体_GBK"/>
                <w:sz w:val="28"/>
                <w:szCs w:val="28"/>
              </w:rPr>
              <w:t>专栏</w:t>
            </w:r>
            <w:r>
              <w:rPr>
                <w:rFonts w:hint="eastAsia" w:ascii="方正黑体_GBK" w:hAnsi="方正黑体_GBK" w:eastAsia="方正黑体_GBK" w:cs="方正黑体_GBK"/>
                <w:sz w:val="28"/>
                <w:szCs w:val="28"/>
                <w:lang w:val="en-US"/>
              </w:rPr>
              <w:t>五</w:t>
            </w:r>
            <w:r>
              <w:rPr>
                <w:rFonts w:hint="eastAsia" w:ascii="方正黑体_GBK" w:hAnsi="方正黑体_GBK" w:eastAsia="方正黑体_GBK" w:cs="方正黑体_GBK"/>
                <w:sz w:val="28"/>
                <w:szCs w:val="28"/>
              </w:rPr>
              <w:t>：</w:t>
            </w:r>
            <w:r>
              <w:rPr>
                <w:rFonts w:hint="eastAsia" w:ascii="方正黑体_GBK" w:hAnsi="方正黑体_GBK" w:eastAsia="方正黑体_GBK" w:cs="方正黑体_GBK"/>
                <w:sz w:val="28"/>
                <w:szCs w:val="28"/>
                <w:lang w:val="en-US"/>
              </w:rPr>
              <w:t>其他环卫设施配建标准</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lang w:val="en-US"/>
              </w:rPr>
              <w:t>入城洗车场</w:t>
            </w:r>
            <w:r>
              <w:rPr>
                <w:rFonts w:hint="eastAsia" w:ascii="方正楷体_GBK" w:hAnsi="方正楷体_GBK" w:eastAsia="方正楷体_GBK" w:cs="方正楷体_GBK"/>
                <w:sz w:val="28"/>
                <w:szCs w:val="28"/>
              </w:rPr>
              <w:t>：</w:t>
            </w:r>
            <w:r>
              <w:rPr>
                <w:rFonts w:hint="eastAsia" w:ascii="宋体" w:hAnsi="宋体" w:eastAsia="方正仿宋_GBK" w:cs="方正仿宋_GBK"/>
                <w:sz w:val="28"/>
                <w:szCs w:val="28"/>
              </w:rPr>
              <w:t>结合城市主要高速公路出入口、入城通道设置</w:t>
            </w:r>
            <w:r>
              <w:rPr>
                <w:rFonts w:hint="eastAsia" w:ascii="宋体" w:hAnsi="宋体" w:eastAsia="方正仿宋_GBK" w:cs="方正仿宋_GBK"/>
                <w:sz w:val="28"/>
                <w:szCs w:val="28"/>
                <w:lang w:val="en-US"/>
              </w:rPr>
              <w:t>6处</w:t>
            </w:r>
            <w:r>
              <w:rPr>
                <w:rFonts w:hint="eastAsia" w:ascii="宋体" w:hAnsi="宋体" w:eastAsia="方正仿宋_GBK" w:cs="方正仿宋_GBK"/>
                <w:sz w:val="28"/>
                <w:szCs w:val="28"/>
              </w:rPr>
              <w:t>入城洗车场，满足清洁、消毒综合功能。每处入城洗车场占地面积宜为1000～3000平方米/处，并设置3～5个临时停车位；洗车场内污水应经除油污沉沙处理后，就近排入城市污水管网。</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rPr>
            </w:pPr>
            <w:r>
              <w:rPr>
                <w:rFonts w:hint="eastAsia" w:ascii="方正楷体_GBK" w:hAnsi="方正楷体_GBK" w:eastAsia="方正楷体_GBK" w:cs="方正楷体_GBK"/>
                <w:sz w:val="28"/>
                <w:szCs w:val="28"/>
                <w:lang w:val="en-US"/>
              </w:rPr>
              <w:t>环卫基地</w:t>
            </w:r>
            <w:r>
              <w:rPr>
                <w:rFonts w:hint="eastAsia" w:ascii="方正楷体_GBK" w:hAnsi="方正楷体_GBK" w:eastAsia="方正楷体_GBK" w:cs="方正楷体_GBK"/>
                <w:sz w:val="28"/>
                <w:szCs w:val="28"/>
              </w:rPr>
              <w:t>：</w:t>
            </w:r>
            <w:r>
              <w:rPr>
                <w:rFonts w:hint="eastAsia" w:ascii="宋体" w:hAnsi="宋体" w:eastAsia="方正仿宋_GBK" w:cs="方正仿宋_GBK"/>
                <w:sz w:val="28"/>
                <w:szCs w:val="28"/>
              </w:rPr>
              <w:t>在城区边缘地区设置环卫基地，结合环卫工作人员数量、停放及维修车辆的数量确定用地规模；同时配套建设环卫停车场、维修保养场地、环卫工人休息场所及污水处理设施等相应设施；停车场面积可以按照150平方米/辆规划设置。</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方正楷体_GBK" w:hAnsi="方正楷体_GBK" w:eastAsia="方正楷体_GBK" w:cs="方正楷体_GBK"/>
                <w:sz w:val="28"/>
                <w:szCs w:val="28"/>
                <w:lang w:val="en-US"/>
              </w:rPr>
              <w:t>洒水车供水器：</w:t>
            </w:r>
            <w:r>
              <w:rPr>
                <w:rFonts w:hint="eastAsia" w:ascii="宋体" w:hAnsi="宋体" w:eastAsia="方正仿宋_GBK" w:cs="方正仿宋_GBK"/>
                <w:sz w:val="28"/>
                <w:szCs w:val="28"/>
                <w:lang w:val="en-US"/>
              </w:rPr>
              <w:t>洒水（冲洗）车供水器宜设置在城市次干道及支路上，间距不宜大于1500米，也可利用消防栓或其他供水设施。</w:t>
            </w:r>
          </w:p>
        </w:tc>
      </w:tr>
      <w:tr>
        <w:tblPrEx>
          <w:tblBorders>
            <w:top w:val="single" w:color="auto" w:sz="4" w:space="0"/>
            <w:left w:val="single" w:color="auto" w:sz="4" w:space="0"/>
            <w:bottom w:val="single" w:color="auto" w:sz="4" w:space="0"/>
            <w:right w:val="single" w:color="auto" w:sz="4" w:space="0"/>
            <w:insideH w:val="dotted" w:color="auto" w:sz="4" w:space="0"/>
            <w:insideV w:val="none" w:color="auto" w:sz="0" w:space="0"/>
          </w:tblBorders>
          <w:tblCellMar>
            <w:top w:w="0" w:type="dxa"/>
            <w:left w:w="108" w:type="dxa"/>
            <w:bottom w:w="0" w:type="dxa"/>
            <w:right w:w="108" w:type="dxa"/>
          </w:tblCellMar>
        </w:tblPrEx>
        <w:trPr>
          <w:jc w:val="center"/>
        </w:trPr>
        <w:tc>
          <w:tcPr>
            <w:tcW w:w="89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方正楷体_GBK" w:hAnsi="方正楷体_GBK" w:eastAsia="方正楷体_GBK" w:cs="方正楷体_GBK"/>
                <w:sz w:val="28"/>
                <w:szCs w:val="28"/>
                <w:lang w:val="en-US"/>
              </w:rPr>
              <w:t>环卫车辆：</w:t>
            </w:r>
            <w:r>
              <w:rPr>
                <w:rFonts w:hint="eastAsia" w:ascii="宋体" w:hAnsi="宋体" w:eastAsia="方正仿宋_GBK" w:cs="方正仿宋_GBK"/>
                <w:sz w:val="28"/>
                <w:szCs w:val="28"/>
                <w:lang w:val="en-US"/>
              </w:rPr>
              <w:t>“十四五”期间，荣昌区城乡环卫装备建设将以改造升级为主、不断提高装备技术应用水平。农村地区将以新增配置、更新换代为主，提高环卫机械化装备水平，逐步缩小与城镇建成区装备性能差距。</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①</w:t>
            </w:r>
            <w:r>
              <w:rPr>
                <w:rFonts w:hint="eastAsia" w:ascii="宋体" w:hAnsi="宋体" w:eastAsia="方正仿宋_GBK" w:cs="方正仿宋_GBK"/>
                <w:sz w:val="28"/>
                <w:szCs w:val="28"/>
                <w:lang w:val="en-US"/>
              </w:rPr>
              <w:t>生活垃圾运输车辆向提高环保节能水平，运输过程无滴漏方向发展。按照城区60%、镇街100%的更新率计算，“十四五”期间，规划保留生活垃圾运输车27辆、餐厨（厨余）垃圾运输车9辆；规划更新生活垃圾运输车92辆，规划新增生活垃圾运输车48辆、餐厨（厨余）垃圾运输车6辆。且建议新增车辆为环保型压缩式垃圾车，保证各镇街至少有一辆生活垃圾运输车，以满足垃圾及时清运的需求。</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②</w:t>
            </w:r>
            <w:r>
              <w:rPr>
                <w:rFonts w:hint="eastAsia" w:ascii="宋体" w:hAnsi="宋体" w:eastAsia="方正仿宋_GBK" w:cs="方正仿宋_GBK"/>
                <w:sz w:val="28"/>
                <w:szCs w:val="28"/>
                <w:lang w:val="en-US"/>
              </w:rPr>
              <w:t>粪便清运车辆向提高环保性能方向发展，达到低噪声、无异味、无视觉污染装备水平。根据粪便清运量预测及车辆运行能力分析，“十四五”期间，荣昌区城乡吸粪车以新增为主，车辆类型与现状基本一致。规划保留吸粪车4辆，规划新增吸粪车4辆，共计8辆。</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③</w:t>
            </w:r>
            <w:r>
              <w:rPr>
                <w:rFonts w:hint="eastAsia" w:ascii="宋体" w:hAnsi="宋体" w:eastAsia="方正仿宋_GBK" w:cs="方正仿宋_GBK"/>
                <w:sz w:val="28"/>
                <w:szCs w:val="28"/>
                <w:lang w:val="en-US"/>
              </w:rPr>
              <w:t>道路清扫保洁车辆推广应用具有垃圾、污水收集，洗扫功能结合，无扬尘污染、高压作业的清洗扫路车。根据道路清扫水平和60%的车辆更新率分析，“十四五”期间，规划保留扫地车6辆、清洗车14辆；规划更新扫地车15辆、清洗车39辆。</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④</w:t>
            </w:r>
            <w:r>
              <w:rPr>
                <w:rFonts w:hint="eastAsia" w:ascii="宋体" w:hAnsi="宋体" w:eastAsia="方正仿宋_GBK" w:cs="方正仿宋_GBK"/>
                <w:sz w:val="28"/>
                <w:szCs w:val="28"/>
                <w:lang w:val="en-US"/>
              </w:rPr>
              <w:t>水域保洁作业船舶将向自动化、机械化、环保化、规模化方向发展。</w:t>
            </w:r>
          </w:p>
          <w:p>
            <w:pPr>
              <w:keepNext w:val="0"/>
              <w:keepLines w:val="0"/>
              <w:pageBreakBefore w:val="0"/>
              <w:widowControl w:val="0"/>
              <w:kinsoku/>
              <w:wordWrap/>
              <w:overflowPunct/>
              <w:topLinePunct w:val="0"/>
              <w:autoSpaceDE/>
              <w:autoSpaceDN/>
              <w:bidi w:val="0"/>
              <w:adjustRightInd/>
              <w:snapToGrid w:val="0"/>
              <w:spacing w:line="240" w:lineRule="auto"/>
              <w:ind w:firstLine="560" w:firstLineChars="200"/>
              <w:textAlignment w:val="auto"/>
              <w:rPr>
                <w:rFonts w:hint="eastAsia" w:ascii="宋体" w:hAnsi="宋体" w:eastAsia="方正仿宋_GBK" w:cs="方正仿宋_GBK"/>
                <w:sz w:val="28"/>
                <w:szCs w:val="28"/>
                <w:lang w:val="en-US"/>
              </w:rPr>
            </w:pPr>
            <w:r>
              <w:rPr>
                <w:rFonts w:hint="eastAsia" w:ascii="汉仪书宋二S" w:hAnsi="汉仪书宋二S" w:eastAsia="汉仪书宋二S" w:cs="汉仪书宋二S"/>
                <w:sz w:val="28"/>
                <w:szCs w:val="28"/>
                <w:lang w:val="en-US"/>
              </w:rPr>
              <w:t>⑤</w:t>
            </w:r>
            <w:r>
              <w:rPr>
                <w:rFonts w:hint="eastAsia" w:ascii="宋体" w:hAnsi="宋体" w:eastAsia="方正仿宋_GBK" w:cs="方正仿宋_GBK"/>
                <w:sz w:val="28"/>
                <w:szCs w:val="28"/>
                <w:lang w:val="en-US"/>
              </w:rPr>
              <w:t>农村环卫装备向机械化、密闭化方向发展，“十四五”期末基本建成配置合理、环保节能的装备系统。</w:t>
            </w:r>
          </w:p>
        </w:tc>
      </w:tr>
    </w:tbl>
    <w:p>
      <w:pPr>
        <w:pStyle w:val="4"/>
        <w:bidi w:val="0"/>
        <w:rPr>
          <w:rFonts w:hint="eastAsia"/>
        </w:rPr>
      </w:pPr>
      <w:bookmarkStart w:id="84" w:name="_Toc70592247"/>
      <w:bookmarkStart w:id="85" w:name="_Toc338823833"/>
      <w:bookmarkStart w:id="86" w:name="_Toc87717276"/>
      <w:r>
        <w:rPr>
          <w:rFonts w:hint="eastAsia"/>
          <w:lang w:eastAsia="zh-CN"/>
        </w:rPr>
        <w:t>第五节</w:t>
      </w:r>
      <w:r>
        <w:rPr>
          <w:rFonts w:hint="eastAsia"/>
          <w:lang w:val="en-US" w:eastAsia="zh-CN"/>
        </w:rPr>
        <w:t xml:space="preserve">  </w:t>
      </w:r>
      <w:r>
        <w:rPr>
          <w:rFonts w:hint="eastAsia"/>
        </w:rPr>
        <w:t>规范二次污染治理</w:t>
      </w:r>
      <w:bookmarkEnd w:id="84"/>
      <w:bookmarkEnd w:id="85"/>
      <w:bookmarkEnd w:id="8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pPr>
      <w:r>
        <w:rPr>
          <w:rFonts w:hint="eastAsia" w:ascii="宋体" w:hAnsi="宋体" w:eastAsia="方正仿宋_GBK" w:cs="方正仿宋_GBK"/>
          <w:sz w:val="32"/>
          <w:szCs w:val="32"/>
        </w:rPr>
        <w:t>飞灰处理。</w:t>
      </w:r>
      <w:r>
        <w:rPr>
          <w:rFonts w:hint="eastAsia" w:ascii="宋体" w:hAnsi="宋体" w:eastAsia="方正仿宋_GBK" w:cs="方正仿宋_GBK"/>
          <w:sz w:val="32"/>
          <w:szCs w:val="32"/>
          <w:lang w:val="zh-CN"/>
        </w:rPr>
        <w:t>严格按照《生活垃圾焚烧污染控制标准》（GB18485-2014）的要求，结合现有生活垃圾填埋场增设一处飞灰填埋场，生活垃圾焚烧飞灰经固化转交相关部门进行安全填埋处理，避免固化物对环境造成二次污染；同时鼓励探索飞灰融熔处理技术，水泥窑协同处置等其他资源化利用技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炉渣处理。结合国内外经验和焚烧炉渣特性，推荐优先考虑炉渣资源化利用，如应用于道路基层骨料、填埋场覆盖材料和水泥/混凝土替代骨料等，确实无法利用部分可按要求进入生活垃圾焚烧处理设施配建的卫生填埋场进行达标处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渗滤液处理。全面实施生活垃圾填埋场渗滤液防渗治理、排放标准提升等改造工程，切实做到达标排放。加快补齐渗滤液处理能力缺口，对环保不达标或不够稳定达标运行的渗滤液处理设施进行提标改造。合理选择渗滤液处理技术路线，因地制宜采用“蒸发”、“预处理+高负荷生物处理+深度处理”等工艺技术，深度处理可采用膜处理技术或高级氧化技术。完善渗滤液及废水处理设施自动监控设备和流量监控系统，并与生态环境部门联网，确保设备稳定运行。因地制宜，开展实施渗滤液浓缩液处理，积极开展蒸发、高级氧化等浓缩液处理工艺试点示范，探索浓缩液残渣资源化利用与无害化处置的新路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填埋气资源利用。继续利用荣昌区填埋场的填埋气进行气体发电，提高气体回收利用水平，实现资源化利用，减少碳排放。填埋场转为应急保障设施且填埋气产生量不足以支撑沼气发电设备持续运行后，经过环境影响评价，可逐步关停填埋气沼气发电设备。</w:t>
      </w:r>
    </w:p>
    <w:p>
      <w:pPr>
        <w:pStyle w:val="4"/>
        <w:bidi w:val="0"/>
        <w:rPr>
          <w:rFonts w:hint="eastAsia" w:ascii="宋体" w:hAnsi="宋体" w:eastAsia="方正仿宋_GBK" w:cs="方正仿宋_GBK"/>
          <w:sz w:val="32"/>
          <w:szCs w:val="32"/>
        </w:rPr>
      </w:pPr>
      <w:bookmarkStart w:id="87" w:name="_Toc69917229"/>
      <w:bookmarkStart w:id="88" w:name="_Toc1932597155"/>
      <w:bookmarkStart w:id="89" w:name="_Toc87717277"/>
      <w:bookmarkStart w:id="90" w:name="_Toc70592249"/>
      <w:r>
        <w:rPr>
          <w:rFonts w:hint="eastAsia"/>
          <w:lang w:eastAsia="zh-CN"/>
        </w:rPr>
        <w:t>第六节</w:t>
      </w:r>
      <w:r>
        <w:rPr>
          <w:rFonts w:hint="eastAsia"/>
          <w:lang w:val="en-US" w:eastAsia="zh-CN"/>
        </w:rPr>
        <w:t xml:space="preserve">  </w:t>
      </w:r>
      <w:r>
        <w:rPr>
          <w:rFonts w:hint="eastAsia"/>
        </w:rPr>
        <w:t>提升</w:t>
      </w:r>
      <w:bookmarkEnd w:id="87"/>
      <w:r>
        <w:rPr>
          <w:rFonts w:hint="eastAsia"/>
        </w:rPr>
        <w:t>精细管理水平</w:t>
      </w:r>
      <w:bookmarkEnd w:id="88"/>
      <w:bookmarkEnd w:id="89"/>
      <w:bookmarkEnd w:id="9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速“智慧环卫”建设，助力精细化管理。建立智慧环卫管理系统，提升环卫管理精细化、规范化、科学化水平，完善城市综合“智”理体系。智慧环卫管理系统通过线上管理与线下作业融合、环卫管理部门与环卫企业智慧平台互通共联，实现环卫人员、车、物与平台连接，全面提升环卫作业质量，降低运营成本，打造一站式环卫精细管理平台，满足环卫作业实时图像远程监控、手机APP在线实时数据跟踪查询及各类作业装备、作业保洁人员作业数据、作业轨迹等数据采集分析等智管功能，为管理、决策、资源配置提供及时、便捷的信息支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推进市场化进程，培育环卫龙头骨干企业。优化环卫作业服务市场环境，逐步扩大外包项目的范围，完善招投标机制和定价机制，形成全区统一开放的环卫作业市场和有序公平公正的竞争机制，不断摸索管理经验，落实市场化建设。鼓励一体化环卫企业加快发展，按“专业化、公司化、产业化、社会化”的要求，利用本地区环卫企业自身优势，组成清洁公司、垃圾收集公司、物业保洁公司、垃圾运输公司等，实现环卫产业向纵深型、立体化发展。</w:t>
      </w:r>
    </w:p>
    <w:p>
      <w:pPr>
        <w:pStyle w:val="4"/>
        <w:bidi w:val="0"/>
        <w:rPr>
          <w:rFonts w:hint="eastAsia"/>
        </w:rPr>
      </w:pPr>
      <w:bookmarkStart w:id="91" w:name="_Toc1667294277"/>
      <w:bookmarkStart w:id="92" w:name="_Toc87717278"/>
      <w:r>
        <w:rPr>
          <w:rFonts w:hint="eastAsia"/>
          <w:lang w:eastAsia="zh-CN"/>
        </w:rPr>
        <w:t>第七节</w:t>
      </w:r>
      <w:r>
        <w:rPr>
          <w:rFonts w:hint="eastAsia"/>
          <w:lang w:val="en-US" w:eastAsia="zh-CN"/>
        </w:rPr>
        <w:t xml:space="preserve">  </w:t>
      </w:r>
      <w:r>
        <w:rPr>
          <w:rFonts w:hint="eastAsia"/>
        </w:rPr>
        <w:t>加强成渝地区合作</w:t>
      </w:r>
      <w:bookmarkEnd w:id="91"/>
      <w:bookmarkEnd w:id="9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唱好成渝“双城记”，探索深度合作新途径。贯彻落实《推进成渝地区双城经济圈共建“无废城市”合作协议》，开启成渝地区双城经济圈生态共建环境共保新篇章。强化顶层设计，共同谋划成渝地区双城经济圈“无废城市”建设规划，强化项目储备；推动资源共享，开展固体废物利用处置区域合作，实现利用处置能力共建共享；积极推动两地专家团队共建、鉴别机构互认和规范标准共享；推动信息互通，推动两地固体废物产生、转移、运输、利用、处置等基础信息以及重点产废单位、利用处置能力等数据共享，实现信息互通、业务协同；联合科研攻关，共建专家队伍，对两地环境卫生发展重点问题开展科研攻关，共同争取国家支持成渝地区在环境卫生领域开展试点示范；建立合作机制，定期在两地轮流召开联席会议，研究解决成渝地区双城经济圈“无废城市”建设中的重大问题；建立常态化联系机制，加强人员交流，互派人员挂职。以环卫服务标准化为蓝本加快推动标准化体系在其他公共服务领域的建设，将更多领域的公共服务项目纳入标准化体系建设，为实现成渝地区双城经济圈公共服务一体化建设提供重要的基础。</w:t>
      </w:r>
    </w:p>
    <w:p>
      <w:pPr>
        <w:pStyle w:val="4"/>
        <w:bidi w:val="0"/>
        <w:rPr>
          <w:rFonts w:hint="eastAsia" w:ascii="宋体" w:hAnsi="宋体" w:eastAsia="方正仿宋_GBK" w:cs="方正仿宋_GBK"/>
          <w:sz w:val="32"/>
          <w:szCs w:val="32"/>
        </w:rPr>
      </w:pPr>
      <w:bookmarkStart w:id="93" w:name="_Toc87717279"/>
      <w:bookmarkStart w:id="94" w:name="_Toc1033813110"/>
      <w:r>
        <w:rPr>
          <w:rFonts w:hint="eastAsia"/>
          <w:lang w:eastAsia="zh-CN"/>
        </w:rPr>
        <w:t>第八节</w:t>
      </w:r>
      <w:r>
        <w:rPr>
          <w:rFonts w:hint="eastAsia"/>
          <w:lang w:val="en-US" w:eastAsia="zh-CN"/>
        </w:rPr>
        <w:t xml:space="preserve">  </w:t>
      </w:r>
      <w:r>
        <w:rPr>
          <w:rFonts w:hint="eastAsia"/>
        </w:rPr>
        <w:t>强化环卫队伍保障</w:t>
      </w:r>
      <w:bookmarkEnd w:id="93"/>
      <w:bookmarkEnd w:id="9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en-US"/>
        </w:rPr>
      </w:pPr>
      <w:r>
        <w:rPr>
          <w:rFonts w:hint="eastAsia" w:ascii="宋体" w:hAnsi="宋体" w:eastAsia="方正仿宋_GBK" w:cs="方正仿宋_GBK"/>
          <w:sz w:val="32"/>
          <w:szCs w:val="32"/>
        </w:rPr>
        <w:t>开展专业培训，重视人才培养。</w:t>
      </w:r>
      <w:r>
        <w:rPr>
          <w:rFonts w:hint="eastAsia" w:ascii="宋体" w:hAnsi="宋体" w:eastAsia="方正仿宋_GBK" w:cs="方正仿宋_GBK"/>
          <w:sz w:val="32"/>
          <w:szCs w:val="32"/>
          <w:lang w:val="en-US"/>
        </w:rPr>
        <w:t>加强人员培训和人才引进，提高环卫专业队伍的综合素养。开展一线从业人员尤其是垃圾收运作业人员、清扫保洁人员对机械化装备的操作培训，以适应环卫装备的升级换代需求；培养或引进环卫科技专业人才，包括高学历、高技术、有一定实践经验的技术人员和专业管理人员，逐步提高管理与专业技术人员占全部职工的比例；着力加强城市管理局以及各镇街环卫部门管理人员、环卫信息化管理相关人员、大中型转运站和垃圾处理设施的监管人员的素质培训，全面提升环卫管理的科技水平以及管理人员的综合素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提高职工待遇，保障职工权益。参照劳动力市场价格结合环卫作业劳动强度、环境等因素，合理确定环卫职工劳动报酬；按规定为环卫职工缴纳社会保险，对有危险的作业工种，还要缴纳人身意外伤害保险；加强劳动保护、职业技能等培训工作，加强特殊工种的健康保护和安全防护。</w:t>
      </w:r>
      <w:bookmarkStart w:id="95" w:name="_Toc87717280"/>
    </w:p>
    <w:p>
      <w:pPr>
        <w:pStyle w:val="4"/>
        <w:bidi w:val="0"/>
        <w:rPr>
          <w:rFonts w:hint="eastAsia"/>
        </w:rPr>
      </w:pPr>
      <w:bookmarkStart w:id="96" w:name="_Toc1727659384"/>
      <w:r>
        <w:rPr>
          <w:rFonts w:hint="eastAsia"/>
          <w:lang w:eastAsia="zh-CN"/>
        </w:rPr>
        <w:t>第九节</w:t>
      </w:r>
      <w:r>
        <w:rPr>
          <w:rFonts w:hint="eastAsia"/>
          <w:lang w:val="en-US" w:eastAsia="zh-CN"/>
        </w:rPr>
        <w:t xml:space="preserve">  </w:t>
      </w:r>
      <w:r>
        <w:rPr>
          <w:rFonts w:hint="eastAsia"/>
        </w:rPr>
        <w:t>规范监管落实保障</w:t>
      </w:r>
      <w:bookmarkEnd w:id="95"/>
      <w:bookmarkEnd w:id="9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完善标准规范文件，强化依法依规监管。完善重点领域的标准规范，制定管理清单、责任清单和网格清单，逐步实现环境卫生管理领域标准规范全覆盖，使环卫管理有法可依、有章可循。按照城乡一体化思路推行分级分类管理，明确管理标准，推动建立环境卫生管理分级分类体系。加强标准规范的更新和维护，注重行业之间标准规范的有机衔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加强相关规划衔接，精准落实用地保障。环境卫生发展专项规划编制应加强与国家《“十四五”城镇生活垃圾分类和处理设施发展规划》、</w:t>
      </w:r>
      <w:r>
        <w:rPr>
          <w:rFonts w:hint="eastAsia" w:ascii="宋体" w:hAnsi="宋体" w:eastAsia="方正仿宋_GBK" w:cs="方正仿宋_GBK"/>
          <w:sz w:val="32"/>
          <w:szCs w:val="32"/>
          <w:lang w:val="zh-CN"/>
        </w:rPr>
        <w:t>《重庆市城乡环境卫生发展“十四五”规划》、</w:t>
      </w:r>
      <w:r>
        <w:rPr>
          <w:rFonts w:hint="eastAsia" w:ascii="宋体" w:hAnsi="宋体" w:eastAsia="方正仿宋_GBK" w:cs="方正仿宋_GBK"/>
          <w:sz w:val="32"/>
          <w:szCs w:val="32"/>
        </w:rPr>
        <w:t>《重庆市固体废物处理处置规划(2020</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2035年)》</w:t>
      </w:r>
      <w:r>
        <w:rPr>
          <w:rFonts w:hint="eastAsia" w:ascii="宋体" w:hAnsi="宋体" w:eastAsia="方正仿宋_GBK" w:cs="方正仿宋_GBK"/>
          <w:sz w:val="32"/>
          <w:szCs w:val="32"/>
          <w:lang w:val="zh-CN"/>
        </w:rPr>
        <w:t>、</w:t>
      </w:r>
      <w:r>
        <w:rPr>
          <w:rFonts w:hint="eastAsia" w:ascii="宋体" w:hAnsi="宋体" w:eastAsia="方正仿宋_GBK" w:cs="方正仿宋_GBK"/>
          <w:sz w:val="32"/>
          <w:szCs w:val="32"/>
        </w:rPr>
        <w:t>《重庆市生活垃圾焚烧发电中长期专项规划（2021</w:t>
      </w:r>
      <w:r>
        <w:rPr>
          <w:rFonts w:hint="eastAsia" w:ascii="宋体" w:hAnsi="宋体" w:eastAsia="方正仿宋_GBK" w:cs="方正仿宋_GBK"/>
          <w:sz w:val="32"/>
          <w:szCs w:val="32"/>
          <w:lang w:eastAsia="zh-CN"/>
        </w:rPr>
        <w:t>—</w:t>
      </w:r>
      <w:r>
        <w:rPr>
          <w:rFonts w:hint="eastAsia" w:ascii="宋体" w:hAnsi="宋体" w:eastAsia="方正仿宋_GBK" w:cs="方正仿宋_GBK"/>
          <w:sz w:val="32"/>
          <w:szCs w:val="32"/>
        </w:rPr>
        <w:t>2035年）》</w:t>
      </w:r>
      <w:r>
        <w:rPr>
          <w:rFonts w:hint="eastAsia" w:ascii="宋体" w:hAnsi="宋体" w:eastAsia="方正仿宋_GBK" w:cs="方正仿宋_GBK"/>
          <w:sz w:val="32"/>
          <w:szCs w:val="32"/>
          <w:lang w:val="zh-CN"/>
        </w:rPr>
        <w:t>、《重庆市荣昌区国民经济和社会发展第十四个五年规划和二〇三五年远景目标纲要》、</w:t>
      </w:r>
      <w:r>
        <w:rPr>
          <w:rFonts w:hint="eastAsia" w:ascii="宋体" w:hAnsi="宋体" w:eastAsia="方正仿宋_GBK" w:cs="方正仿宋_GBK"/>
          <w:sz w:val="32"/>
          <w:szCs w:val="32"/>
        </w:rPr>
        <w:t>荣昌区国土空间规划等各层级相关规划衔接，科学制定目标指标，落实项目用地保障，指导设施建设，增强规划协调性、指导性、实施性。项目空间保障应按程序纳入国土空间规划，衔接总体用地布局，落实建设用地。</w:t>
      </w:r>
      <w:bookmarkStart w:id="97" w:name="_Toc70592250"/>
      <w:bookmarkStart w:id="98" w:name="_Toc87717281"/>
    </w:p>
    <w:p>
      <w:pPr>
        <w:pStyle w:val="4"/>
        <w:bidi w:val="0"/>
        <w:rPr>
          <w:rFonts w:hint="eastAsia"/>
        </w:rPr>
      </w:pPr>
      <w:bookmarkStart w:id="99" w:name="_Toc1368048611"/>
      <w:r>
        <w:rPr>
          <w:rFonts w:hint="eastAsia"/>
          <w:lang w:eastAsia="zh-CN"/>
        </w:rPr>
        <w:t>第十节</w:t>
      </w:r>
      <w:r>
        <w:rPr>
          <w:rFonts w:hint="eastAsia"/>
          <w:lang w:val="en-US" w:eastAsia="zh-CN"/>
        </w:rPr>
        <w:t xml:space="preserve">  </w:t>
      </w:r>
      <w:r>
        <w:rPr>
          <w:rFonts w:hint="eastAsia"/>
        </w:rPr>
        <w:t>提升应急保障能力</w:t>
      </w:r>
      <w:bookmarkEnd w:id="97"/>
      <w:bookmarkEnd w:id="98"/>
      <w:bookmarkEnd w:id="9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加强应急体系建设形成应急指挥一体化。通过制定值班值守工作指引、突发事件处置简易流程、突发事件处置视频调度报告词规范用语等制度，以及对三级值班值守人员分层次、分批次全覆盖培训，全面推广值班值守标准化建设，提升基层值班值守工作质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建立“一网调度”共享联动平台。与公安、卫健、交通、消防等部门值班室建立信息共享机制，建立应急管理“一网调度”信息平台，全面提升监测预警、决策分析、事件管理和融合应急指挥能力。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pPr>
      <w:r>
        <w:rPr>
          <w:rFonts w:hint="eastAsia" w:ascii="宋体" w:hAnsi="宋体" w:eastAsia="方正仿宋_GBK" w:cs="方正仿宋_GBK"/>
          <w:sz w:val="32"/>
          <w:szCs w:val="32"/>
        </w:rPr>
        <w:t>健全相关工作机制和应急预案。加强突发公共卫生事件应急保障，尤其是人员和物资保障作为应急管理体系建设的重要内容，优化调配机制，按照平战结合、统一调拨、集中使用、协调运转、平时服务、灾时应急的原则，尽快健全相关工作机制和应急预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宋体" w:hAnsi="宋体" w:eastAsia="方正仿宋_GBK" w:cs="方正仿宋_GBK"/>
          <w:sz w:val="32"/>
          <w:szCs w:val="32"/>
        </w:rPr>
        <w:t>统筹推进应急保障装备设施建设。明确应急保障装备设施合作途径及任务分工，改善应急力量训练条件，加强人才队伍、科研能力建设；充分发挥动员体制优势，建立健全应急动员响应机制，强化综合防护措施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bookmarkStart w:id="100" w:name="_Toc87717282"/>
      <w:bookmarkStart w:id="101" w:name="_Toc69917232"/>
      <w:bookmarkStart w:id="102" w:name="_Toc7059225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03" w:name="_Toc860211847"/>
      <w:r>
        <w:rPr>
          <w:rFonts w:hint="eastAsia"/>
          <w:lang w:eastAsia="zh-CN"/>
        </w:rPr>
        <w:t>第五章</w:t>
      </w:r>
      <w:r>
        <w:rPr>
          <w:rFonts w:hint="eastAsia"/>
          <w:lang w:val="en-US" w:eastAsia="zh-CN"/>
        </w:rPr>
        <w:t xml:space="preserve">  </w:t>
      </w:r>
      <w:r>
        <w:rPr>
          <w:rFonts w:hint="eastAsia"/>
        </w:rPr>
        <w:t>项目库、投资估算与建设时序</w:t>
      </w:r>
      <w:bookmarkEnd w:id="100"/>
      <w:bookmarkEnd w:id="101"/>
      <w:bookmarkEnd w:id="102"/>
      <w:bookmarkEnd w:id="103"/>
    </w:p>
    <w:p>
      <w:pPr>
        <w:pStyle w:val="4"/>
        <w:bidi w:val="0"/>
        <w:rPr>
          <w:rFonts w:hint="eastAsia"/>
        </w:rPr>
      </w:pPr>
      <w:bookmarkStart w:id="104" w:name="_Toc87717283"/>
      <w:bookmarkStart w:id="105" w:name="_Toc452194476"/>
      <w:r>
        <w:rPr>
          <w:rFonts w:hint="eastAsia"/>
          <w:lang w:eastAsia="zh-CN"/>
        </w:rPr>
        <w:t>第一节</w:t>
      </w:r>
      <w:r>
        <w:rPr>
          <w:rFonts w:hint="eastAsia"/>
          <w:lang w:val="en-US" w:eastAsia="zh-CN"/>
        </w:rPr>
        <w:t xml:space="preserve">  </w:t>
      </w:r>
      <w:r>
        <w:rPr>
          <w:rFonts w:hint="eastAsia"/>
        </w:rPr>
        <w:t>项目库及投资估算</w:t>
      </w:r>
      <w:bookmarkEnd w:id="104"/>
      <w:bookmarkEnd w:id="10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“十四五”规划项目共涉及3大类13小类，合计20项重大项目，总投资额约7.11亿元。</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表5-1“十四五”规划项目库及投资估算表</w:t>
      </w:r>
    </w:p>
    <w:tbl>
      <w:tblPr>
        <w:tblStyle w:val="9"/>
        <w:tblW w:w="8787"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788"/>
        <w:gridCol w:w="566"/>
        <w:gridCol w:w="260"/>
        <w:gridCol w:w="1193"/>
        <w:gridCol w:w="1020"/>
        <w:gridCol w:w="3825"/>
        <w:gridCol w:w="113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tblHeader/>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设施</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建设规模</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规划内容</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建设投资</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（万元）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285"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垃圾分类宣传试点建设</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有序开展垃圾分类宣传活动，积极推进生活垃圾分类试点小区、村(社区)建设</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31"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分类收集设施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增设分类垃圾桶3500组；投放垃圾箱2820个；配套智能分类设备51套；</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3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城西转运站</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规划新建，配建120吨/日厨余垃圾转运站</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83"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城东转运站</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4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56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第一批生活垃圾转运站建设项目</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615吨/日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新建中转站11座：广顺、盘龙、河包、仁义、万灵、昌元、荣隆、吴家、清升各1座,双河2座；改扩建中转站3座：清流、双河、峰高各1座。项目建成投运后逐步关停原有中转站，有条件的实现功能转换。</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855" w:hRule="atLeast"/>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1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第二批生活垃圾转运站建设项目</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324吨/日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提档升级中转站9座：远觉、荣升、姜家湾、观胜、古昌、龙集、铜鼓各1座，荣隆2座，实现分类转运功能；延期并提档升级中转站2座：安富、清江各1座，实现分类转运功能。</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83"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分类体系化项目</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环卫车辆</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264辆</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保留60辆；更新146辆；新增58辆</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285"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其他费用</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主要用于无法预算的项目，按静态投资的5%计算</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751" w:hRule="atLeast"/>
          <w:jc w:val="center"/>
        </w:trPr>
        <w:tc>
          <w:tcPr>
            <w:tcW w:w="788" w:type="dxa"/>
            <w:vMerge w:val="restart"/>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处理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82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部分封场治理，占地面积18.26公顷</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921"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荣昌区飞灰填埋场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1万立方米</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结合生活垃圾填埋场建设一处飞灰填埋场</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6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荣昌生活垃圾焚烧处理设施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规划新建，占地面积7公顷</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41700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荣昌厨余垃圾处理设施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有序开展建设工作（建设计划以实际情况为准）预计餐厨垃圾处理规模100吨/日，家庭及其他厨余垃圾处理规模50吨/日。</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荣昌装修垃圾分选场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15万吨/年</w:t>
            </w:r>
          </w:p>
        </w:tc>
        <w:tc>
          <w:tcPr>
            <w:tcW w:w="38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规划新建，为节约用地及投资，规划建议合并建设</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荣昌装修垃圾填埋场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40万立方米</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84"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36.5万吨/年</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24"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大件垃圾处理设施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荣昌大件垃圾拆解中心</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1万吨/年</w:t>
            </w:r>
          </w:p>
        </w:tc>
        <w:tc>
          <w:tcPr>
            <w:tcW w:w="38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154" w:hRule="atLeast"/>
          <w:jc w:val="center"/>
        </w:trPr>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处理</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82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园林垃圾处理设施</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荣昌园林垃圾堆肥场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15吨/日</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规划新建；生物处理再利用</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871" w:hRule="atLeast"/>
          <w:jc w:val="center"/>
        </w:trPr>
        <w:tc>
          <w:tcPr>
            <w:tcW w:w="788"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公共厕所</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252座</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现状保留160座；规划新增51座；改造升级41座</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设施</w:t>
            </w: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入城洗车场</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6处</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标准配置</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57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智慧环卫系统</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80" w:lineRule="exact"/>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方案包括：环卫设施管理、道路保洁管理、生活垃圾转运站及公厕管理、环卫应急指挥调度、智慧平台等</w:t>
            </w:r>
          </w:p>
        </w:tc>
        <w:tc>
          <w:tcPr>
            <w:tcW w:w="11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00" w:hRule="atLeast"/>
          <w:jc w:val="center"/>
        </w:trPr>
        <w:tc>
          <w:tcPr>
            <w:tcW w:w="78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p>
        </w:tc>
        <w:tc>
          <w:tcPr>
            <w:tcW w:w="2019"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其他环卫设施</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p>
        </w:tc>
        <w:tc>
          <w:tcPr>
            <w:tcW w:w="382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标准配建其他环卫设施</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2" w:hRule="atLeast"/>
          <w:jc w:val="center"/>
        </w:trPr>
        <w:tc>
          <w:tcPr>
            <w:tcW w:w="7652" w:type="dxa"/>
            <w:gridSpan w:val="6"/>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合计</w:t>
            </w:r>
          </w:p>
        </w:tc>
        <w:tc>
          <w:tcPr>
            <w:tcW w:w="113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71140</w:t>
            </w:r>
          </w:p>
        </w:tc>
      </w:tr>
    </w:tbl>
    <w:p>
      <w:pPr>
        <w:pStyle w:val="4"/>
        <w:bidi w:val="0"/>
        <w:rPr>
          <w:rFonts w:hint="eastAsia" w:ascii="方正仿宋_GBK" w:hAnsi="方正仿宋_GBK" w:eastAsia="方正仿宋_GBK" w:cs="方正仿宋_GBK"/>
          <w:color w:val="FF0000"/>
          <w:sz w:val="32"/>
          <w:szCs w:val="32"/>
        </w:rPr>
      </w:pPr>
      <w:bookmarkStart w:id="106" w:name="_Toc92346075"/>
      <w:bookmarkStart w:id="107" w:name="_Toc87717284"/>
      <w:r>
        <w:rPr>
          <w:rFonts w:hint="eastAsia"/>
          <w:lang w:eastAsia="zh-CN"/>
        </w:rPr>
        <w:t>第二节</w:t>
      </w:r>
      <w:r>
        <w:rPr>
          <w:rFonts w:hint="eastAsia"/>
          <w:lang w:val="en-US" w:eastAsia="zh-CN"/>
        </w:rPr>
        <w:t xml:space="preserve">  </w:t>
      </w:r>
      <w:r>
        <w:rPr>
          <w:rFonts w:hint="eastAsia"/>
        </w:rPr>
        <w:t>项目建设时序</w:t>
      </w:r>
      <w:bookmarkEnd w:id="106"/>
      <w:bookmarkEnd w:id="10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“十四五”期间，为有序落实规划的20项工程项目，结合现状设施设备运行情况、设计使用年限及需求预测，对项目建设时序做出以下建议安排。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表5-2 “十四五”规划项目建设时序表</w:t>
      </w:r>
    </w:p>
    <w:tbl>
      <w:tblPr>
        <w:tblStyle w:val="9"/>
        <w:tblW w:w="87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980"/>
        <w:gridCol w:w="2160"/>
        <w:gridCol w:w="1847"/>
        <w:gridCol w:w="1936"/>
        <w:gridCol w:w="187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blHeader/>
        </w:trPr>
        <w:tc>
          <w:tcPr>
            <w:tcW w:w="3140"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建设时序</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blHeader/>
        </w:trPr>
        <w:tc>
          <w:tcPr>
            <w:tcW w:w="3140"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2021</w:t>
            </w:r>
            <w:r>
              <w:rPr>
                <w:rFonts w:hint="eastAsia" w:ascii="方正黑体_GBK" w:hAnsi="方正黑体_GBK" w:eastAsia="方正黑体_GBK" w:cs="方正黑体_GBK"/>
                <w:sz w:val="24"/>
                <w:szCs w:val="24"/>
                <w:lang w:eastAsia="zh-CN"/>
              </w:rPr>
              <w:t>—</w:t>
            </w:r>
            <w:r>
              <w:rPr>
                <w:rFonts w:hint="eastAsia" w:ascii="方正黑体_GBK" w:hAnsi="方正黑体_GBK" w:eastAsia="方正黑体_GBK" w:cs="方正黑体_GBK"/>
                <w:sz w:val="24"/>
                <w:szCs w:val="24"/>
              </w:rPr>
              <w:t>2022年</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2023</w:t>
            </w:r>
            <w:r>
              <w:rPr>
                <w:rFonts w:hint="eastAsia" w:ascii="方正黑体_GBK" w:hAnsi="方正黑体_GBK" w:eastAsia="方正黑体_GBK" w:cs="方正黑体_GBK"/>
                <w:sz w:val="24"/>
                <w:szCs w:val="24"/>
                <w:lang w:eastAsia="zh-CN"/>
              </w:rPr>
              <w:t>—</w:t>
            </w:r>
            <w:r>
              <w:rPr>
                <w:rFonts w:hint="eastAsia" w:ascii="方正黑体_GBK" w:hAnsi="方正黑体_GBK" w:eastAsia="方正黑体_GBK" w:cs="方正黑体_GBK"/>
                <w:sz w:val="24"/>
                <w:szCs w:val="24"/>
              </w:rPr>
              <w:t>2024年</w:t>
            </w:r>
          </w:p>
        </w:tc>
        <w:tc>
          <w:tcPr>
            <w:tcW w:w="18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2025年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垃圾分类宣传试点建设</w:t>
            </w:r>
          </w:p>
        </w:tc>
        <w:tc>
          <w:tcPr>
            <w:tcW w:w="5658"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每月开展生活垃圾分类宣传活动1-2次</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分类收集设施</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年均增设分类垃圾桶700组；投放垃圾箱564个；配套智能分类设备10-11套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分类转运设施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城西转运站</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城东转运站</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第一批生活垃圾转运站建设项目</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投入使用</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第二批生活垃圾转运站建设项目</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提档升级完成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环卫车辆</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更新60辆；新增25辆</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更新60辆；新增25辆</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更新26辆；新增8辆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生活垃圾处理设施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部分封场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荣昌区飞灰填埋场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荣昌生活垃圾焚烧处理设施</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荣昌厨余垃圾处理设施</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有序开展建设工作，建设计划以实际情况为准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建筑垃圾处理设施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荣昌装修垃圾分选场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合并建设完成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荣昌装修垃圾填埋场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投入运行</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大件垃圾处理设施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荣昌大件垃圾拆解中心</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c>
          <w:tcPr>
            <w:tcW w:w="187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9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园林垃圾处理设施</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荣昌园林垃圾堆肥场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开展前期准备工作</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建设完成并投入使用</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公共厕所</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年均规划新增10-11座；改造升级8-9座</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入城洗车场</w:t>
            </w:r>
          </w:p>
        </w:tc>
        <w:tc>
          <w:tcPr>
            <w:tcW w:w="1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建成3处</w:t>
            </w:r>
          </w:p>
        </w:tc>
        <w:tc>
          <w:tcPr>
            <w:tcW w:w="1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建成2处</w:t>
            </w:r>
          </w:p>
        </w:tc>
        <w:tc>
          <w:tcPr>
            <w:tcW w:w="1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建成1处</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智慧环卫系统</w:t>
            </w:r>
          </w:p>
        </w:tc>
        <w:tc>
          <w:tcPr>
            <w:tcW w:w="56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进一步完善城区智慧环卫管理系统各子系统建设，并推动镇街覆盖范围，逐步健全城乡一体化智慧环卫系统</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0" w:hRule="atLeast"/>
        </w:trPr>
        <w:tc>
          <w:tcPr>
            <w:tcW w:w="3140" w:type="dxa"/>
            <w:gridSpan w:val="2"/>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其他环卫设施</w:t>
            </w:r>
          </w:p>
        </w:tc>
        <w:tc>
          <w:tcPr>
            <w:tcW w:w="5658" w:type="dxa"/>
            <w:gridSpan w:val="3"/>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根据使用需求情况逐年完善配置</w:t>
            </w: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方正仿宋_GBK" w:cs="方正仿宋_GBK"/>
          <w:sz w:val="32"/>
          <w:szCs w:val="32"/>
          <w:lang w:val="zh-CN"/>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rPr>
      </w:pPr>
      <w:bookmarkStart w:id="108" w:name="_Toc87717285"/>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09" w:name="_Toc1052352558"/>
      <w:r>
        <w:rPr>
          <w:rFonts w:hint="eastAsia"/>
          <w:lang w:eastAsia="zh-CN"/>
        </w:rPr>
        <w:t>第六章</w:t>
      </w:r>
      <w:r>
        <w:rPr>
          <w:rFonts w:hint="eastAsia"/>
          <w:lang w:val="en-US" w:eastAsia="zh-CN"/>
        </w:rPr>
        <w:t xml:space="preserve">  </w:t>
      </w:r>
      <w:r>
        <w:rPr>
          <w:rFonts w:hint="eastAsia"/>
        </w:rPr>
        <w:t>加强生态环境保护</w:t>
      </w:r>
      <w:bookmarkEnd w:id="108"/>
      <w:bookmarkEnd w:id="10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坚持“生态优先”，走绿色发展道路，落实规划环境影响评价要求，科学分析规划实施对环境可能造成的影响分析和评估，提出应对措施，促进荣昌区城乡环境卫生事业可持续发展。</w:t>
      </w:r>
    </w:p>
    <w:p>
      <w:pPr>
        <w:pStyle w:val="4"/>
        <w:bidi w:val="0"/>
        <w:rPr>
          <w:rFonts w:hint="eastAsia" w:ascii="方正仿宋_GBK" w:hAnsi="方正仿宋_GBK" w:eastAsia="方正仿宋_GBK" w:cs="方正仿宋_GBK"/>
        </w:rPr>
      </w:pPr>
      <w:bookmarkStart w:id="110" w:name="_Toc401007831"/>
      <w:bookmarkStart w:id="111" w:name="_Toc87717286"/>
      <w:r>
        <w:rPr>
          <w:rFonts w:hint="eastAsia"/>
          <w:lang w:eastAsia="zh-CN"/>
        </w:rPr>
        <w:t>第一节</w:t>
      </w:r>
      <w:r>
        <w:rPr>
          <w:rFonts w:hint="eastAsia"/>
          <w:lang w:val="en-US" w:eastAsia="zh-CN"/>
        </w:rPr>
        <w:t xml:space="preserve">  </w:t>
      </w:r>
      <w:r>
        <w:rPr>
          <w:rFonts w:hint="eastAsia"/>
        </w:rPr>
        <w:t>环境影响分析和评估</w:t>
      </w:r>
      <w:bookmarkEnd w:id="110"/>
      <w:bookmarkEnd w:id="11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本规划是以城乡环境卫生为主要内容的专项规划，主要从发展方向、发展目标和主要任务三个方面提出建设要求，未涉及项目选址，且规划的实施可提升荣昌区垃圾处理无害化、减量化和资源化水平，符合生态文明建设对经济社会可持续发展的根本要求。总体上，规划的实施对生态环境的影响较小，具体项目建设和运营过程中可能对自然环境、生态环境产生一定影响，但加强环境动态监测，严格监督执行大气环境、水环境、声环境、生态环境产生等方面的环境影响减缓措施后，生态影响和环境污染能够得到有效控制，全区资源与环境完全能够承载规划实施需求。</w:t>
      </w:r>
    </w:p>
    <w:p>
      <w:pPr>
        <w:pStyle w:val="4"/>
        <w:bidi w:val="0"/>
        <w:rPr>
          <w:rFonts w:hint="eastAsia"/>
        </w:rPr>
      </w:pPr>
      <w:bookmarkStart w:id="112" w:name="_Toc87717287"/>
      <w:bookmarkStart w:id="113" w:name="_Toc433350647"/>
      <w:r>
        <w:rPr>
          <w:rFonts w:hint="eastAsia"/>
          <w:lang w:eastAsia="zh-CN"/>
        </w:rPr>
        <w:t>第二节</w:t>
      </w:r>
      <w:r>
        <w:rPr>
          <w:rFonts w:hint="eastAsia"/>
          <w:lang w:val="en-US" w:eastAsia="zh-CN"/>
        </w:rPr>
        <w:t xml:space="preserve">  </w:t>
      </w:r>
      <w:r>
        <w:rPr>
          <w:rFonts w:hint="eastAsia"/>
        </w:rPr>
        <w:t>预防和减轻不良环境影响对策和措施</w:t>
      </w:r>
      <w:bookmarkEnd w:id="112"/>
      <w:bookmarkEnd w:id="113"/>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rPr>
        <w:t>实行最严格的生态环境保护制度，加强规划环境影响评价与项目环境影响评价的联动，健全重大政策、重大项目环保论证公众参与机制，认真做好环境影响评价工作，贯彻落实对规划涉及的重要建设工程项目立项、建设和运营管控。强化环保、交通、自然资源、林业、农业等部门之间的合作，构建城乡环境卫生事业发展和生态环境保护联防联控机制。</w:t>
      </w:r>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eastAsia="zh-CN"/>
        </w:rPr>
      </w:pPr>
      <w:bookmarkStart w:id="114" w:name="_Toc87717288"/>
    </w:p>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eastAsia="zh-CN"/>
        </w:rPr>
      </w:pPr>
    </w:p>
    <w:p>
      <w:pPr>
        <w:pStyle w:val="2"/>
        <w:keepNext/>
        <w:keepLines/>
        <w:pageBreakBefore w:val="0"/>
        <w:widowControl w:val="0"/>
        <w:kinsoku/>
        <w:wordWrap/>
        <w:overflowPunct/>
        <w:topLinePunct w:val="0"/>
        <w:autoSpaceDE/>
        <w:autoSpaceDN/>
        <w:bidi w:val="0"/>
        <w:adjustRightInd/>
        <w:snapToGrid w:val="0"/>
        <w:spacing w:beforeLines="0"/>
        <w:textAlignment w:val="auto"/>
        <w:rPr>
          <w:rFonts w:hint="eastAsia"/>
        </w:rPr>
      </w:pPr>
      <w:bookmarkStart w:id="115" w:name="_Toc1120493043"/>
      <w:r>
        <w:rPr>
          <w:rFonts w:hint="eastAsia"/>
          <w:lang w:eastAsia="zh-CN"/>
        </w:rPr>
        <w:t>第七章</w:t>
      </w:r>
      <w:r>
        <w:rPr>
          <w:rFonts w:hint="eastAsia"/>
          <w:lang w:val="en-US" w:eastAsia="zh-CN"/>
        </w:rPr>
        <w:t xml:space="preserve">  </w:t>
      </w:r>
      <w:r>
        <w:rPr>
          <w:rFonts w:hint="eastAsia"/>
        </w:rPr>
        <w:t>保障措施</w:t>
      </w:r>
      <w:bookmarkEnd w:id="114"/>
      <w:bookmarkEnd w:id="115"/>
    </w:p>
    <w:p>
      <w:pPr>
        <w:pStyle w:val="4"/>
        <w:bidi w:val="0"/>
        <w:rPr>
          <w:rFonts w:hint="eastAsia" w:ascii="方正仿宋_GBK" w:hAnsi="方正仿宋_GBK" w:eastAsia="方正仿宋_GBK" w:cs="方正仿宋_GBK"/>
        </w:rPr>
      </w:pPr>
      <w:bookmarkStart w:id="116" w:name="_Toc143787067"/>
      <w:bookmarkStart w:id="117" w:name="_Toc87717289"/>
      <w:bookmarkStart w:id="118" w:name="_Toc70592253"/>
      <w:r>
        <w:rPr>
          <w:rFonts w:hint="eastAsia"/>
          <w:lang w:eastAsia="zh-CN"/>
        </w:rPr>
        <w:t>第一节</w:t>
      </w:r>
      <w:r>
        <w:rPr>
          <w:rFonts w:hint="eastAsia"/>
          <w:lang w:val="en-US" w:eastAsia="zh-CN"/>
        </w:rPr>
        <w:t xml:space="preserve">  </w:t>
      </w:r>
      <w:r>
        <w:rPr>
          <w:rFonts w:hint="eastAsia"/>
        </w:rPr>
        <w:t>坚持以人为本，提高社会参与</w:t>
      </w:r>
      <w:bookmarkEnd w:id="116"/>
      <w:bookmarkEnd w:id="117"/>
      <w:bookmarkEnd w:id="1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充分发挥全面从严治党引领保障作用，加强党的领导和监督作用，推进社区、居委会等基层管理组织有效落实城乡环境卫生管理工作。坚持城市管理工作以人为本、以人民为中心，制定合理有效的激励措施，提供公众参与的合理途径，逐步提高公众参与效果，形成自我约束、自我治理、自我服务的良好氛围，实现公众与政府管理部门的良性互动循环。</w:t>
      </w:r>
      <w:bookmarkStart w:id="119" w:name="_Toc70592254"/>
      <w:bookmarkStart w:id="120" w:name="_Toc87717290"/>
    </w:p>
    <w:p>
      <w:pPr>
        <w:pStyle w:val="4"/>
        <w:bidi w:val="0"/>
        <w:rPr>
          <w:rFonts w:hint="eastAsia" w:ascii="方正仿宋_GBK" w:hAnsi="方正仿宋_GBK" w:eastAsia="方正仿宋_GBK" w:cs="方正仿宋_GBK"/>
        </w:rPr>
      </w:pPr>
      <w:bookmarkStart w:id="121" w:name="_Toc88683101"/>
      <w:r>
        <w:rPr>
          <w:rFonts w:hint="eastAsia"/>
          <w:lang w:eastAsia="zh-CN"/>
        </w:rPr>
        <w:t>第二节</w:t>
      </w:r>
      <w:r>
        <w:rPr>
          <w:rFonts w:hint="eastAsia"/>
          <w:lang w:val="en-US" w:eastAsia="zh-CN"/>
        </w:rPr>
        <w:t xml:space="preserve">  </w:t>
      </w:r>
      <w:r>
        <w:rPr>
          <w:rFonts w:hint="eastAsia"/>
        </w:rPr>
        <w:t>完善政策保障，加大行业监管</w:t>
      </w:r>
      <w:bookmarkEnd w:id="119"/>
      <w:bookmarkEnd w:id="120"/>
      <w:bookmarkEnd w:id="12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制订和完善有关废弃物减量化和资源化服务收费、道路保洁、市场运作等方面的法规、规章和标准，逐步形成覆盖生产、流通、消费、处理全过程的法规体系。健全生活垃圾总量控制和计量收费制度，加大经济杠杆调节力度，实施“超量加价、减量奖励”政策。建立环境卫生信息管理体系、技术开发和科技推广服务体系，加快人才和先进技术的引进和培育。</w:t>
      </w:r>
    </w:p>
    <w:p>
      <w:pPr>
        <w:pStyle w:val="4"/>
        <w:bidi w:val="0"/>
        <w:rPr>
          <w:rFonts w:hint="eastAsia"/>
        </w:rPr>
      </w:pPr>
      <w:bookmarkStart w:id="122" w:name="_Toc87717291"/>
      <w:bookmarkStart w:id="123" w:name="_Toc517054124"/>
      <w:bookmarkStart w:id="124" w:name="_Toc70592255"/>
      <w:r>
        <w:rPr>
          <w:rFonts w:hint="eastAsia"/>
          <w:lang w:eastAsia="zh-CN"/>
        </w:rPr>
        <w:t>第三节</w:t>
      </w:r>
      <w:r>
        <w:rPr>
          <w:rFonts w:hint="eastAsia"/>
          <w:lang w:val="en-US" w:eastAsia="zh-CN"/>
        </w:rPr>
        <w:t xml:space="preserve">  </w:t>
      </w:r>
      <w:r>
        <w:rPr>
          <w:rFonts w:hint="eastAsia"/>
        </w:rPr>
        <w:t>健全评估体系，加强长效管理</w:t>
      </w:r>
      <w:bookmarkEnd w:id="122"/>
      <w:bookmarkEnd w:id="123"/>
      <w:bookmarkEnd w:id="12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探索并确定适宜的环卫作业质量评价指标，制定全面科学的环卫日常作业评估体系，形成客观、量化考核标准，通过抽查或第三方定期评估辖区环境卫生作业质量，督促加强日常管理。建全环境卫生应急预案启动运行机制，加强环境卫生安全监管及隐患排查力度，充分发挥智慧环卫管理系统作用，实现环境卫生日常管理、应急保障和安全管理精准、高效、科学。</w:t>
      </w:r>
    </w:p>
    <w:p>
      <w:pPr>
        <w:pStyle w:val="4"/>
        <w:bidi w:val="0"/>
        <w:rPr>
          <w:rFonts w:hint="eastAsia" w:ascii="方正仿宋_GBK" w:hAnsi="方正仿宋_GBK" w:eastAsia="方正仿宋_GBK" w:cs="方正仿宋_GBK"/>
        </w:rPr>
      </w:pPr>
      <w:bookmarkStart w:id="125" w:name="_Toc87717292"/>
      <w:bookmarkStart w:id="126" w:name="_Toc70592258"/>
      <w:bookmarkStart w:id="127" w:name="_Toc1686495237"/>
      <w:r>
        <w:rPr>
          <w:rFonts w:hint="eastAsia"/>
          <w:lang w:eastAsia="zh-CN"/>
        </w:rPr>
        <w:t>第四节</w:t>
      </w:r>
      <w:r>
        <w:rPr>
          <w:rFonts w:hint="eastAsia"/>
          <w:lang w:val="en-US" w:eastAsia="zh-CN"/>
        </w:rPr>
        <w:t xml:space="preserve">  </w:t>
      </w:r>
      <w:r>
        <w:rPr>
          <w:rFonts w:hint="eastAsia"/>
        </w:rPr>
        <w:t>加强资金保障，推动市场运作</w:t>
      </w:r>
      <w:bookmarkEnd w:id="125"/>
      <w:bookmarkEnd w:id="126"/>
      <w:bookmarkEnd w:id="12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r>
        <w:rPr>
          <w:rFonts w:hint="eastAsia" w:ascii="方正仿宋_GBK" w:hAnsi="方正仿宋_GBK" w:eastAsia="方正仿宋_GBK" w:cs="方正仿宋_GBK"/>
        </w:rPr>
        <w:t>强化环境卫生基础性公益事业地位，加大对环境卫生事业的投入，落实环境卫生作业费用定额，确保各项经费足额到位。加快推进环卫作业定额实施，完善价格定期增长机制，确定合理的服务价格、收费标准以及调整机制和资金保障体系。积极拓展资金保障渠道，鼓励社会资金参与设施建设和环卫管理，引入PPP、BOT及特许经营等模式，推进环卫基础设施建设。创新供给模式，加大向社会力量购买服务的力度，积极构建优质、高效的环卫公共服务体系。</w:t>
      </w:r>
    </w:p>
    <w:p>
      <w:pPr>
        <w:keepNext w:val="0"/>
        <w:keepLines w:val="0"/>
        <w:pageBreakBefore w:val="0"/>
        <w:widowControl w:val="0"/>
        <w:kinsoku/>
        <w:wordWrap/>
        <w:overflowPunct/>
        <w:topLinePunct w:val="0"/>
        <w:autoSpaceDE/>
        <w:autoSpaceDN/>
        <w:bidi w:val="0"/>
        <w:adjustRightInd/>
        <w:snapToGrid w:val="0"/>
        <w:textAlignment w:val="auto"/>
        <w:rPr>
          <w:rFonts w:hint="eastAsia" w:ascii="方正黑体_GBK" w:hAnsi="方正黑体_GBK" w:eastAsia="方正黑体_GBK" w:cs="方正黑体_GBK"/>
          <w:sz w:val="32"/>
          <w:szCs w:val="32"/>
        </w:rPr>
      </w:pPr>
      <w:bookmarkStart w:id="128" w:name="_Toc87717293"/>
      <w:r>
        <w:rPr>
          <w:rFonts w:hint="eastAsia" w:ascii="方正黑体_GBK" w:hAnsi="方正黑体_GBK" w:eastAsia="方正黑体_GBK" w:cs="方正黑体_GBK"/>
          <w:sz w:val="32"/>
          <w:szCs w:val="32"/>
        </w:rPr>
        <w:t>附表</w:t>
      </w:r>
      <w:bookmarkEnd w:id="128"/>
    </w:p>
    <w:p>
      <w:pPr>
        <w:keepNext w:val="0"/>
        <w:keepLines w:val="0"/>
        <w:pageBreakBefore w:val="0"/>
        <w:widowControl w:val="0"/>
        <w:kinsoku/>
        <w:wordWrap/>
        <w:overflowPunct/>
        <w:topLinePunct w:val="0"/>
        <w:autoSpaceDE/>
        <w:autoSpaceDN/>
        <w:bidi w:val="0"/>
        <w:adjustRightInd/>
        <w:snapToGrid w:val="0"/>
        <w:textAlignment w:val="auto"/>
        <w:rPr>
          <w:rFonts w:hint="eastAsia" w:ascii="方正黑体_GBK" w:hAnsi="方正黑体_GBK" w:eastAsia="方正黑体_GBK" w:cs="方正黑体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29" w:name="_Toc70592268"/>
      <w:bookmarkStart w:id="130" w:name="_Toc83196024"/>
      <w:bookmarkStart w:id="131" w:name="_Toc79139103"/>
      <w:bookmarkStart w:id="132" w:name="_Toc87717294"/>
      <w:bookmarkStart w:id="133" w:name="_Toc75169091"/>
      <w:bookmarkStart w:id="134" w:name="_Toc75163206"/>
      <w:bookmarkStart w:id="135" w:name="_Toc75773276"/>
      <w:r>
        <w:rPr>
          <w:rFonts w:hint="eastAsia" w:ascii="方正黑体_GBK" w:hAnsi="方正黑体_GBK" w:eastAsia="方正黑体_GBK" w:cs="方正黑体_GBK"/>
          <w:sz w:val="32"/>
          <w:szCs w:val="32"/>
        </w:rPr>
        <w:t>附表1-1 城市道路清扫保洁现状统计表</w:t>
      </w:r>
      <w:bookmarkEnd w:id="129"/>
      <w:bookmarkEnd w:id="130"/>
      <w:bookmarkEnd w:id="131"/>
      <w:bookmarkEnd w:id="132"/>
      <w:bookmarkEnd w:id="133"/>
      <w:bookmarkEnd w:id="134"/>
      <w:bookmarkEnd w:id="135"/>
    </w:p>
    <w:tbl>
      <w:tblPr>
        <w:tblStyle w:val="9"/>
        <w:tblW w:w="891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767"/>
        <w:gridCol w:w="975"/>
        <w:gridCol w:w="821"/>
        <w:gridCol w:w="1015"/>
        <w:gridCol w:w="685"/>
        <w:gridCol w:w="1019"/>
        <w:gridCol w:w="670"/>
        <w:gridCol w:w="498"/>
        <w:gridCol w:w="499"/>
        <w:gridCol w:w="607"/>
        <w:gridCol w:w="607"/>
        <w:gridCol w:w="75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54" w:hRule="atLeast"/>
          <w:jc w:val="center"/>
        </w:trPr>
        <w:tc>
          <w:tcPr>
            <w:tcW w:w="7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bookmarkStart w:id="136" w:name="_Toc79139104"/>
            <w:bookmarkStart w:id="137" w:name="_Toc75773277"/>
            <w:bookmarkStart w:id="138" w:name="_Toc70592269"/>
            <w:bookmarkStart w:id="139" w:name="_Toc75169092"/>
            <w:bookmarkStart w:id="140" w:name="_Toc75163207"/>
            <w:r>
              <w:rPr>
                <w:rFonts w:hint="eastAsia" w:ascii="方正黑体_GBK" w:hAnsi="方正黑体_GBK" w:eastAsia="方正黑体_GBK" w:cs="方正黑体_GBK"/>
                <w:sz w:val="28"/>
                <w:szCs w:val="28"/>
              </w:rPr>
              <w:t>年份</w:t>
            </w:r>
          </w:p>
        </w:tc>
        <w:tc>
          <w:tcPr>
            <w:tcW w:w="17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道路面积</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(万平方米)</w:t>
            </w:r>
          </w:p>
        </w:tc>
        <w:tc>
          <w:tcPr>
            <w:tcW w:w="17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道路清扫面积(万平方米)</w:t>
            </w:r>
          </w:p>
        </w:tc>
        <w:tc>
          <w:tcPr>
            <w:tcW w:w="16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机械化清扫面积(万平方米)</w:t>
            </w:r>
          </w:p>
        </w:tc>
        <w:tc>
          <w:tcPr>
            <w:tcW w:w="99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机械化作业车（辆）</w:t>
            </w:r>
          </w:p>
        </w:tc>
        <w:tc>
          <w:tcPr>
            <w:tcW w:w="196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环卫工人人数（人）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54" w:hRule="atLeast"/>
          <w:jc w:val="center"/>
        </w:trPr>
        <w:tc>
          <w:tcPr>
            <w:tcW w:w="7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城区</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镇街</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农村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2015</w:t>
            </w:r>
          </w:p>
        </w:tc>
        <w:tc>
          <w:tcPr>
            <w:tcW w:w="97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495.66</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495.66</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202.37</w:t>
            </w:r>
          </w:p>
        </w:tc>
        <w:tc>
          <w:tcPr>
            <w:tcW w:w="670"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598</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210</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2016</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524.85</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524.85</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238.15</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27</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753</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212</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2017</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526.71</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526.71</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245.06</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755</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212</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2018</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528.25</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528.25</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191.6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249.13</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31</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16</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757</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215</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2019</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552.13</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552.13</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257.08</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33</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870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227</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1169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28" w:hRule="atLeast"/>
          <w:jc w:val="center"/>
        </w:trPr>
        <w:tc>
          <w:tcPr>
            <w:tcW w:w="7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2020</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565.4</w:t>
            </w:r>
          </w:p>
        </w:tc>
        <w:tc>
          <w:tcPr>
            <w:tcW w:w="8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565.4</w:t>
            </w:r>
          </w:p>
        </w:tc>
        <w:tc>
          <w:tcPr>
            <w:tcW w:w="6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190.6</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283</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47.5</w:t>
            </w:r>
          </w:p>
        </w:tc>
        <w:tc>
          <w:tcPr>
            <w:tcW w:w="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42</w:t>
            </w:r>
          </w:p>
        </w:tc>
        <w:tc>
          <w:tcPr>
            <w:tcW w:w="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21</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900</w:t>
            </w:r>
          </w:p>
        </w:tc>
        <w:tc>
          <w:tcPr>
            <w:tcW w:w="6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231</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1042</w:t>
            </w:r>
          </w:p>
        </w:tc>
      </w:tr>
    </w:tbl>
    <w:p>
      <w:pPr>
        <w:keepNext w:val="0"/>
        <w:keepLines w:val="0"/>
        <w:pageBreakBefore w:val="0"/>
        <w:widowControl w:val="0"/>
        <w:kinsoku/>
        <w:wordWrap/>
        <w:overflowPunct/>
        <w:topLinePunct w:val="0"/>
        <w:autoSpaceDE/>
        <w:autoSpaceDN/>
        <w:bidi w:val="0"/>
        <w:adjustRightInd/>
        <w:snapToGrid/>
        <w:textAlignment w:val="auto"/>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41" w:name="_Toc87717295"/>
      <w:bookmarkStart w:id="142" w:name="_Toc83196025"/>
      <w:r>
        <w:rPr>
          <w:rFonts w:hint="eastAsia" w:ascii="方正黑体_GBK" w:hAnsi="方正黑体_GBK" w:eastAsia="方正黑体_GBK" w:cs="方正黑体_GBK"/>
          <w:sz w:val="32"/>
          <w:szCs w:val="32"/>
        </w:rPr>
        <w:t>附表1-2 城区水域垃圾量统计表</w:t>
      </w:r>
      <w:bookmarkEnd w:id="136"/>
      <w:bookmarkEnd w:id="137"/>
      <w:bookmarkEnd w:id="138"/>
      <w:bookmarkEnd w:id="139"/>
      <w:bookmarkEnd w:id="140"/>
      <w:bookmarkEnd w:id="141"/>
      <w:bookmarkEnd w:id="142"/>
    </w:p>
    <w:tbl>
      <w:tblPr>
        <w:tblStyle w:val="9"/>
        <w:tblW w:w="895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1365"/>
        <w:gridCol w:w="1483"/>
        <w:gridCol w:w="2057"/>
        <w:gridCol w:w="2110"/>
        <w:gridCol w:w="194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14"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年份</w:t>
            </w:r>
          </w:p>
        </w:tc>
        <w:tc>
          <w:tcPr>
            <w:tcW w:w="14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清漂区域</w:t>
            </w: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产生量（吨/年）</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清运量(吨/年)</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2015</w:t>
            </w:r>
          </w:p>
        </w:tc>
        <w:tc>
          <w:tcPr>
            <w:tcW w:w="14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濑溪河</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荣峰河</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池水河</w:t>
            </w: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1284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2016</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1365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2017</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1086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2018</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1198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2019</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1246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38" w:hRule="atLeast"/>
          <w:jc w:val="center"/>
        </w:trPr>
        <w:tc>
          <w:tcPr>
            <w:tcW w:w="1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2020</w:t>
            </w:r>
          </w:p>
        </w:tc>
        <w:tc>
          <w:tcPr>
            <w:tcW w:w="14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p>
        </w:tc>
        <w:tc>
          <w:tcPr>
            <w:tcW w:w="20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c>
          <w:tcPr>
            <w:tcW w:w="2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c>
          <w:tcPr>
            <w:tcW w:w="19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1480</w:t>
            </w:r>
          </w:p>
        </w:tc>
      </w:tr>
    </w:tbl>
    <w:p>
      <w:pPr>
        <w:rPr>
          <w:rFonts w:hint="eastAsia" w:ascii="方正仿宋_GBK" w:hAnsi="方正仿宋_GBK" w:eastAsia="方正仿宋_GBK" w:cs="方正仿宋_GBK"/>
          <w:sz w:val="32"/>
          <w:szCs w:val="32"/>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43" w:name="_Toc83196026"/>
      <w:bookmarkStart w:id="144" w:name="_Toc79139105"/>
      <w:bookmarkStart w:id="145" w:name="_Toc75773278"/>
      <w:bookmarkStart w:id="146" w:name="_Toc87717296"/>
      <w:r>
        <w:rPr>
          <w:rFonts w:hint="eastAsia" w:ascii="方正黑体_GBK" w:hAnsi="方正黑体_GBK" w:eastAsia="方正黑体_GBK" w:cs="方正黑体_GBK"/>
          <w:sz w:val="32"/>
          <w:szCs w:val="32"/>
        </w:rPr>
        <w:t>附表1-3</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生活垃圾产生量统计表</w:t>
      </w:r>
      <w:bookmarkEnd w:id="143"/>
      <w:bookmarkEnd w:id="144"/>
      <w:bookmarkEnd w:id="145"/>
      <w:bookmarkEnd w:id="146"/>
    </w:p>
    <w:tbl>
      <w:tblPr>
        <w:tblStyle w:val="9"/>
        <w:tblW w:w="0" w:type="auto"/>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shd w:val="clear" w:color="auto" w:fill="FFFFFF"/>
        <w:tblLayout w:type="fixed"/>
        <w:tblCellMar>
          <w:top w:w="0" w:type="dxa"/>
          <w:left w:w="23" w:type="dxa"/>
          <w:bottom w:w="0" w:type="dxa"/>
          <w:right w:w="23" w:type="dxa"/>
        </w:tblCellMar>
      </w:tblPr>
      <w:tblGrid>
        <w:gridCol w:w="1022"/>
        <w:gridCol w:w="1284"/>
        <w:gridCol w:w="1401"/>
        <w:gridCol w:w="1245"/>
        <w:gridCol w:w="1165"/>
        <w:gridCol w:w="1165"/>
        <w:gridCol w:w="150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022"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bookmarkStart w:id="147" w:name="_Toc79139106"/>
            <w:bookmarkStart w:id="148" w:name="_Toc75163198"/>
            <w:bookmarkStart w:id="149" w:name="_Toc75773279"/>
            <w:bookmarkStart w:id="150" w:name="_Toc75169083"/>
            <w:bookmarkStart w:id="151" w:name="_Toc70592260"/>
            <w:r>
              <w:rPr>
                <w:rFonts w:hint="eastAsia" w:ascii="方正黑体_GBK" w:hAnsi="方正黑体_GBK" w:eastAsia="方正黑体_GBK" w:cs="方正黑体_GBK"/>
                <w:sz w:val="24"/>
                <w:szCs w:val="24"/>
              </w:rPr>
              <w:t>年份</w:t>
            </w:r>
          </w:p>
        </w:tc>
        <w:tc>
          <w:tcPr>
            <w:tcW w:w="3930" w:type="dxa"/>
            <w:gridSpan w:val="3"/>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3836" w:type="dxa"/>
            <w:gridSpan w:val="3"/>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无害化处理量(吨/年)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022"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农村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74791</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20058</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74791</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20058</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75025</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19985</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33340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75025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19985</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33340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75715</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20158</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40675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75715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20158</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40675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103256</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17360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43436</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103256</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17360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43436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104900</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20680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48125</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104900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20680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48125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0" w:hRule="atLeast"/>
        </w:trPr>
        <w:tc>
          <w:tcPr>
            <w:tcW w:w="1022"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284"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105000</w:t>
            </w:r>
          </w:p>
        </w:tc>
        <w:tc>
          <w:tcPr>
            <w:tcW w:w="1401"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21260</w:t>
            </w:r>
          </w:p>
        </w:tc>
        <w:tc>
          <w:tcPr>
            <w:tcW w:w="124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45000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105000</w:t>
            </w:r>
          </w:p>
        </w:tc>
        <w:tc>
          <w:tcPr>
            <w:tcW w:w="1165"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21260</w:t>
            </w:r>
          </w:p>
        </w:tc>
        <w:tc>
          <w:tcPr>
            <w:tcW w:w="150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45000</w:t>
            </w:r>
          </w:p>
        </w:tc>
      </w:tr>
    </w:tbl>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52" w:name="_Toc83196027"/>
      <w:bookmarkStart w:id="153" w:name="_Toc87717297"/>
      <w:r>
        <w:rPr>
          <w:rFonts w:hint="eastAsia" w:ascii="方正黑体_GBK" w:hAnsi="方正黑体_GBK" w:eastAsia="方正黑体_GBK" w:cs="方正黑体_GBK"/>
          <w:sz w:val="32"/>
          <w:szCs w:val="32"/>
        </w:rPr>
        <w:t>附表1-4</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餐厨垃圾产生量统计表</w:t>
      </w:r>
      <w:bookmarkEnd w:id="147"/>
      <w:bookmarkEnd w:id="148"/>
      <w:bookmarkEnd w:id="149"/>
      <w:bookmarkEnd w:id="150"/>
      <w:bookmarkEnd w:id="151"/>
      <w:bookmarkEnd w:id="152"/>
      <w:bookmarkEnd w:id="153"/>
    </w:p>
    <w:tbl>
      <w:tblPr>
        <w:tblStyle w:val="9"/>
        <w:tblW w:w="0" w:type="auto"/>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1348"/>
        <w:gridCol w:w="1868"/>
        <w:gridCol w:w="2041"/>
        <w:gridCol w:w="1811"/>
        <w:gridCol w:w="1697"/>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40" w:hRule="atLeast"/>
        </w:trPr>
        <w:tc>
          <w:tcPr>
            <w:tcW w:w="13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bookmarkStart w:id="154" w:name="_Toc75169084"/>
            <w:bookmarkStart w:id="155" w:name="_Toc75163199"/>
            <w:bookmarkStart w:id="156" w:name="_Toc75773280"/>
            <w:bookmarkStart w:id="157" w:name="_Toc79139107"/>
            <w:bookmarkStart w:id="158" w:name="_Toc70592261"/>
            <w:r>
              <w:rPr>
                <w:rFonts w:hint="eastAsia" w:ascii="方正黑体_GBK" w:hAnsi="方正黑体_GBK" w:eastAsia="方正黑体_GBK" w:cs="方正黑体_GBK"/>
                <w:sz w:val="24"/>
                <w:szCs w:val="24"/>
              </w:rPr>
              <w:t>年份</w:t>
            </w:r>
          </w:p>
        </w:tc>
        <w:tc>
          <w:tcPr>
            <w:tcW w:w="390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350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无害化处理量(吨/年)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atLeast"/>
        </w:trPr>
        <w:tc>
          <w:tcPr>
            <w:tcW w:w="13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镇街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7800</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3050</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7800</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6725</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5425</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6725</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8599</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6871</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8599</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9585</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8015</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9585</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11428</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8647</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11428</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2" w:hRule="atLeast"/>
        </w:trPr>
        <w:tc>
          <w:tcPr>
            <w:tcW w:w="13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9439</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9241</w:t>
            </w:r>
          </w:p>
        </w:tc>
        <w:tc>
          <w:tcPr>
            <w:tcW w:w="18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9439</w:t>
            </w:r>
          </w:p>
        </w:tc>
        <w:tc>
          <w:tcPr>
            <w:tcW w:w="16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7000</w:t>
            </w:r>
          </w:p>
        </w:tc>
      </w:tr>
    </w:tbl>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59" w:name="_Toc87717298"/>
      <w:bookmarkStart w:id="160" w:name="_Toc83196028"/>
      <w:r>
        <w:rPr>
          <w:rFonts w:hint="eastAsia" w:ascii="方正黑体_GBK" w:hAnsi="方正黑体_GBK" w:eastAsia="方正黑体_GBK" w:cs="方正黑体_GBK"/>
          <w:sz w:val="32"/>
          <w:szCs w:val="32"/>
        </w:rPr>
        <w:t>附表1-5</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生活垃圾收集设施现状一览表</w:t>
      </w:r>
      <w:bookmarkEnd w:id="154"/>
      <w:bookmarkEnd w:id="155"/>
      <w:bookmarkEnd w:id="156"/>
      <w:bookmarkEnd w:id="157"/>
      <w:bookmarkEnd w:id="158"/>
      <w:bookmarkEnd w:id="159"/>
      <w:bookmarkEnd w:id="160"/>
    </w:p>
    <w:tbl>
      <w:tblPr>
        <w:tblStyle w:val="9"/>
        <w:tblW w:w="8745"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726"/>
        <w:gridCol w:w="2619"/>
        <w:gridCol w:w="1528"/>
        <w:gridCol w:w="1522"/>
        <w:gridCol w:w="1088"/>
        <w:gridCol w:w="126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40"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所在镇街</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收集站</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类型</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性质</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建设规模（吨/日）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田坝街垃圾收集站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西门桥垃圾收集站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地埋式压缩</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花园街垃圾收集站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钟家祠垃圾收集站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外贸垃圾收集站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外南尾街垃圾收集站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89" w:hRule="atLeast"/>
        </w:trPr>
        <w:tc>
          <w:tcPr>
            <w:tcW w:w="7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26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东大一街垃圾收集站</w:t>
            </w:r>
          </w:p>
        </w:tc>
        <w:tc>
          <w:tcPr>
            <w:tcW w:w="15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15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非压缩式</w:t>
            </w:r>
          </w:p>
        </w:tc>
        <w:tc>
          <w:tcPr>
            <w:tcW w:w="10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改扩建</w:t>
            </w:r>
          </w:p>
        </w:tc>
        <w:tc>
          <w:tcPr>
            <w:tcW w:w="12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r>
    </w:tbl>
    <w:p>
      <w:p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61" w:name="_Toc87717299"/>
      <w:bookmarkStart w:id="162" w:name="_Toc83196029"/>
      <w:r>
        <w:rPr>
          <w:rFonts w:hint="eastAsia" w:ascii="方正黑体_GBK" w:hAnsi="方正黑体_GBK" w:eastAsia="方正黑体_GBK" w:cs="方正黑体_GBK"/>
          <w:sz w:val="32"/>
          <w:szCs w:val="32"/>
        </w:rPr>
        <w:t>附表1-6</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生活垃圾转运设施现状一览表</w:t>
      </w:r>
      <w:bookmarkEnd w:id="161"/>
      <w:bookmarkEnd w:id="162"/>
    </w:p>
    <w:tbl>
      <w:tblPr>
        <w:tblStyle w:val="9"/>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563"/>
        <w:gridCol w:w="2984"/>
        <w:gridCol w:w="995"/>
        <w:gridCol w:w="995"/>
        <w:gridCol w:w="1136"/>
        <w:gridCol w:w="543"/>
        <w:gridCol w:w="148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9" w:hRule="exact"/>
          <w:jc w:val="center"/>
        </w:trPr>
        <w:tc>
          <w:tcPr>
            <w:tcW w:w="56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29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设施名称</w:t>
            </w:r>
          </w:p>
        </w:tc>
        <w:tc>
          <w:tcPr>
            <w:tcW w:w="9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9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占地面积(平方米)</w:t>
            </w:r>
          </w:p>
        </w:tc>
        <w:tc>
          <w:tcPr>
            <w:tcW w:w="11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建设规模（吨/日）</w:t>
            </w:r>
          </w:p>
        </w:tc>
        <w:tc>
          <w:tcPr>
            <w:tcW w:w="5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服务范围</w:t>
            </w:r>
          </w:p>
        </w:tc>
        <w:tc>
          <w:tcPr>
            <w:tcW w:w="1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firstLine="0" w:firstLineChars="0"/>
              <w:jc w:val="center"/>
              <w:textAlignment w:val="auto"/>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转运站类型</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上河城中转站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红旗桥中转站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怡和花园中转站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南门桥中转站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熬家巷中转站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棠城国际中转站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仁和中转站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北一环中转站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北二环中转站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香国公园中转站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54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城区</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新峰1组中转站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昌元街道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峰高垃圾中转站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峰高街道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548</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高瓷中转站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广顺街道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洗布谭垃圾中转站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安富街道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双河垃圾中转站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双河街道</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88</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荣隆场镇垃圾中转站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17</w:t>
            </w:r>
          </w:p>
        </w:tc>
        <w:tc>
          <w:tcPr>
            <w:tcW w:w="298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荣隆镇葛桥社区垃圾中转站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远觉镇垃圾中转站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远觉镇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荣升社区垃圾中转站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直升镇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姜家湾新村垃圾中转站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直升镇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130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清升镇垃圾中转站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清升镇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22</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清江镇垃圾中转站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清江镇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23</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清流镇垃圾中转站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清流镇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165</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观胜镇垃圾中转站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观胜镇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吴家镇农村生活垃圾中转站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吴家镇场镇生活垃圾中转站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吴家镇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27</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古昌镇垃圾中转站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古昌镇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28</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龙集镇垃圾中转站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龙集镇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23</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29</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铜鼓镇垃圾中转站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铜鼓镇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盘龙镇垃圾中转站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盘龙镇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31</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万灵镇垃圾中转站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万灵镇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32</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仁义镇场镇垃圾中转站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33</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正华垃圾中转站</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仁义镇</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w:t>
            </w:r>
          </w:p>
        </w:tc>
        <w:tc>
          <w:tcPr>
            <w:tcW w:w="113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56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34</w:t>
            </w:r>
          </w:p>
        </w:tc>
        <w:tc>
          <w:tcPr>
            <w:tcW w:w="2984" w:type="dxa"/>
            <w:tcBorders>
              <w:tl2br w:val="nil"/>
              <w:tr2bl w:val="nil"/>
            </w:tcBorders>
            <w:noWrap w:val="0"/>
            <w:vAlign w:val="top"/>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河包垃圾中转站</w:t>
            </w:r>
          </w:p>
        </w:tc>
        <w:tc>
          <w:tcPr>
            <w:tcW w:w="9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河包镇</w:t>
            </w:r>
          </w:p>
        </w:tc>
        <w:tc>
          <w:tcPr>
            <w:tcW w:w="995"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w:t>
            </w:r>
          </w:p>
        </w:tc>
        <w:tc>
          <w:tcPr>
            <w:tcW w:w="1136"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543"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镇街</w:t>
            </w:r>
          </w:p>
        </w:tc>
        <w:tc>
          <w:tcPr>
            <w:tcW w:w="148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压缩移动箱体</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63" w:name="_Toc83196030"/>
      <w:bookmarkStart w:id="164" w:name="_Toc87717300"/>
      <w:r>
        <w:rPr>
          <w:rFonts w:hint="eastAsia" w:ascii="方正黑体_GBK" w:hAnsi="方正黑体_GBK" w:eastAsia="方正黑体_GBK" w:cs="方正黑体_GBK"/>
          <w:sz w:val="32"/>
          <w:szCs w:val="32"/>
        </w:rPr>
        <w:t>附表1-7</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生活垃圾处理设施现状一览表</w:t>
      </w:r>
      <w:bookmarkEnd w:id="163"/>
      <w:bookmarkEnd w:id="164"/>
    </w:p>
    <w:tbl>
      <w:tblPr>
        <w:tblStyle w:val="9"/>
        <w:tblW w:w="86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1700"/>
        <w:gridCol w:w="1280"/>
        <w:gridCol w:w="1136"/>
        <w:gridCol w:w="1153"/>
        <w:gridCol w:w="1225"/>
        <w:gridCol w:w="1103"/>
        <w:gridCol w:w="110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20"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项目地点</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建设性质</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处理工艺</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处理能力（吨/日）</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设计年限（年）</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占地面积</w:t>
            </w:r>
            <w:r>
              <w:rPr>
                <w:rFonts w:hint="eastAsia" w:ascii="方正黑体_GBK" w:hAnsi="方正黑体_GBK" w:eastAsia="方正黑体_GBK" w:cs="方正黑体_GBK"/>
                <w:sz w:val="24"/>
                <w:szCs w:val="24"/>
              </w:rPr>
              <w:br w:type="textWrapping"/>
            </w:r>
            <w:r>
              <w:rPr>
                <w:rFonts w:hint="eastAsia" w:ascii="方正黑体_GBK" w:hAnsi="方正黑体_GBK" w:eastAsia="方正黑体_GBK" w:cs="方正黑体_GBK"/>
                <w:sz w:val="24"/>
                <w:szCs w:val="24"/>
              </w:rPr>
              <w:t>（公顷）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135"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荣昌区填埋场（荣昌城市生活垃圾填埋场）</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昌州街道七宝岩村</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卫生填埋</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18.26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095" w:hRule="atLeast"/>
        </w:trPr>
        <w:tc>
          <w:tcPr>
            <w:tcW w:w="1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渗滤液处理设施</w:t>
            </w:r>
          </w:p>
        </w:tc>
        <w:tc>
          <w:tcPr>
            <w:tcW w:w="1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昌州街道七宝岩村</w:t>
            </w:r>
          </w:p>
        </w:tc>
        <w:tc>
          <w:tcPr>
            <w:tcW w:w="11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tc>
        <w:tc>
          <w:tcPr>
            <w:tcW w:w="1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预处理+生物处理+深度处理</w:t>
            </w:r>
          </w:p>
        </w:tc>
        <w:tc>
          <w:tcPr>
            <w:tcW w:w="12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350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w:t>
            </w:r>
          </w:p>
        </w:tc>
        <w:tc>
          <w:tcPr>
            <w:tcW w:w="1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0.26</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rPr>
      </w:pPr>
      <w:bookmarkStart w:id="165" w:name="_Toc75169087"/>
      <w:bookmarkStart w:id="166" w:name="_Toc75773283"/>
      <w:bookmarkStart w:id="167" w:name="_Toc75163202"/>
      <w:bookmarkStart w:id="168" w:name="_Toc70592264"/>
      <w:bookmarkStart w:id="169" w:name="_Toc79139110"/>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0" w:name="_Toc83196031"/>
      <w:bookmarkStart w:id="171" w:name="_Toc87717301"/>
      <w:r>
        <w:rPr>
          <w:rFonts w:hint="eastAsia" w:ascii="方正黑体_GBK" w:hAnsi="方正黑体_GBK" w:eastAsia="方正黑体_GBK" w:cs="方正黑体_GBK"/>
          <w:sz w:val="32"/>
          <w:szCs w:val="32"/>
        </w:rPr>
        <w:t>附表1-8</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建筑垃圾清运量及处理量统计表</w:t>
      </w:r>
      <w:bookmarkEnd w:id="165"/>
      <w:bookmarkEnd w:id="166"/>
      <w:bookmarkEnd w:id="167"/>
      <w:bookmarkEnd w:id="168"/>
      <w:bookmarkEnd w:id="169"/>
      <w:bookmarkEnd w:id="170"/>
      <w:bookmarkEnd w:id="171"/>
    </w:p>
    <w:tbl>
      <w:tblPr>
        <w:tblStyle w:val="9"/>
        <w:tblW w:w="8802"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463"/>
        <w:gridCol w:w="1827"/>
        <w:gridCol w:w="1711"/>
        <w:gridCol w:w="1856"/>
        <w:gridCol w:w="194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05" w:hRule="atLeast"/>
        </w:trPr>
        <w:tc>
          <w:tcPr>
            <w:tcW w:w="14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年份</w:t>
            </w:r>
          </w:p>
        </w:tc>
        <w:tc>
          <w:tcPr>
            <w:tcW w:w="353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380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14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乡村</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城区</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乡村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79500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85000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948</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85000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948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1153</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86000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116700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1140</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116700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118900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1136</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118900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1136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57" w:hRule="atLeast"/>
        </w:trPr>
        <w:tc>
          <w:tcPr>
            <w:tcW w:w="14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18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126700</w:t>
            </w:r>
          </w:p>
        </w:tc>
        <w:tc>
          <w:tcPr>
            <w:tcW w:w="17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1455</w:t>
            </w:r>
          </w:p>
        </w:tc>
        <w:tc>
          <w:tcPr>
            <w:tcW w:w="1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126700</w:t>
            </w:r>
          </w:p>
        </w:tc>
        <w:tc>
          <w:tcPr>
            <w:tcW w:w="1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1455</w:t>
            </w:r>
          </w:p>
        </w:tc>
      </w:tr>
    </w:tbl>
    <w:p>
      <w:pPr>
        <w:widowControl/>
        <w:spacing w:line="240" w:lineRule="auto"/>
        <w:ind w:firstLine="0" w:firstLineChars="0"/>
        <w:jc w:val="left"/>
        <w:rPr>
          <w:rFonts w:eastAsia="方正仿宋_GBK"/>
          <w:b/>
          <w:bCs/>
          <w:szCs w:val="32"/>
        </w:rPr>
      </w:pPr>
      <w:bookmarkStart w:id="172" w:name="_Toc79139111"/>
      <w:bookmarkStart w:id="173" w:name="_Toc75163203"/>
      <w:bookmarkStart w:id="174" w:name="_Toc70592265"/>
      <w:bookmarkStart w:id="175" w:name="_Toc75169088"/>
      <w:bookmarkStart w:id="176" w:name="_Toc75773284"/>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7" w:name="_Toc83196032"/>
      <w:bookmarkStart w:id="178" w:name="_Toc87717302"/>
      <w:r>
        <w:rPr>
          <w:rFonts w:hint="eastAsia" w:ascii="方正黑体_GBK" w:hAnsi="方正黑体_GBK" w:eastAsia="方正黑体_GBK" w:cs="方正黑体_GBK"/>
          <w:sz w:val="32"/>
          <w:szCs w:val="32"/>
        </w:rPr>
        <w:t>附表1-9</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建筑垃圾处理设施现状一览表</w:t>
      </w:r>
      <w:bookmarkEnd w:id="172"/>
      <w:bookmarkEnd w:id="173"/>
      <w:bookmarkEnd w:id="174"/>
      <w:bookmarkEnd w:id="175"/>
      <w:bookmarkEnd w:id="176"/>
      <w:bookmarkEnd w:id="177"/>
      <w:bookmarkEnd w:id="178"/>
    </w:p>
    <w:tbl>
      <w:tblPr>
        <w:tblStyle w:val="9"/>
        <w:tblW w:w="8743"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1948"/>
        <w:gridCol w:w="1537"/>
        <w:gridCol w:w="1019"/>
        <w:gridCol w:w="1134"/>
        <w:gridCol w:w="1005"/>
        <w:gridCol w:w="1020"/>
        <w:gridCol w:w="1080"/>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624" w:hRule="atLeast"/>
        </w:trPr>
        <w:tc>
          <w:tcPr>
            <w:tcW w:w="194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项目名称</w:t>
            </w:r>
          </w:p>
        </w:tc>
        <w:tc>
          <w:tcPr>
            <w:tcW w:w="15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项目地点</w:t>
            </w:r>
          </w:p>
        </w:tc>
        <w:tc>
          <w:tcPr>
            <w:tcW w:w="101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建设性质</w:t>
            </w:r>
          </w:p>
        </w:tc>
        <w:tc>
          <w:tcPr>
            <w:tcW w:w="11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处理能力（吨/日）</w:t>
            </w:r>
          </w:p>
        </w:tc>
        <w:tc>
          <w:tcPr>
            <w:tcW w:w="10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设计年限年）</w:t>
            </w:r>
          </w:p>
        </w:tc>
        <w:tc>
          <w:tcPr>
            <w:tcW w:w="102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启用时间年）</w:t>
            </w:r>
          </w:p>
        </w:tc>
        <w:tc>
          <w:tcPr>
            <w:tcW w:w="10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占地面积（公顷）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404" w:hRule="atLeast"/>
        </w:trPr>
        <w:tc>
          <w:tcPr>
            <w:tcW w:w="194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5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1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1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2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c>
          <w:tcPr>
            <w:tcW w:w="10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1440" w:hRule="atLeast"/>
        </w:trPr>
        <w:tc>
          <w:tcPr>
            <w:tcW w:w="19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荣昌建筑垃圾综合处理厂（建筑垃圾资源化利用厂）　</w:t>
            </w:r>
          </w:p>
        </w:tc>
        <w:tc>
          <w:tcPr>
            <w:tcW w:w="1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荣昌区峰高街道唐冲村</w:t>
            </w:r>
          </w:p>
        </w:tc>
        <w:tc>
          <w:tcPr>
            <w:tcW w:w="10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已建</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未运行</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1000</w:t>
            </w:r>
          </w:p>
        </w:tc>
        <w:tc>
          <w:tcPr>
            <w:tcW w:w="10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w:t>
            </w:r>
          </w:p>
        </w:tc>
        <w:tc>
          <w:tcPr>
            <w:tcW w:w="10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2021</w:t>
            </w:r>
          </w:p>
        </w:tc>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12.6</w:t>
            </w:r>
          </w:p>
        </w:tc>
      </w:tr>
    </w:tbl>
    <w:p>
      <w:p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79" w:name="_Toc75773285"/>
      <w:bookmarkStart w:id="180" w:name="_Toc83196033"/>
      <w:bookmarkStart w:id="181" w:name="_Toc87717303"/>
      <w:bookmarkStart w:id="182" w:name="_Toc79139112"/>
      <w:r>
        <w:rPr>
          <w:rFonts w:hint="eastAsia" w:ascii="方正黑体_GBK" w:hAnsi="方正黑体_GBK" w:eastAsia="方正黑体_GBK" w:cs="方正黑体_GBK"/>
          <w:sz w:val="32"/>
          <w:szCs w:val="32"/>
        </w:rPr>
        <w:t>附表1-10</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城区大件垃圾量统计表</w:t>
      </w:r>
      <w:bookmarkEnd w:id="179"/>
      <w:bookmarkEnd w:id="180"/>
      <w:bookmarkEnd w:id="181"/>
      <w:bookmarkEnd w:id="182"/>
    </w:p>
    <w:tbl>
      <w:tblPr>
        <w:tblStyle w:val="9"/>
        <w:tblW w:w="8898"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1989"/>
        <w:gridCol w:w="2175"/>
        <w:gridCol w:w="2175"/>
        <w:gridCol w:w="2559"/>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58"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时间</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139"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2015</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1562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2016</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1846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1984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113"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2137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2460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70" w:hRule="atLeast"/>
        </w:trPr>
        <w:tc>
          <w:tcPr>
            <w:tcW w:w="19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c>
          <w:tcPr>
            <w:tcW w:w="21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c>
          <w:tcPr>
            <w:tcW w:w="2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2640</w:t>
            </w:r>
          </w:p>
        </w:tc>
      </w:tr>
    </w:tbl>
    <w:p>
      <w:pPr>
        <w:widowControl/>
        <w:spacing w:line="240" w:lineRule="auto"/>
        <w:ind w:firstLine="0" w:firstLineChars="0"/>
        <w:jc w:val="left"/>
        <w:rPr>
          <w:rFonts w:eastAsia="方正仿宋_GBK"/>
          <w:b/>
          <w:bCs/>
          <w:szCs w:val="32"/>
        </w:rPr>
      </w:pPr>
      <w:bookmarkStart w:id="183" w:name="_Toc75773286"/>
      <w:bookmarkStart w:id="184" w:name="_Toc75169090"/>
      <w:bookmarkStart w:id="185" w:name="_Toc79139113"/>
      <w:bookmarkStart w:id="186" w:name="_Toc75163205"/>
      <w:bookmarkStart w:id="187" w:name="_Toc70592267"/>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88" w:name="_Toc87717304"/>
      <w:bookmarkStart w:id="189" w:name="_Toc83196034"/>
      <w:r>
        <w:rPr>
          <w:rFonts w:hint="eastAsia" w:ascii="方正黑体_GBK" w:hAnsi="方正黑体_GBK" w:eastAsia="方正黑体_GBK" w:cs="方正黑体_GBK"/>
          <w:sz w:val="32"/>
          <w:szCs w:val="32"/>
        </w:rPr>
        <w:t>附表1-11</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城区园林垃圾量统计表</w:t>
      </w:r>
      <w:bookmarkEnd w:id="183"/>
      <w:bookmarkEnd w:id="184"/>
      <w:bookmarkEnd w:id="185"/>
      <w:bookmarkEnd w:id="186"/>
      <w:bookmarkEnd w:id="187"/>
      <w:bookmarkEnd w:id="188"/>
      <w:bookmarkEnd w:id="189"/>
    </w:p>
    <w:tbl>
      <w:tblPr>
        <w:tblStyle w:val="9"/>
        <w:tblW w:w="8904"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2032"/>
        <w:gridCol w:w="2328"/>
        <w:gridCol w:w="2181"/>
        <w:gridCol w:w="236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504"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年份</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产生量（吨/年）</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清运量(吨/年)</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处理量(吨/年)</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2017</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2018</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2019</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05" w:hRule="atLeast"/>
        </w:trPr>
        <w:tc>
          <w:tcPr>
            <w:tcW w:w="203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2020</w:t>
            </w:r>
          </w:p>
        </w:tc>
        <w:tc>
          <w:tcPr>
            <w:tcW w:w="23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21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c>
          <w:tcPr>
            <w:tcW w:w="23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3000</w:t>
            </w:r>
          </w:p>
        </w:tc>
      </w:tr>
    </w:tbl>
    <w:p>
      <w:pPr>
        <w:widowControl/>
        <w:spacing w:line="240" w:lineRule="auto"/>
        <w:ind w:firstLine="0" w:firstLineChars="0"/>
        <w:jc w:val="left"/>
        <w:rPr>
          <w:rFonts w:eastAsia="方正仿宋_GBK"/>
          <w:b/>
          <w:bCs/>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0" w:name="_Toc83196035"/>
      <w:bookmarkStart w:id="191" w:name="_Toc87717305"/>
      <w:r>
        <w:rPr>
          <w:rFonts w:hint="eastAsia" w:ascii="方正黑体_GBK" w:hAnsi="方正黑体_GBK" w:eastAsia="方正黑体_GBK" w:cs="方正黑体_GBK"/>
          <w:sz w:val="32"/>
          <w:szCs w:val="32"/>
        </w:rPr>
        <w:t>附表1-12公共厕所现状一览表</w:t>
      </w:r>
      <w:bookmarkEnd w:id="190"/>
      <w:bookmarkEnd w:id="191"/>
    </w:p>
    <w:tbl>
      <w:tblPr>
        <w:tblStyle w:val="9"/>
        <w:tblW w:w="8754"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3" w:type="dxa"/>
          <w:bottom w:w="0" w:type="dxa"/>
          <w:right w:w="23" w:type="dxa"/>
        </w:tblCellMar>
      </w:tblPr>
      <w:tblGrid>
        <w:gridCol w:w="485"/>
        <w:gridCol w:w="2583"/>
        <w:gridCol w:w="1064"/>
        <w:gridCol w:w="3106"/>
        <w:gridCol w:w="677"/>
        <w:gridCol w:w="839"/>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tblHeader/>
          <w:jc w:val="center"/>
        </w:trPr>
        <w:tc>
          <w:tcPr>
            <w:tcW w:w="485" w:type="dxa"/>
            <w:tcBorders>
              <w:tl2br w:val="nil"/>
              <w:tr2bl w:val="nil"/>
            </w:tcBorders>
            <w:noWrap/>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序号</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公厕名称</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所在镇街</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地址</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公厕</w:t>
            </w:r>
          </w:p>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等级</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黑体_GBK" w:cs="方正黑体_GBK"/>
                <w:sz w:val="24"/>
                <w:szCs w:val="24"/>
              </w:rPr>
            </w:pPr>
            <w:r>
              <w:rPr>
                <w:rFonts w:hint="eastAsia" w:ascii="方正仿宋_GBK" w:hAnsi="方正仿宋_GBK" w:eastAsia="方正黑体_GBK" w:cs="方正黑体_GBK"/>
                <w:sz w:val="24"/>
                <w:szCs w:val="24"/>
              </w:rPr>
              <w:t>建筑面积(平方米)</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河提2号公厕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荣滨北路17号对面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河提1号公厕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荣滨北路西段131对面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田坝街1号旁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学院路131对面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施济桥公厕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中科路施济桥下</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恒荣半岛公厕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恒荣路37号对面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小滩桥公厕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荣滨南路西段273号对面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荣滨南路西段131号对面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红旗桥水口寺公厕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滨河西路7号对面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69队公厕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昌州大道中段708号内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外西步行街公厕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学院支路7号对面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外南尾街公厕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南大街96号旁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昌州中段354号内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莲花小桥公厕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滨河中路77号旁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滨河中路移动公厕-1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滨河中路146号对面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滨河中路移动公厕-2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滨河中路147号对面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西门桥公厕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后西街3号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天正水口寺公厕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滨河中路269号附1号后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谭家坡公厕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谭家坡街25号旁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花园街公厕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花园街8号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佛堂街公厕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滨河中路183号后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朝阳幼儿园公厕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东大街8号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棠城国际公厕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玉屏二街54号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玉屏小学公厕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兴蕯生街35号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敖家巷公厕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人民路18号附36号对面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红旗桥广场公厕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滨河西路40号对面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向阳路22号旁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海棠广场16号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桂花园一街13号对面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荣滨东段84号对面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上河路公厕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广场北路5号附90号对面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何家坡公厕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富安北路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海棠公园公厕-4</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公园内荷花池旁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水果批发市场公厕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水果批发市场河边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3号安置点公厕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城南大道延伸段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小冲村公厕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工人村子弟校公厕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工人村南村公厕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峰广路工人村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火车站驾校旁公厕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火车站职工院公厕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火车站派出所公厕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学院路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昌州街道狗儿市场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滨河东路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桂花街90号公厕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桂花街90号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武城社区公厕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武城社区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防疫站移动公厕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昌元街道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宝城路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八景园公厕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国泰路8号对面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火车北站公厕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黄金大道东段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高铁站公厕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黄金大道东段</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新高速路口公厕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新高速收费站旁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荣峰河二号桥公厕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荣峰河永和桥旁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荣峰河三号桥公厕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富安北路185号旁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联升大桥公厕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荣滨南路东段57号对面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荣滨南路东段海棠桥下</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香国公园3号公厕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香国大道浩海美地对面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香国公园2号公厕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香国大道495号旁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香国公园1号公厕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香国大道香国城入口旁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河提3号公厕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荣滨北路中段84号斜对面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海棠公园公厕-3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公园路79号对面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儿童公园公厕-1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荣滨北路东段29号对面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儿童公园公厕-2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荣滨北路东段29号对面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人民广场公厕-1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兴荣大夏对面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人民广场公厕-2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向阳路159号对面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仁和小区公厕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仁和小区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杜家坝公厕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杜家坝社区旁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观景台公厕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香国公园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提坝旁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百竹园公园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北环一路公厕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北环一路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海棠大道游园公厕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海棠路27号对面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华盛春天游园公厕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昌龙大道170号附3号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人大生态园</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荣昌大道</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体育馆公厕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体育馆游泳池旁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西大街广场公厕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西大街广场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眼镜产业园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昌州风情步行街公厕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向阳路147号旁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园区公厕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园区四支路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石河小学围墙外</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昌州街道石河村原石河小学围墙外</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安陶博物馆2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老安富中学家属院公厕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老安富中学家属院（老镇中）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华江一村</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华江一村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陶宝古街公厕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陶宝古街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运输站公厕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运输站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上街子公厕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上街子（兴发居民点）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沙河农民新村公厕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沙河农民新村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老税务所家属院公厕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老税务所家属院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丝厂家属院公厕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丝厂家属院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步步高农贸市场公厕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步步高农贸市场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华江四村十二栋楼公厕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四村十二栋楼旁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华江三村七栋楼公厕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三村七栋楼旁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华江运输处公厕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华江运输处旁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华江六村七栋楼公厕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六村七栋楼旁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游客接待中心公厕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游客接待中心</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踏水桥公厕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踏水桥</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华江八村居委会公厕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安富街道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八村居委会旁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指导站公厕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千禧支路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桃峰公园公厕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桃峰公园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阳光公厕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峰高街道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文化中心</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永荣路公厕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永荣路29号附19号旁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东路社区公厕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广曾路4号1栋附近（东路社区居委会）</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洗选厂家属区公厕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成渝东路316号附8号侧面（洗选厂）</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电厂家属区公厕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荣电路216号家属区（电厂）</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李家坪路34号旁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万家路家属区公厕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万家路8.9.10.11.13号旁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李家坪路农贸市场旁</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火车站公厕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红光相馆公厕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红光相馆公厕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公园街农贸市场公厕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公园街农贸市场公厕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矿区农贸街菜市场公厕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矿区农贸街菜市场公厕</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广顺旅游休闲公园</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广顺街道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工农社区3社</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子庄广场公厕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沿河街151号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步行街公厕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沿河街261号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119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白玉市场公厕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白玉街91号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小学对面公厕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荣路南路20号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渝双客运公厕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荣路南路车站内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双河街道</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荣兴街65号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古昌镇汽车站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冲锋村公厕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古昌镇冲锋村办公室</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古昌镇停车场公厕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古昌镇停车场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协和佳苑背后公厕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古昌镇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协和佳苑背后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凤凰家园公厕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观胜镇凤凰家园小区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129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观胜镇凤凰街农贸市场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河边公厕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观胜镇同心街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畜牧站公厕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观胜镇同心街老畜牧站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政府新办公楼公厕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观胜镇政府</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政府老办公楼公厕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观胜镇政府</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加油站公厕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观胜新桥路知临石油加油站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游船码头公厕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新桥路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观胜镇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新桥路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河包镇汽车站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光明桥公厕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河包镇光明桥旁边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139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河包幼儿园公厕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河包镇中心幼儿园旁边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河包老街公厕-1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河包老街公厕-2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河包镇老农贸市场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龙集健身广场公厕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人和路15号健身广场旁边</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龙集惠民公厕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龙集镇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人和路120号背后</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大荣寨公厕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大荣寨</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移民文化公园2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149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狮子门公厕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狮子门</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万灵府邸3</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万灵府邸公厕-4</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万灵府邸4</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万灵府邸公厕-5</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万灵府邸5</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一类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天洋坪宰牛场公厕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盘龙路天洋坪转盘</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天洋坪广场公厕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盘龙路天洋坪广场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客家广场公厕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盘周路客家广场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兴龙街公厕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兴龙街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新发农贸市场公厕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盘龙镇新发农贸市场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合靖社区公厕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盘龙镇合靖社区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大建设区公厕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盘龙镇大建社区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水巷子公厕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卫生院对面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分水社区公厕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清江镇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分水社区内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清流镇清真寺公厕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清流镇清流社区广场路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二类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清流镇清流社区民族路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清流镇水保公园公厕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清流镇清流社区1社区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169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清流镇通灵花海移动公厕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清流镇马草村1社</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70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清升镇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仁义场镇农贸市场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仁义香草汇农耕博物馆</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仁义香草汇天主堂</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仁义香草汇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仁义卫生院</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仁义卫生院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正华农贸市场</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正华农贸市场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保安敬老院</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仁义镇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保安敬老院</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179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兴隆北路公厕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兴隆北路2号</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98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三圣农贸市场公厕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三生农贸市场内</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荣龙汽车站公厕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兴荣东路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湿地公园公厕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荣隆镇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湿地公园</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新农贸市场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老农贸市场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屠宰市场公厕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鸡鸭屠宰市场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万福广场公厕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万福广场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铜鼓山公厕-1</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铜鼓山景点1</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铜鼓山公厕-2</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铜鼓山景点2</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189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铜鼓山公厕-3</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铜鼓山景点3</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铜鼓镇车站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　</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40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综合农贸市场公厕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综合农贸市场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86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十字口公厕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万年街</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193</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经佛公园B区公厕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经佛公园革命烈士纪念碑</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55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194</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经山寺公厕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经山寺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195</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原十烈乡政府公厕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吴家镇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十烈场镇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196</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远觉镇车站公厕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远觉镇复兴路车站</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197</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远觉镇大厅公厕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远觉镇远平路</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198</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远觉镇农贸市场公厕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远觉镇复兴路农贸市场</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199</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远觉镇蔡家坪村公厕</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远觉镇蔡家坪村办公室</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60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200</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农贸市场厕所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201</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思源广场厕所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3" w:type="dxa"/>
            <w:bottom w:w="0" w:type="dxa"/>
            <w:right w:w="23" w:type="dxa"/>
          </w:tblCellMar>
        </w:tblPrEx>
        <w:trPr>
          <w:trHeight w:val="0" w:hRule="atLeast"/>
          <w:jc w:val="center"/>
        </w:trPr>
        <w:tc>
          <w:tcPr>
            <w:tcW w:w="4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202</w:t>
            </w:r>
          </w:p>
        </w:tc>
        <w:tc>
          <w:tcPr>
            <w:tcW w:w="25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车站厕所</w:t>
            </w:r>
          </w:p>
        </w:tc>
        <w:tc>
          <w:tcPr>
            <w:tcW w:w="10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直升镇</w:t>
            </w:r>
          </w:p>
        </w:tc>
        <w:tc>
          <w:tcPr>
            <w:tcW w:w="31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both"/>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直升场镇</w:t>
            </w:r>
          </w:p>
        </w:tc>
        <w:tc>
          <w:tcPr>
            <w:tcW w:w="6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三类</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320" w:lineRule="exact"/>
              <w:jc w:val="center"/>
              <w:textAlignment w:val="auto"/>
              <w:rPr>
                <w:rFonts w:hint="eastAsia" w:ascii="方正仿宋_GBK" w:hAnsi="方正仿宋_GBK" w:eastAsia="方正仿宋_GBK" w:cs="方正黑体_GBK"/>
                <w:sz w:val="24"/>
                <w:szCs w:val="24"/>
              </w:rPr>
            </w:pPr>
            <w:r>
              <w:rPr>
                <w:rFonts w:hint="eastAsia" w:ascii="方正仿宋_GBK" w:hAnsi="方正仿宋_GBK" w:eastAsia="方正仿宋_GBK" w:cs="方正黑体_GBK"/>
                <w:sz w:val="24"/>
                <w:szCs w:val="24"/>
              </w:rPr>
              <w:t>300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2" w:name="_Toc83196036"/>
      <w:bookmarkStart w:id="193" w:name="_Toc87717306"/>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附表1-13环卫停车场现状一览表</w:t>
      </w:r>
      <w:bookmarkEnd w:id="192"/>
      <w:bookmarkEnd w:id="193"/>
    </w:p>
    <w:tbl>
      <w:tblPr>
        <w:tblStyle w:val="9"/>
        <w:tblpPr w:leftFromText="181" w:rightFromText="181" w:vertAnchor="text" w:horzAnchor="page" w:tblpXSpec="center" w:tblpY="1"/>
        <w:tblOverlap w:val="never"/>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689"/>
        <w:gridCol w:w="2399"/>
        <w:gridCol w:w="1313"/>
        <w:gridCol w:w="2841"/>
        <w:gridCol w:w="145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79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239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停车场名称</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2841"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位置</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占地面积</w:t>
            </w:r>
          </w:p>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（平方米）</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北一环停车场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昌元街道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棠香北路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峰高街道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东湖东路加油站对面</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480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3</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双河街道</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白玉社区污水站旁</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800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4</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龙集广场</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5</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盘龙镇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三合村垃圾中转站</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6</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清流镇清流社广场路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7</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上井湾停车场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清升镇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清升镇上场口</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1200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8</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朝阳路停车场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荣隆镇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朝阳路</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300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9</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隆湖停车场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荣隆镇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隆湖步行街</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1000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10</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铜鼓停车场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铜鼓镇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垃圾中转站</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89"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11</w:t>
            </w:r>
          </w:p>
        </w:tc>
        <w:tc>
          <w:tcPr>
            <w:tcW w:w="2399"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思源广场停车场</w:t>
            </w:r>
          </w:p>
        </w:tc>
        <w:tc>
          <w:tcPr>
            <w:tcW w:w="1313"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直升镇</w:t>
            </w:r>
          </w:p>
        </w:tc>
        <w:tc>
          <w:tcPr>
            <w:tcW w:w="2841" w:type="dxa"/>
            <w:tcBorders>
              <w:tl2br w:val="nil"/>
              <w:tr2bl w:val="nil"/>
            </w:tcBorders>
            <w:noWrap w:val="0"/>
            <w:vAlign w:val="center"/>
          </w:tcPr>
          <w:p>
            <w:pPr>
              <w:widowControl/>
              <w:adjustRightInd w:val="0"/>
              <w:snapToGrid w:val="0"/>
              <w:spacing w:line="240" w:lineRule="auto"/>
              <w:ind w:firstLine="0" w:firstLineChars="0"/>
              <w:jc w:val="both"/>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思源广场</w:t>
            </w:r>
          </w:p>
        </w:tc>
        <w:tc>
          <w:tcPr>
            <w:tcW w:w="1456"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1200</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4" w:name="_Toc83196037"/>
      <w:bookmarkStart w:id="195" w:name="_Toc87717307"/>
      <w:r>
        <w:rPr>
          <w:rFonts w:hint="eastAsia" w:ascii="方正黑体_GBK" w:hAnsi="方正黑体_GBK" w:eastAsia="方正黑体_GBK" w:cs="方正黑体_GBK"/>
          <w:sz w:val="32"/>
          <w:szCs w:val="32"/>
        </w:rPr>
        <w:t>附表1-14 环卫工人休息场所现状一览表</w:t>
      </w:r>
      <w:bookmarkEnd w:id="194"/>
      <w:bookmarkEnd w:id="195"/>
    </w:p>
    <w:tbl>
      <w:tblPr>
        <w:tblStyle w:val="9"/>
        <w:tblW w:w="8890"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376"/>
        <w:gridCol w:w="1609"/>
        <w:gridCol w:w="1065"/>
        <w:gridCol w:w="2670"/>
        <w:gridCol w:w="855"/>
        <w:gridCol w:w="375"/>
        <w:gridCol w:w="510"/>
        <w:gridCol w:w="360"/>
        <w:gridCol w:w="495"/>
        <w:gridCol w:w="575"/>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95" w:hRule="atLeast"/>
          <w:tblHeader/>
        </w:trPr>
        <w:tc>
          <w:tcPr>
            <w:tcW w:w="376"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序号</w:t>
            </w:r>
          </w:p>
        </w:tc>
        <w:tc>
          <w:tcPr>
            <w:tcW w:w="1609" w:type="dxa"/>
            <w:vMerge w:val="restart"/>
            <w:tcBorders>
              <w:tl2br w:val="nil"/>
              <w:tr2bl w:val="nil"/>
            </w:tcBorders>
            <w:noWrap/>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休息场名称</w:t>
            </w:r>
          </w:p>
        </w:tc>
        <w:tc>
          <w:tcPr>
            <w:tcW w:w="1065"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所在镇街</w:t>
            </w:r>
          </w:p>
        </w:tc>
        <w:tc>
          <w:tcPr>
            <w:tcW w:w="2670"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位置</w:t>
            </w:r>
          </w:p>
        </w:tc>
        <w:tc>
          <w:tcPr>
            <w:tcW w:w="855" w:type="dxa"/>
            <w:vMerge w:val="restart"/>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建筑面积（平方米）</w:t>
            </w:r>
          </w:p>
        </w:tc>
        <w:tc>
          <w:tcPr>
            <w:tcW w:w="2315" w:type="dxa"/>
            <w:gridSpan w:val="5"/>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设施设置</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blHeader/>
        </w:trPr>
        <w:tc>
          <w:tcPr>
            <w:tcW w:w="376"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1609" w:type="dxa"/>
            <w:vMerge w:val="continue"/>
            <w:tcBorders>
              <w:tl2br w:val="nil"/>
              <w:tr2bl w:val="nil"/>
            </w:tcBorders>
            <w:noWrap w:val="0"/>
            <w:vAlign w:val="center"/>
          </w:tcPr>
          <w:p>
            <w:pPr>
              <w:widowControl/>
              <w:adjustRightInd w:val="0"/>
              <w:snapToGrid w:val="0"/>
              <w:spacing w:line="240" w:lineRule="auto"/>
              <w:ind w:firstLine="0" w:firstLineChars="0"/>
              <w:jc w:val="both"/>
              <w:rPr>
                <w:rFonts w:hint="eastAsia" w:ascii="方正黑体_GBK" w:hAnsi="方正黑体_GBK" w:eastAsia="方正黑体_GBK" w:cs="方正黑体_GBK"/>
                <w:b w:val="0"/>
                <w:bCs w:val="0"/>
                <w:sz w:val="24"/>
                <w:szCs w:val="24"/>
              </w:rPr>
            </w:pPr>
          </w:p>
        </w:tc>
        <w:tc>
          <w:tcPr>
            <w:tcW w:w="1065"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2670" w:type="dxa"/>
            <w:vMerge w:val="continue"/>
            <w:tcBorders>
              <w:tl2br w:val="nil"/>
              <w:tr2bl w:val="nil"/>
            </w:tcBorders>
            <w:noWrap w:val="0"/>
            <w:vAlign w:val="center"/>
          </w:tcPr>
          <w:p>
            <w:pPr>
              <w:widowControl/>
              <w:adjustRightInd w:val="0"/>
              <w:snapToGrid w:val="0"/>
              <w:spacing w:line="240" w:lineRule="auto"/>
              <w:ind w:firstLine="0" w:firstLineChars="0"/>
              <w:jc w:val="both"/>
              <w:rPr>
                <w:rFonts w:hint="eastAsia" w:ascii="方正黑体_GBK" w:hAnsi="方正黑体_GBK" w:eastAsia="方正黑体_GBK" w:cs="方正黑体_GBK"/>
                <w:b w:val="0"/>
                <w:bCs w:val="0"/>
                <w:sz w:val="24"/>
                <w:szCs w:val="24"/>
              </w:rPr>
            </w:pPr>
          </w:p>
        </w:tc>
        <w:tc>
          <w:tcPr>
            <w:tcW w:w="855" w:type="dxa"/>
            <w:vMerge w:val="continue"/>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桌椅</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饮用水</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水池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微波炉</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sz w:val="24"/>
                <w:szCs w:val="24"/>
              </w:rPr>
            </w:pPr>
            <w:r>
              <w:rPr>
                <w:rFonts w:hint="eastAsia" w:ascii="方正黑体_GBK" w:hAnsi="方正黑体_GBK" w:eastAsia="方正黑体_GBK" w:cs="方正黑体_GBK"/>
                <w:b w:val="0"/>
                <w:bCs w:val="0"/>
                <w:sz w:val="24"/>
                <w:szCs w:val="24"/>
              </w:rPr>
              <w:t>其他</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昌州大道（供电局营业厅）</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施济桥（原交巡警平台）</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工人村（加油站旁）</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4</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香国大道（荣吴路口）</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5</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恒荣路路口（香国大道）</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9</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海棠路（二水厂围墙处）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7</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广场路（体育场高杆灯）</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红旗桥头</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9</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后西街（小游园内）</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10</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南门桥（压缩点）</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西大街广场处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8.75</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学院路（步行街）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昌元街道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滨河路（原规划局对面）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14</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迎宾大道（二中校围墙）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19.44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15</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城南大道转盘控制箱处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19.44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灵方大道转盘（普瑞纳）控制箱处</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17</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灯饰大道转盘（启荣模具）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18</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灯饰大道转盘（普华饲料厂）</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19</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峰广路（川牧饲料厂）</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20</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园区四支路(力帆厂对面）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21</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城南大道（博耐特）</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22</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城南大道（新职中校围墙）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23</w:t>
            </w:r>
          </w:p>
        </w:tc>
        <w:tc>
          <w:tcPr>
            <w:tcW w:w="1609" w:type="dxa"/>
            <w:tcBorders>
              <w:tl2br w:val="nil"/>
              <w:tr2bl w:val="nil"/>
            </w:tcBorders>
            <w:noWrap/>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环卫爱心岗亭</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昌州街道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灵方大道出入口（渝正汽车）</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16</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空调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24</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中转站休息室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峰高街道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东湖东路加油站对面</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24</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4</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9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25</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顺河街指导站休息室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峰高街道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顺河街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86</w:t>
            </w:r>
          </w:p>
        </w:tc>
        <w:tc>
          <w:tcPr>
            <w:tcW w:w="3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12</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床</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26</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步行街公厕管理间</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双河街道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沿河街261号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27</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小学对面公厕管理间</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双河街道</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荣路南路20号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13</w:t>
            </w:r>
          </w:p>
        </w:tc>
        <w:tc>
          <w:tcPr>
            <w:tcW w:w="3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28</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河包镇市政中队办公室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河包镇万寿街</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8</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70"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29</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龙集镇垃圾压缩站休息室</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龙集镇垃圾压缩站</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10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43" w:hRule="atLeast"/>
        </w:trPr>
        <w:tc>
          <w:tcPr>
            <w:tcW w:w="37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30</w:t>
            </w:r>
          </w:p>
        </w:tc>
        <w:tc>
          <w:tcPr>
            <w:tcW w:w="1609"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盘龙镇环卫管理站</w:t>
            </w:r>
          </w:p>
        </w:tc>
        <w:tc>
          <w:tcPr>
            <w:tcW w:w="106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盘龙镇</w:t>
            </w:r>
          </w:p>
        </w:tc>
        <w:tc>
          <w:tcPr>
            <w:tcW w:w="2670" w:type="dxa"/>
            <w:tcBorders>
              <w:tl2br w:val="nil"/>
              <w:tr2bl w:val="nil"/>
            </w:tcBorders>
            <w:noWrap w:val="0"/>
            <w:vAlign w:val="center"/>
          </w:tcPr>
          <w:p>
            <w:pPr>
              <w:widowControl/>
              <w:adjustRightInd w:val="0"/>
              <w:snapToGrid w:val="0"/>
              <w:spacing w:line="240" w:lineRule="auto"/>
              <w:ind w:firstLine="0" w:firstLineChars="0"/>
              <w:jc w:val="both"/>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盘周路108号</w:t>
            </w:r>
          </w:p>
        </w:tc>
        <w:tc>
          <w:tcPr>
            <w:tcW w:w="855" w:type="dxa"/>
            <w:tcBorders>
              <w:tl2br w:val="nil"/>
              <w:tr2bl w:val="nil"/>
            </w:tcBorders>
            <w:noWrap/>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60</w:t>
            </w:r>
          </w:p>
        </w:tc>
        <w:tc>
          <w:tcPr>
            <w:tcW w:w="3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5</w:t>
            </w:r>
          </w:p>
        </w:tc>
        <w:tc>
          <w:tcPr>
            <w:tcW w:w="51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有</w:t>
            </w:r>
          </w:p>
        </w:tc>
        <w:tc>
          <w:tcPr>
            <w:tcW w:w="360"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49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无</w:t>
            </w:r>
          </w:p>
        </w:tc>
        <w:tc>
          <w:tcPr>
            <w:tcW w:w="575"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方正仿宋_GBK" w:cs="方正黑体_GBK"/>
                <w:b w:val="0"/>
                <w:bCs w:val="0"/>
                <w:sz w:val="24"/>
                <w:szCs w:val="24"/>
              </w:rPr>
            </w:pPr>
            <w:r>
              <w:rPr>
                <w:rFonts w:hint="eastAsia" w:ascii="宋体" w:hAnsi="宋体" w:eastAsia="方正仿宋_GBK" w:cs="方正黑体_GBK"/>
                <w:b w:val="0"/>
                <w:bCs w:val="0"/>
                <w:sz w:val="24"/>
                <w:szCs w:val="24"/>
              </w:rPr>
              <w:t>　</w:t>
            </w:r>
          </w:p>
        </w:tc>
      </w:tr>
    </w:tbl>
    <w:p>
      <w:pPr>
        <w:rPr>
          <w:rFonts w:hint="eastAsia" w:ascii="方正仿宋_GBK" w:hAnsi="方正仿宋_GBK" w:eastAsia="方正仿宋_GBK" w:cs="方正仿宋_GBK"/>
          <w:sz w:val="32"/>
          <w:szCs w:val="32"/>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6" w:name="_Toc87717308"/>
      <w:r>
        <w:rPr>
          <w:rFonts w:hint="eastAsia" w:ascii="方正黑体_GBK" w:hAnsi="方正黑体_GBK" w:eastAsia="方正黑体_GBK" w:cs="方正黑体_GBK"/>
          <w:sz w:val="32"/>
          <w:szCs w:val="32"/>
        </w:rPr>
        <w:t>附表4-1 “十四五”规划项目库</w:t>
      </w:r>
      <w:bookmarkEnd w:id="196"/>
    </w:p>
    <w:tbl>
      <w:tblPr>
        <w:tblStyle w:val="9"/>
        <w:tblW w:w="8776"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612"/>
        <w:gridCol w:w="753"/>
        <w:gridCol w:w="1591"/>
        <w:gridCol w:w="1064"/>
        <w:gridCol w:w="4756"/>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3" w:hRule="atLeast"/>
          <w:tblHeader/>
          <w:jc w:val="center"/>
        </w:trPr>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设施类别</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项目名称</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建设规模</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规划内容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分类体系化项目</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垃圾分类宣传试点建设</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有序开展垃圾分类宣传活动，积极推进生活垃圾分类试点小区、村(社区)建设</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z w:val="24"/>
                <w:szCs w:val="24"/>
              </w:rPr>
              <w:t>分类收集设施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增设分类垃圾桶3500组；投放垃圾箱2820个；配套智能分类设备51套；</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43"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分类转运设施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城西转运站</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320吨/日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规划新建，配建120吨/日厨余垃圾转运站</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88"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城东转运站</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300吨/日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213"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第一批生活垃圾转运站建设项目</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615吨/日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新建中转站11座：广顺、盘龙、河包、仁义、万灵、昌元、荣隆、吴家、清升各1座，双河2座；</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改扩建中转站3座：清流、双河、峰高各1座。</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项目建成投运后逐步关停原有中转站，有条件的实现功能转换。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178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第二批生活垃圾转运站建设项目</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324吨/日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提档升级中转站9座：远觉、荣升、姜家湾、观胜、古昌、龙集、铜鼓各1座，荣隆2座，实现分类转运功能；</w:t>
            </w:r>
            <w:r>
              <w:rPr>
                <w:rFonts w:hint="eastAsia" w:ascii="方正仿宋_GBK" w:hAnsi="方正仿宋_GBK" w:eastAsia="方正仿宋_GBK" w:cs="方正仿宋_GBK"/>
                <w:kern w:val="0"/>
                <w:sz w:val="24"/>
                <w:szCs w:val="24"/>
              </w:rPr>
              <w:br w:type="textWrapping"/>
            </w:r>
            <w:r>
              <w:rPr>
                <w:rFonts w:hint="eastAsia" w:ascii="方正仿宋_GBK" w:hAnsi="方正仿宋_GBK" w:eastAsia="方正仿宋_GBK" w:cs="方正仿宋_GBK"/>
                <w:kern w:val="0"/>
                <w:sz w:val="24"/>
                <w:szCs w:val="24"/>
              </w:rPr>
              <w:t>延期并提档升级中转站2座：安富、清江各1座，实现分类转运功能。</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438"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环卫车辆</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264辆</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保留60辆；更新146辆；新增58辆</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处理设施</w:t>
            </w: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生活垃圾处理设施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荣昌区填埋场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260吨/日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部分封场治理，占地面积18.26公顷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285"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荣昌区飞灰填埋场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1万立方米</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结合生活垃圾填埋场建设一处飞灰填埋场</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6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荣昌生活垃圾焚烧处理设施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600吨/日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规划新建，占地面积7公顷</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荣昌厨余垃圾处理设施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有序开展建设工作（建设计划以实际情况为准）预计餐厨垃圾处理规模100吨/日，家庭及其他厨余垃圾处理规模50吨/日。</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建筑垃圾处理设施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荣昌装修垃圾分选场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15万吨/年</w:t>
            </w:r>
          </w:p>
        </w:tc>
        <w:tc>
          <w:tcPr>
            <w:tcW w:w="47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规划新建，为节约用地及投资，综合考虑合并建设</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荣昌装修垃圾填埋场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40万立方米</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荣昌建筑垃圾综合处理厂</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36.5万吨/年</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大件垃圾处理设施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荣昌大件垃圾拆解中心</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1万吨/年</w:t>
            </w:r>
          </w:p>
        </w:tc>
        <w:tc>
          <w:tcPr>
            <w:tcW w:w="47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7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园林垃圾处理设施</w:t>
            </w:r>
          </w:p>
        </w:tc>
        <w:tc>
          <w:tcPr>
            <w:tcW w:w="15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荣昌园林垃圾堆肥场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15吨/日</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规划新建；生物处理再利用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15" w:hRule="atLeast"/>
          <w:jc w:val="center"/>
        </w:trPr>
        <w:tc>
          <w:tcPr>
            <w:tcW w:w="612"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其他设施</w:t>
            </w: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公共厕所</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252座</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现状保留160座；规划新增51座；改造升级41座</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入城洗车场</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6处</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标准配置</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57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智慧环卫系统</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方案包括：环卫设施管理、道路保洁管理、生活垃圾转运站及公厕管理、环卫应急指挥调度、智慧平台等</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300" w:hRule="atLeast"/>
          <w:jc w:val="center"/>
        </w:trPr>
        <w:tc>
          <w:tcPr>
            <w:tcW w:w="6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p>
        </w:tc>
        <w:tc>
          <w:tcPr>
            <w:tcW w:w="2344" w:type="dxa"/>
            <w:gridSpan w:val="2"/>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其他环卫设施</w:t>
            </w:r>
          </w:p>
        </w:tc>
        <w:tc>
          <w:tcPr>
            <w:tcW w:w="10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w:t>
            </w:r>
          </w:p>
        </w:tc>
        <w:tc>
          <w:tcPr>
            <w:tcW w:w="4756"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标准配建其他环卫设施</w:t>
            </w:r>
          </w:p>
        </w:tc>
      </w:tr>
    </w:tbl>
    <w:p>
      <w:pPr>
        <w:keepNext w:val="0"/>
        <w:keepLines w:val="0"/>
        <w:pageBreakBefore w:val="0"/>
        <w:widowControl w:val="0"/>
        <w:kinsoku/>
        <w:wordWrap/>
        <w:overflowPunct/>
        <w:topLinePunct w:val="0"/>
        <w:autoSpaceDE/>
        <w:autoSpaceDN/>
        <w:bidi w:val="0"/>
        <w:adjustRightInd/>
        <w:snapToGrid w:val="0"/>
        <w:ind w:firstLine="640" w:firstLineChars="200"/>
        <w:textAlignment w:val="auto"/>
        <w:rPr>
          <w:rFonts w:hint="eastAsia" w:ascii="方正仿宋_GBK" w:hAnsi="方正仿宋_GBK" w:eastAsia="方正仿宋_GBK" w:cs="方正仿宋_GBK"/>
          <w:lang w:val="zh-CN"/>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7" w:name="_Toc87717309"/>
      <w:r>
        <w:rPr>
          <w:rFonts w:hint="eastAsia" w:ascii="方正黑体_GBK" w:hAnsi="方正黑体_GBK" w:eastAsia="方正黑体_GBK" w:cs="方正黑体_GBK"/>
          <w:sz w:val="32"/>
          <w:szCs w:val="32"/>
        </w:rPr>
        <w:t>附表4-2 “十四五”生活垃圾转运设施规划一览表</w:t>
      </w:r>
      <w:bookmarkEnd w:id="197"/>
    </w:p>
    <w:tbl>
      <w:tblPr>
        <w:tblStyle w:val="9"/>
        <w:tblW w:w="8853" w:type="dxa"/>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408"/>
        <w:gridCol w:w="2813"/>
        <w:gridCol w:w="1102"/>
        <w:gridCol w:w="1279"/>
        <w:gridCol w:w="3251"/>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480" w:hRule="atLeast"/>
          <w:tblHeader/>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序号</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设施名称</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所在镇街</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建设规模（吨/日）</w:t>
            </w:r>
          </w:p>
        </w:tc>
        <w:tc>
          <w:tcPr>
            <w:tcW w:w="3251"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规划内容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826"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城西转运站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320</w:t>
            </w:r>
          </w:p>
        </w:tc>
        <w:tc>
          <w:tcPr>
            <w:tcW w:w="32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规划新建（第一批），配建120吨/日厨余垃圾转运站</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城东转运站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规划新建（第一批）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双河垃圾中转站1</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双河垃圾中转站2</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07"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74"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7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3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提档升级（第一批），实现分类转运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峰高垃圾中转站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峰高街道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98"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洗布谭村垃圾中转站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安富街道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延期并提档升级（第二批），实现分类转运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320"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提档升级（第二批），实现分类转运</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荣升社区垃圾中转站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姜家湾新村垃圾中转站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23</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荣隆场镇垃圾中转站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480"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荣隆镇葛桥社区垃圾中转站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上河城中转站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结合镇街实际情况逐步关停（第二批），有条件的鼓励实现功能转换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红旗桥中转站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怡和花园中转站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南门桥中转站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熬家巷中转站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棠城国际中转站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仁和中转站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80</w:t>
            </w:r>
          </w:p>
        </w:tc>
        <w:tc>
          <w:tcPr>
            <w:tcW w:w="325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结合镇街实际情况逐步关停（第二批），有条件的鼓励实现功能转换</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北一环中转站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北二环中转站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香国公园中转站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昌州街道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新峰1组中转站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昌元街道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高瓷中转站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广顺街道</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农村生活垃圾中转站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场镇生活垃圾中转站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3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17</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18</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场镇垃圾中转站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19</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正华垃圾中转站</w:t>
            </w:r>
          </w:p>
        </w:tc>
        <w:tc>
          <w:tcPr>
            <w:tcW w:w="1102"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79"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trPr>
        <w:tc>
          <w:tcPr>
            <w:tcW w:w="4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w:t>
            </w:r>
          </w:p>
        </w:tc>
        <w:tc>
          <w:tcPr>
            <w:tcW w:w="28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河包垃圾中转站</w:t>
            </w:r>
          </w:p>
        </w:tc>
        <w:tc>
          <w:tcPr>
            <w:tcW w:w="110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7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w:t>
            </w:r>
          </w:p>
        </w:tc>
        <w:tc>
          <w:tcPr>
            <w:tcW w:w="325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r>
    </w:tbl>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8" w:name="_Toc87717310"/>
      <w:r>
        <w:rPr>
          <w:rFonts w:hint="eastAsia" w:ascii="方正黑体_GBK" w:hAnsi="方正黑体_GBK" w:eastAsia="方正黑体_GBK" w:cs="方正黑体_GBK"/>
          <w:sz w:val="32"/>
          <w:szCs w:val="32"/>
        </w:rPr>
        <w:t>附表4-3“十四五”公共厕所规划一览表</w:t>
      </w:r>
      <w:bookmarkEnd w:id="198"/>
    </w:p>
    <w:tbl>
      <w:tblPr>
        <w:tblStyle w:val="9"/>
        <w:tblpPr w:leftFromText="11" w:vertAnchor="text" w:horzAnchor="page" w:tblpXSpec="center" w:tblpY="1"/>
        <w:tblOverlap w:val="never"/>
        <w:tblW w:w="8698"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754"/>
        <w:gridCol w:w="1734"/>
        <w:gridCol w:w="1242"/>
        <w:gridCol w:w="1242"/>
        <w:gridCol w:w="1242"/>
        <w:gridCol w:w="1242"/>
        <w:gridCol w:w="124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65" w:hRule="atLeast"/>
          <w:jc w:val="center"/>
        </w:trPr>
        <w:tc>
          <w:tcPr>
            <w:tcW w:w="2488" w:type="dxa"/>
            <w:gridSpan w:val="2"/>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区域</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规划保留</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计划拆除</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改造升级</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规划新增</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小计</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2488" w:type="dxa"/>
            <w:gridSpan w:val="2"/>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城区</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141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restart"/>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镇街</w:t>
            </w: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双河街道</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清升镇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清流镇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直升镇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铜鼓镇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清江镇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吴家镇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远觉镇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龙集镇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古昌镇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盘龙镇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观胜镇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仁义镇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荣隆镇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万灵镇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河包镇</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0</w:t>
            </w:r>
          </w:p>
        </w:tc>
        <w:tc>
          <w:tcPr>
            <w:tcW w:w="1242" w:type="dxa"/>
            <w:tcBorders>
              <w:tl2br w:val="nil"/>
              <w:tr2bl w:val="nil"/>
            </w:tcBorders>
            <w:noWrap w:val="0"/>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285" w:hRule="atLeast"/>
          <w:jc w:val="center"/>
        </w:trPr>
        <w:tc>
          <w:tcPr>
            <w:tcW w:w="754" w:type="dxa"/>
            <w:vMerge w:val="continue"/>
            <w:tcBorders>
              <w:tl2br w:val="nil"/>
              <w:tr2bl w:val="nil"/>
            </w:tcBorders>
            <w:noWrap w:val="0"/>
            <w:vAlign w:val="center"/>
          </w:tcPr>
          <w:p>
            <w:pPr>
              <w:widowControl/>
              <w:adjustRightInd w:val="0"/>
              <w:snapToGrid w:val="0"/>
              <w:spacing w:line="240" w:lineRule="auto"/>
              <w:ind w:firstLine="0" w:firstLineChars="0"/>
              <w:jc w:val="left"/>
              <w:rPr>
                <w:rFonts w:hint="eastAsia" w:ascii="方正仿宋_GBK" w:hAnsi="方正仿宋_GBK" w:eastAsia="方正仿宋_GBK" w:cs="方正仿宋_GBK"/>
                <w:b w:val="0"/>
                <w:bCs w:val="0"/>
                <w:kern w:val="0"/>
                <w:sz w:val="24"/>
                <w:szCs w:val="24"/>
              </w:rPr>
            </w:pPr>
          </w:p>
        </w:tc>
        <w:tc>
          <w:tcPr>
            <w:tcW w:w="1734"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小计</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69</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26</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111</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PrEx>
        <w:trPr>
          <w:trHeight w:val="300" w:hRule="atLeast"/>
          <w:jc w:val="center"/>
        </w:trPr>
        <w:tc>
          <w:tcPr>
            <w:tcW w:w="2488" w:type="dxa"/>
            <w:gridSpan w:val="2"/>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合计</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160</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51</w:t>
            </w:r>
          </w:p>
        </w:tc>
        <w:tc>
          <w:tcPr>
            <w:tcW w:w="1242" w:type="dxa"/>
            <w:tcBorders>
              <w:tl2br w:val="nil"/>
              <w:tr2bl w:val="nil"/>
            </w:tcBorders>
            <w:noWrap/>
            <w:vAlign w:val="center"/>
          </w:tcPr>
          <w:p>
            <w:pPr>
              <w:widowControl/>
              <w:adjustRightInd w:val="0"/>
              <w:snapToGrid w:val="0"/>
              <w:spacing w:line="240" w:lineRule="auto"/>
              <w:ind w:firstLine="0" w:firstLineChars="0"/>
              <w:jc w:val="center"/>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252</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bookmarkStart w:id="199" w:name="_Toc87717311"/>
      <w:bookmarkStart w:id="200" w:name="_Toc79139119"/>
      <w:bookmarkStart w:id="201" w:name="_Toc83196041"/>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附表5-1 “十四五”环卫事业发展投资估算表</w:t>
      </w:r>
      <w:bookmarkEnd w:id="199"/>
      <w:bookmarkEnd w:id="200"/>
      <w:bookmarkEnd w:id="201"/>
    </w:p>
    <w:tbl>
      <w:tblPr>
        <w:tblStyle w:val="9"/>
        <w:tblW w:w="8689" w:type="dxa"/>
        <w:tblInd w:w="113"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28" w:type="dxa"/>
          <w:bottom w:w="0" w:type="dxa"/>
          <w:right w:w="28" w:type="dxa"/>
        </w:tblCellMar>
      </w:tblPr>
      <w:tblGrid>
        <w:gridCol w:w="944"/>
        <w:gridCol w:w="1200"/>
        <w:gridCol w:w="105"/>
        <w:gridCol w:w="2482"/>
        <w:gridCol w:w="1075"/>
        <w:gridCol w:w="2883"/>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blHeader/>
        </w:trPr>
        <w:tc>
          <w:tcPr>
            <w:tcW w:w="9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设施</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类别</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项目名称</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建设投资（万元）</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建设投资（万元）</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分类体系化项目</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垃圾分类宣传试点建设</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分类收集设施</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1770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分类转运设施</w:t>
            </w: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城西转运站</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9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城东转运站</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1100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第一批生活垃圾转运站建设项目</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2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587"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第二批生活垃圾转运站建设项目</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分类体系化项目</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环卫车辆</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企业自筹+涉农资金+乡村振兴专项资金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其他费用</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430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处理</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设施</w:t>
            </w:r>
          </w:p>
        </w:tc>
        <w:tc>
          <w:tcPr>
            <w:tcW w:w="130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生活垃圾处理设施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荣昌区填埋场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荣昌区飞灰填埋场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300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荣昌生活垃圾焚烧处理设施</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41700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BOT模式：企业自筹+兴荣公司</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荣昌厨余垃圾处理设施</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建筑垃圾处理设施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荣昌装修垃圾分选场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荣昌装修垃圾填埋场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荣昌建筑垃圾综合处理厂</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BOT模式：企业自筹+专项资金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大件垃圾处理设施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荣昌大件垃圾拆解中心</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130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园林垃圾处理设施</w:t>
            </w:r>
          </w:p>
        </w:tc>
        <w:tc>
          <w:tcPr>
            <w:tcW w:w="248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荣昌园林垃圾堆肥场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500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设施</w:t>
            </w: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公共厕所</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2860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入城洗车场</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1080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智慧环卫系统</w:t>
            </w:r>
          </w:p>
        </w:tc>
        <w:tc>
          <w:tcPr>
            <w:tcW w:w="10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1200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企业自筹550万元+环卫专项资金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9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eastAsia" w:ascii="方正仿宋_GBK" w:hAnsi="方正仿宋_GBK" w:eastAsia="方正仿宋_GBK" w:cs="方正仿宋_GBK"/>
                <w:b w:val="0"/>
                <w:bCs w:val="0"/>
                <w:kern w:val="0"/>
                <w:sz w:val="24"/>
                <w:szCs w:val="24"/>
              </w:rPr>
            </w:pPr>
          </w:p>
        </w:tc>
        <w:tc>
          <w:tcPr>
            <w:tcW w:w="3787" w:type="dxa"/>
            <w:gridSpan w:val="3"/>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其他环卫设施</w:t>
            </w:r>
          </w:p>
        </w:tc>
        <w:tc>
          <w:tcPr>
            <w:tcW w:w="107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1000</w:t>
            </w:r>
          </w:p>
        </w:tc>
        <w:tc>
          <w:tcPr>
            <w:tcW w:w="288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环卫专项资金</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28" w:type="dxa"/>
            <w:bottom w:w="0" w:type="dxa"/>
            <w:right w:w="28" w:type="dxa"/>
          </w:tblCellMar>
        </w:tblPrEx>
        <w:trPr>
          <w:trHeight w:val="0" w:hRule="atLeast"/>
        </w:trPr>
        <w:tc>
          <w:tcPr>
            <w:tcW w:w="47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合计</w:t>
            </w:r>
          </w:p>
        </w:tc>
        <w:tc>
          <w:tcPr>
            <w:tcW w:w="3958" w:type="dxa"/>
            <w:gridSpan w:val="2"/>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方正仿宋_GBK" w:hAnsi="方正仿宋_GBK" w:eastAsia="方正仿宋_GBK" w:cs="方正仿宋_GBK"/>
                <w:b w:val="0"/>
                <w:bCs w:val="0"/>
                <w:kern w:val="0"/>
                <w:sz w:val="24"/>
                <w:szCs w:val="24"/>
              </w:rPr>
            </w:pPr>
            <w:r>
              <w:rPr>
                <w:rFonts w:hint="eastAsia" w:ascii="方正仿宋_GBK" w:hAnsi="方正仿宋_GBK" w:eastAsia="方正仿宋_GBK" w:cs="方正仿宋_GBK"/>
                <w:b w:val="0"/>
                <w:bCs w:val="0"/>
                <w:kern w:val="0"/>
                <w:sz w:val="24"/>
                <w:szCs w:val="24"/>
              </w:rPr>
              <w:t>71140</w:t>
            </w:r>
          </w:p>
        </w:tc>
      </w:tr>
    </w:tbl>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黑体_GBK" w:hAnsi="方正黑体_GBK" w:eastAsia="方正黑体_GBK" w:cs="方正黑体_GBK"/>
        </w:rPr>
      </w:pPr>
      <w:bookmarkStart w:id="202" w:name="_Toc75165531"/>
      <w:bookmarkStart w:id="203" w:name="_Toc87717312"/>
      <w:bookmarkStart w:id="204" w:name="_Toc75165347"/>
      <w:r>
        <w:rPr>
          <w:rFonts w:hint="eastAsia" w:ascii="方正黑体_GBK" w:hAnsi="方正黑体_GBK" w:eastAsia="方正黑体_GBK" w:cs="方正黑体_GBK"/>
        </w:rPr>
        <w:t>附图</w:t>
      </w:r>
      <w:bookmarkEnd w:id="202"/>
      <w:bookmarkEnd w:id="203"/>
      <w:bookmarkEnd w:id="204"/>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黑体_GBK" w:hAnsi="方正黑体_GBK" w:eastAsia="方正黑体_GBK" w:cs="方正黑体_GBK"/>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05" w:name="_Toc79139122"/>
      <w:bookmarkStart w:id="206" w:name="_Toc75165532"/>
      <w:bookmarkStart w:id="207" w:name="_Toc75773301"/>
      <w:bookmarkStart w:id="208" w:name="_Toc75165348"/>
      <w:bookmarkStart w:id="209" w:name="_Toc87717313"/>
      <w:bookmarkStart w:id="210" w:name="_Toc75169107"/>
      <w:bookmarkStart w:id="211" w:name="_Toc83196043"/>
      <w:r>
        <w:rPr>
          <w:rFonts w:hint="eastAsia" w:ascii="方正仿宋_GBK" w:hAnsi="方正仿宋_GBK" w:eastAsia="方正仿宋_GBK" w:cs="方正仿宋_GBK"/>
        </w:rPr>
        <w:t>附图一：区位分析图</w:t>
      </w:r>
      <w:bookmarkEnd w:id="205"/>
      <w:bookmarkEnd w:id="206"/>
      <w:bookmarkEnd w:id="207"/>
      <w:bookmarkEnd w:id="208"/>
      <w:bookmarkEnd w:id="209"/>
      <w:bookmarkEnd w:id="210"/>
      <w:bookmarkEnd w:id="21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12" w:name="_Toc75165533"/>
      <w:bookmarkStart w:id="213" w:name="_Toc75169108"/>
      <w:bookmarkStart w:id="214" w:name="_Toc87717314"/>
      <w:bookmarkStart w:id="215" w:name="_Toc75165349"/>
      <w:bookmarkStart w:id="216" w:name="_Toc83196044"/>
      <w:bookmarkStart w:id="217" w:name="_Toc75773302"/>
      <w:bookmarkStart w:id="218" w:name="_Toc79139123"/>
      <w:r>
        <w:rPr>
          <w:rFonts w:hint="eastAsia" w:ascii="方正仿宋_GBK" w:hAnsi="方正仿宋_GBK" w:eastAsia="方正仿宋_GBK" w:cs="方正仿宋_GBK"/>
        </w:rPr>
        <w:t>附图二：环卫设施现状分布图</w:t>
      </w:r>
      <w:bookmarkEnd w:id="212"/>
      <w:bookmarkEnd w:id="213"/>
      <w:bookmarkEnd w:id="214"/>
      <w:bookmarkEnd w:id="215"/>
      <w:bookmarkEnd w:id="216"/>
      <w:bookmarkEnd w:id="217"/>
      <w:bookmarkEnd w:id="2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19" w:name="_Toc75169109"/>
      <w:bookmarkStart w:id="220" w:name="_Toc75773303"/>
      <w:bookmarkStart w:id="221" w:name="_Toc75165534"/>
      <w:bookmarkStart w:id="222" w:name="_Toc79139124"/>
      <w:bookmarkStart w:id="223" w:name="_Toc75165350"/>
      <w:bookmarkStart w:id="224" w:name="_Toc87717315"/>
      <w:bookmarkStart w:id="225" w:name="_Toc83196045"/>
      <w:r>
        <w:rPr>
          <w:rFonts w:hint="eastAsia" w:ascii="方正仿宋_GBK" w:hAnsi="方正仿宋_GBK" w:eastAsia="方正仿宋_GBK" w:cs="方正仿宋_GBK"/>
        </w:rPr>
        <w:t>附图三：生活垃圾转运设施规划示意图</w:t>
      </w:r>
      <w:bookmarkEnd w:id="219"/>
      <w:bookmarkEnd w:id="220"/>
      <w:bookmarkEnd w:id="221"/>
      <w:bookmarkEnd w:id="222"/>
      <w:bookmarkEnd w:id="223"/>
      <w:bookmarkEnd w:id="224"/>
      <w:bookmarkEnd w:id="225"/>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26" w:name="_Toc87717316"/>
      <w:bookmarkStart w:id="227" w:name="_Toc75165351"/>
      <w:bookmarkStart w:id="228" w:name="_Toc75165535"/>
      <w:bookmarkStart w:id="229" w:name="_Toc83196046"/>
      <w:bookmarkStart w:id="230" w:name="_Toc75169110"/>
      <w:bookmarkStart w:id="231" w:name="_Toc75773304"/>
      <w:bookmarkStart w:id="232" w:name="_Toc79139125"/>
      <w:r>
        <w:rPr>
          <w:rFonts w:hint="eastAsia" w:ascii="方正仿宋_GBK" w:hAnsi="方正仿宋_GBK" w:eastAsia="方正仿宋_GBK" w:cs="方正仿宋_GBK"/>
        </w:rPr>
        <w:t>附图四：环卫处理设施规划示意图</w:t>
      </w:r>
      <w:bookmarkEnd w:id="226"/>
      <w:bookmarkEnd w:id="227"/>
      <w:bookmarkEnd w:id="228"/>
      <w:bookmarkEnd w:id="229"/>
      <w:bookmarkEnd w:id="230"/>
      <w:bookmarkEnd w:id="231"/>
      <w:bookmarkEnd w:id="232"/>
      <w:bookmarkStart w:id="233" w:name="_Toc7913912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34" w:name="_Toc83196047"/>
      <w:bookmarkStart w:id="235" w:name="_Toc87717317"/>
      <w:r>
        <w:rPr>
          <w:rFonts w:hint="eastAsia" w:ascii="方正仿宋_GBK" w:hAnsi="方正仿宋_GBK" w:eastAsia="方正仿宋_GBK" w:cs="方正仿宋_GBK"/>
        </w:rPr>
        <w:t>附图五：环卫车辆排污点规划示意图</w:t>
      </w:r>
      <w:bookmarkEnd w:id="233"/>
      <w:bookmarkEnd w:id="234"/>
      <w:bookmarkEnd w:id="235"/>
      <w:bookmarkStart w:id="236" w:name="_Toc7913912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rPr>
      </w:pPr>
      <w:bookmarkStart w:id="237" w:name="_Toc83196048"/>
      <w:bookmarkStart w:id="238" w:name="_Toc87717318"/>
      <w:r>
        <w:rPr>
          <w:rFonts w:hint="eastAsia" w:ascii="方正仿宋_GBK" w:hAnsi="方正仿宋_GBK" w:eastAsia="方正仿宋_GBK" w:cs="方正仿宋_GBK"/>
        </w:rPr>
        <w:t>附图六：入城洗车场规划示意图</w:t>
      </w:r>
      <w:bookmarkEnd w:id="236"/>
      <w:bookmarkEnd w:id="237"/>
      <w:bookmarkEnd w:id="238"/>
    </w:p>
    <w:p>
      <w:pPr>
        <w:spacing w:line="560" w:lineRule="exact"/>
        <w:jc w:val="left"/>
        <w:rPr>
          <w:rFonts w:hint="eastAsia" w:ascii="方正黑体_GBK" w:hAnsi="方正黑体_GBK" w:eastAsia="方正黑体_GBK" w:cs="方正黑体_GBK"/>
          <w:b w:val="0"/>
          <w:bCs w:val="0"/>
          <w:sz w:val="44"/>
          <w:szCs w:val="44"/>
        </w:rPr>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pPr>
    </w:p>
    <w:p>
      <w:pPr>
        <w:pStyle w:val="4"/>
        <w:bidi w:val="0"/>
        <w:jc w:val="both"/>
        <w:rPr>
          <w:rFonts w:hint="eastAsia"/>
        </w:rPr>
      </w:pPr>
      <w:bookmarkStart w:id="239" w:name="_Toc1783277432"/>
      <w:r>
        <w:rPr>
          <w:rFonts w:hint="eastAsia"/>
        </w:rPr>
        <w:t>附图一</w:t>
      </w:r>
      <w:r>
        <w:rPr>
          <w:rFonts w:hint="eastAsia"/>
          <w:lang w:val="en-US" w:eastAsia="zh-CN"/>
        </w:rPr>
        <w:t xml:space="preserve">                </w:t>
      </w:r>
      <w:r>
        <w:rPr>
          <w:rFonts w:hint="eastAsia" w:ascii="方正小标宋_GBK" w:hAnsi="方正小标宋_GBK" w:eastAsia="方正小标宋_GBK" w:cs="方正小标宋_GBK"/>
          <w:sz w:val="36"/>
          <w:szCs w:val="36"/>
        </w:rPr>
        <w:t>区位分析图</w:t>
      </w:r>
      <w:bookmarkEnd w:id="239"/>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黑体_GBK" w:hAnsi="方正黑体_GBK" w:eastAsia="方正黑体_GBK" w:cs="方正黑体_GBK"/>
          <w:b w:val="0"/>
          <w:bCs w:val="0"/>
          <w:sz w:val="44"/>
          <w:szCs w:val="44"/>
        </w:rPr>
      </w:pPr>
      <w:r>
        <w:rPr>
          <w:rFonts w:hint="eastAsia" w:eastAsia="宋体"/>
          <w:lang w:eastAsia="zh-CN"/>
        </w:rPr>
        <w:drawing>
          <wp:inline distT="0" distB="0" distL="114300" distR="114300">
            <wp:extent cx="5091430" cy="7207250"/>
            <wp:effectExtent l="0" t="0" r="13970" b="12700"/>
            <wp:docPr id="5" name="图片 1" descr="01-区位分析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01-区位分析图"/>
                    <pic:cNvPicPr>
                      <a:picLocks noChangeAspect="true"/>
                    </pic:cNvPicPr>
                  </pic:nvPicPr>
                  <pic:blipFill>
                    <a:blip r:embed="rId10"/>
                    <a:stretch>
                      <a:fillRect/>
                    </a:stretch>
                  </pic:blipFill>
                  <pic:spPr>
                    <a:xfrm>
                      <a:off x="0" y="0"/>
                      <a:ext cx="5091430" cy="7207250"/>
                    </a:xfrm>
                    <a:prstGeom prst="rect">
                      <a:avLst/>
                    </a:prstGeom>
                    <a:noFill/>
                    <a:ln>
                      <a:noFill/>
                    </a:ln>
                  </pic:spPr>
                </pic:pic>
              </a:graphicData>
            </a:graphic>
          </wp:inline>
        </w:drawing>
      </w:r>
    </w:p>
    <w:p>
      <w:pPr>
        <w:pStyle w:val="4"/>
        <w:bidi w:val="0"/>
        <w:jc w:val="both"/>
        <w:rPr>
          <w:rFonts w:hint="eastAsia"/>
        </w:rPr>
      </w:pPr>
      <w:bookmarkStart w:id="240" w:name="_Toc1356120587"/>
      <w:r>
        <w:rPr>
          <w:rFonts w:hint="eastAsia"/>
        </w:rPr>
        <w:t>附图二</w:t>
      </w:r>
      <w:r>
        <w:rPr>
          <w:rFonts w:hint="eastAsia"/>
          <w:lang w:val="en-US" w:eastAsia="zh-CN"/>
        </w:rPr>
        <w:t xml:space="preserve">           </w:t>
      </w:r>
      <w:r>
        <w:rPr>
          <w:rFonts w:hint="eastAsia" w:ascii="方正小标宋_GBK" w:hAnsi="方正小标宋_GBK" w:eastAsia="方正小标宋_GBK" w:cs="方正小标宋_GBK"/>
          <w:sz w:val="36"/>
          <w:szCs w:val="36"/>
        </w:rPr>
        <w:t>环卫设施现状分布图</w:t>
      </w:r>
      <w:bookmarkEnd w:id="240"/>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inline distT="0" distB="0" distL="114300" distR="114300">
            <wp:extent cx="5147310" cy="7286625"/>
            <wp:effectExtent l="0" t="0" r="15240" b="9525"/>
            <wp:docPr id="2" name="图片 2" descr="02-环卫设施现状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02-环卫设施现状分布图"/>
                    <pic:cNvPicPr>
                      <a:picLocks noChangeAspect="true"/>
                    </pic:cNvPicPr>
                  </pic:nvPicPr>
                  <pic:blipFill>
                    <a:blip r:embed="rId11"/>
                    <a:stretch>
                      <a:fillRect/>
                    </a:stretch>
                  </pic:blipFill>
                  <pic:spPr>
                    <a:xfrm>
                      <a:off x="0" y="0"/>
                      <a:ext cx="5147310" cy="7286625"/>
                    </a:xfrm>
                    <a:prstGeom prst="rect">
                      <a:avLst/>
                    </a:prstGeom>
                    <a:noFill/>
                    <a:ln>
                      <a:noFill/>
                    </a:ln>
                  </pic:spPr>
                </pic:pic>
              </a:graphicData>
            </a:graphic>
          </wp:inline>
        </w:drawing>
      </w:r>
    </w:p>
    <w:p>
      <w:pPr>
        <w:pStyle w:val="4"/>
        <w:bidi w:val="0"/>
        <w:jc w:val="both"/>
        <w:rPr>
          <w:rFonts w:hint="eastAsia"/>
        </w:rPr>
      </w:pPr>
      <w:bookmarkStart w:id="241" w:name="_Toc906250530"/>
      <w:r>
        <w:rPr>
          <w:rFonts w:hint="eastAsia"/>
        </w:rPr>
        <w:t>附图三</w:t>
      </w:r>
      <w:r>
        <w:rPr>
          <w:rFonts w:hint="eastAsia"/>
          <w:lang w:val="en-US" w:eastAsia="zh-CN"/>
        </w:rPr>
        <w:t xml:space="preserve">      </w:t>
      </w:r>
      <w:r>
        <w:rPr>
          <w:rFonts w:hint="eastAsia" w:ascii="方正小标宋_GBK" w:hAnsi="方正小标宋_GBK" w:eastAsia="方正小标宋_GBK" w:cs="方正小标宋_GBK"/>
          <w:lang w:val="en-US" w:eastAsia="zh-CN"/>
        </w:rPr>
        <w:t xml:space="preserve"> </w:t>
      </w:r>
      <w:r>
        <w:rPr>
          <w:rFonts w:hint="eastAsia" w:ascii="方正小标宋_GBK" w:hAnsi="方正小标宋_GBK" w:eastAsia="方正小标宋_GBK" w:cs="方正小标宋_GBK"/>
        </w:rPr>
        <w:t>生活垃圾转运设施规划示意图</w:t>
      </w:r>
      <w:bookmarkEnd w:id="241"/>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inline distT="0" distB="0" distL="114300" distR="114300">
            <wp:extent cx="5180965" cy="7333615"/>
            <wp:effectExtent l="0" t="0" r="635" b="635"/>
            <wp:docPr id="3" name="图片 3" descr="03-生活垃圾转运设施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3-生活垃圾转运设施规划示意图"/>
                    <pic:cNvPicPr>
                      <a:picLocks noChangeAspect="true"/>
                    </pic:cNvPicPr>
                  </pic:nvPicPr>
                  <pic:blipFill>
                    <a:blip r:embed="rId12"/>
                    <a:stretch>
                      <a:fillRect/>
                    </a:stretch>
                  </pic:blipFill>
                  <pic:spPr>
                    <a:xfrm>
                      <a:off x="0" y="0"/>
                      <a:ext cx="5180965" cy="7333615"/>
                    </a:xfrm>
                    <a:prstGeom prst="rect">
                      <a:avLst/>
                    </a:prstGeom>
                    <a:noFill/>
                    <a:ln>
                      <a:noFill/>
                    </a:ln>
                  </pic:spPr>
                </pic:pic>
              </a:graphicData>
            </a:graphic>
          </wp:inline>
        </w:drawing>
      </w:r>
    </w:p>
    <w:p>
      <w:pPr>
        <w:pStyle w:val="4"/>
        <w:keepNext/>
        <w:keepLines/>
        <w:pageBreakBefore w:val="0"/>
        <w:widowControl w:val="0"/>
        <w:kinsoku/>
        <w:wordWrap/>
        <w:overflowPunct/>
        <w:topLinePunct w:val="0"/>
        <w:autoSpaceDE/>
        <w:autoSpaceDN/>
        <w:bidi w:val="0"/>
        <w:adjustRightInd/>
        <w:snapToGrid w:val="0"/>
        <w:spacing w:after="0" w:afterLines="0"/>
        <w:jc w:val="both"/>
        <w:textAlignment w:val="auto"/>
        <w:rPr>
          <w:rFonts w:hint="eastAsia" w:ascii="方正黑体_GBK" w:hAnsi="方正黑体_GBK" w:eastAsia="方正黑体_GBK" w:cs="方正黑体_GBK"/>
          <w:b w:val="0"/>
          <w:bCs w:val="0"/>
          <w:sz w:val="44"/>
          <w:szCs w:val="44"/>
        </w:rPr>
      </w:pPr>
      <w:bookmarkStart w:id="242" w:name="_Toc1558410021"/>
      <w:r>
        <w:rPr>
          <w:rFonts w:hint="eastAsia"/>
        </w:rPr>
        <w:t>附图四</w:t>
      </w:r>
      <w:r>
        <w:rPr>
          <w:rFonts w:hint="eastAsia"/>
          <w:lang w:val="en-US" w:eastAsia="zh-CN"/>
        </w:rPr>
        <w:t xml:space="preserve">          </w:t>
      </w:r>
      <w:r>
        <w:rPr>
          <w:rFonts w:hint="eastAsia" w:ascii="方正小标宋_GBK" w:hAnsi="方正小标宋_GBK" w:eastAsia="方正小标宋_GBK" w:cs="方正小标宋_GBK"/>
        </w:rPr>
        <w:t>环卫处理设施规划示意图</w:t>
      </w:r>
      <w:bookmarkEnd w:id="242"/>
    </w:p>
    <w:p>
      <w:pPr>
        <w:spacing w:line="560" w:lineRule="exact"/>
        <w:jc w:val="both"/>
        <w:rPr>
          <w:rFonts w:hint="eastAsia" w:ascii="方正黑体_GBK" w:hAnsi="方正黑体_GBK" w:eastAsia="方正黑体_GBK" w:cs="方正黑体_GBK"/>
          <w:b w:val="0"/>
          <w:bCs w:val="0"/>
          <w:sz w:val="44"/>
          <w:szCs w:val="44"/>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59264" behindDoc="0" locked="0" layoutInCell="1" allowOverlap="1">
            <wp:simplePos x="0" y="0"/>
            <wp:positionH relativeFrom="column">
              <wp:posOffset>372745</wp:posOffset>
            </wp:positionH>
            <wp:positionV relativeFrom="paragraph">
              <wp:posOffset>174625</wp:posOffset>
            </wp:positionV>
            <wp:extent cx="4888865" cy="3487420"/>
            <wp:effectExtent l="0" t="0" r="6985" b="17780"/>
            <wp:wrapSquare wrapText="bothSides"/>
            <wp:docPr id="4" name="图片 3" descr="04-环卫处理设施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descr="04-环卫处理设施规划示意图"/>
                    <pic:cNvPicPr>
                      <a:picLocks noChangeAspect="true"/>
                    </pic:cNvPicPr>
                  </pic:nvPicPr>
                  <pic:blipFill>
                    <a:blip r:embed="rId13"/>
                    <a:stretch>
                      <a:fillRect/>
                    </a:stretch>
                  </pic:blipFill>
                  <pic:spPr>
                    <a:xfrm>
                      <a:off x="0" y="0"/>
                      <a:ext cx="4888865" cy="3487420"/>
                    </a:xfrm>
                    <a:prstGeom prst="rect">
                      <a:avLst/>
                    </a:prstGeom>
                    <a:noFill/>
                    <a:ln>
                      <a:noFill/>
                    </a:ln>
                  </pic:spPr>
                </pic:pic>
              </a:graphicData>
            </a:graphic>
          </wp:anchor>
        </w:drawing>
      </w: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spacing w:line="560" w:lineRule="exact"/>
        <w:jc w:val="both"/>
        <w:rPr>
          <w:rFonts w:hint="eastAsia" w:ascii="方正黑体_GBK" w:hAnsi="方正黑体_GBK" w:eastAsia="方正黑体_GBK" w:cs="方正黑体_GBK"/>
          <w:b w:val="0"/>
          <w:bCs w:val="0"/>
          <w:sz w:val="44"/>
          <w:szCs w:val="44"/>
        </w:rPr>
      </w:pP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方正黑体_GBK" w:hAnsi="方正黑体_GBK" w:eastAsia="方正黑体_GBK" w:cs="方正黑体_GBK"/>
          <w:b w:val="0"/>
          <w:bCs w:val="0"/>
          <w:sz w:val="24"/>
          <w:szCs w:val="24"/>
          <w:lang w:eastAsia="zh-CN"/>
        </w:rPr>
      </w:pPr>
    </w:p>
    <w:p>
      <w:pPr>
        <w:pStyle w:val="4"/>
        <w:keepNext/>
        <w:keepLines/>
        <w:pageBreakBefore w:val="0"/>
        <w:widowControl w:val="0"/>
        <w:kinsoku/>
        <w:wordWrap/>
        <w:overflowPunct/>
        <w:topLinePunct w:val="0"/>
        <w:autoSpaceDE/>
        <w:autoSpaceDN/>
        <w:bidi w:val="0"/>
        <w:adjustRightInd/>
        <w:snapToGrid w:val="0"/>
        <w:spacing w:before="0" w:beforeLines="0" w:after="0" w:afterLines="0"/>
        <w:jc w:val="both"/>
        <w:textAlignment w:val="auto"/>
        <w:rPr>
          <w:rFonts w:hint="eastAsia"/>
        </w:rPr>
      </w:pPr>
      <w:bookmarkStart w:id="243" w:name="_Toc1835069225"/>
      <w:r>
        <w:rPr>
          <w:rFonts w:hint="eastAsia"/>
        </w:rPr>
        <w:t>附图五</w:t>
      </w:r>
      <w:r>
        <w:rPr>
          <w:rFonts w:hint="eastAsia"/>
          <w:lang w:val="en-US" w:eastAsia="zh-CN"/>
        </w:rPr>
        <w:t xml:space="preserve">       </w:t>
      </w:r>
      <w:r>
        <w:rPr>
          <w:rFonts w:hint="eastAsia" w:ascii="方正小标宋_GBK" w:hAnsi="方正小标宋_GBK" w:eastAsia="方正小标宋_GBK" w:cs="方正小标宋_GBK"/>
          <w:lang w:val="en-US" w:eastAsia="zh-CN"/>
        </w:rPr>
        <w:t xml:space="preserve">  </w:t>
      </w:r>
      <w:r>
        <w:rPr>
          <w:rFonts w:hint="eastAsia" w:ascii="方正小标宋_GBK" w:hAnsi="方正小标宋_GBK" w:eastAsia="方正小标宋_GBK" w:cs="方正小标宋_GBK"/>
        </w:rPr>
        <w:t>环卫车辆排污点规划示意图</w:t>
      </w:r>
      <w:bookmarkEnd w:id="243"/>
    </w:p>
    <w:p>
      <w:pPr>
        <w:spacing w:line="560" w:lineRule="exact"/>
        <w:jc w:val="left"/>
        <w:rPr>
          <w:rFonts w:hint="eastAsia" w:ascii="方正黑体_GBK" w:hAnsi="方正黑体_GBK" w:eastAsia="方正黑体_GBK" w:cs="方正黑体_GBK"/>
          <w:b w:val="0"/>
          <w:bCs w:val="0"/>
          <w:sz w:val="44"/>
          <w:szCs w:val="44"/>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60288" behindDoc="0" locked="0" layoutInCell="1" allowOverlap="1">
            <wp:simplePos x="0" y="0"/>
            <wp:positionH relativeFrom="column">
              <wp:posOffset>336550</wp:posOffset>
            </wp:positionH>
            <wp:positionV relativeFrom="paragraph">
              <wp:posOffset>86995</wp:posOffset>
            </wp:positionV>
            <wp:extent cx="4933315" cy="3519170"/>
            <wp:effectExtent l="0" t="0" r="635" b="5080"/>
            <wp:wrapSquare wrapText="bothSides"/>
            <wp:docPr id="1" name="图片 4" descr="05-环卫车辆排污点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4" descr="05-环卫车辆排污点规划示意图"/>
                    <pic:cNvPicPr>
                      <a:picLocks noChangeAspect="true"/>
                    </pic:cNvPicPr>
                  </pic:nvPicPr>
                  <pic:blipFill>
                    <a:blip r:embed="rId14"/>
                    <a:stretch>
                      <a:fillRect/>
                    </a:stretch>
                  </pic:blipFill>
                  <pic:spPr>
                    <a:xfrm>
                      <a:off x="0" y="0"/>
                      <a:ext cx="4933315" cy="3519170"/>
                    </a:xfrm>
                    <a:prstGeom prst="rect">
                      <a:avLst/>
                    </a:prstGeom>
                    <a:noFill/>
                    <a:ln>
                      <a:noFill/>
                    </a:ln>
                  </pic:spPr>
                </pic:pic>
              </a:graphicData>
            </a:graphic>
          </wp:anchor>
        </w:drawing>
      </w: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center"/>
        <w:rPr>
          <w:rFonts w:hint="eastAsia" w:ascii="方正仿宋_GBK" w:hAnsi="方正仿宋_GBK" w:eastAsia="方正仿宋_GBK" w:cs="方正仿宋_GBK"/>
        </w:rPr>
      </w:pPr>
    </w:p>
    <w:p>
      <w:pPr>
        <w:pStyle w:val="4"/>
        <w:bidi w:val="0"/>
        <w:jc w:val="both"/>
        <w:rPr>
          <w:rFonts w:hint="eastAsia" w:ascii="方正小标宋_GBK" w:hAnsi="方正小标宋_GBK" w:eastAsia="方正小标宋_GBK" w:cs="方正小标宋_GBK"/>
        </w:rPr>
      </w:pPr>
      <w:bookmarkStart w:id="244" w:name="_Toc1967933348"/>
      <w:r>
        <w:rPr>
          <w:rFonts w:hint="eastAsia"/>
        </w:rPr>
        <w:t>附图六</w:t>
      </w:r>
      <w:r>
        <w:rPr>
          <w:rFonts w:hint="eastAsia"/>
          <w:lang w:val="en-US" w:eastAsia="zh-CN"/>
        </w:rPr>
        <w:t xml:space="preserve">          </w:t>
      </w:r>
      <w:r>
        <w:rPr>
          <w:rFonts w:hint="eastAsia" w:ascii="方正小标宋_GBK" w:hAnsi="方正小标宋_GBK" w:eastAsia="方正小标宋_GBK" w:cs="方正小标宋_GBK"/>
        </w:rPr>
        <w:t>入城洗车场规划示意图</w:t>
      </w:r>
      <w:bookmarkEnd w:id="244"/>
    </w:p>
    <w:p>
      <w:pPr>
        <w:spacing w:line="560" w:lineRule="exact"/>
        <w:jc w:val="left"/>
        <w:rPr>
          <w:rFonts w:hint="eastAsia" w:ascii="方正黑体_GBK" w:hAnsi="方正黑体_GBK" w:eastAsia="方正黑体_GBK" w:cs="方正黑体_GBK"/>
          <w:b w:val="0"/>
          <w:bCs w:val="0"/>
          <w:sz w:val="44"/>
          <w:szCs w:val="44"/>
          <w:lang w:eastAsia="zh-CN"/>
        </w:rPr>
      </w:pPr>
      <w:r>
        <w:rPr>
          <w:rFonts w:hint="eastAsia" w:ascii="方正黑体_GBK" w:hAnsi="方正黑体_GBK" w:eastAsia="方正黑体_GBK" w:cs="方正黑体_GBK"/>
          <w:b w:val="0"/>
          <w:bCs w:val="0"/>
          <w:sz w:val="44"/>
          <w:szCs w:val="44"/>
          <w:lang w:eastAsia="zh-CN"/>
        </w:rPr>
        <w:drawing>
          <wp:anchor distT="0" distB="0" distL="114300" distR="114300" simplePos="0" relativeHeight="251661312" behindDoc="0" locked="0" layoutInCell="1" allowOverlap="1">
            <wp:simplePos x="0" y="0"/>
            <wp:positionH relativeFrom="column">
              <wp:posOffset>12065</wp:posOffset>
            </wp:positionH>
            <wp:positionV relativeFrom="paragraph">
              <wp:posOffset>26035</wp:posOffset>
            </wp:positionV>
            <wp:extent cx="5606415" cy="3998595"/>
            <wp:effectExtent l="0" t="0" r="13335" b="1905"/>
            <wp:wrapSquare wrapText="bothSides"/>
            <wp:docPr id="7" name="图片 5" descr="06-入城洗车场规划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5" descr="06-入城洗车场规划示意图"/>
                    <pic:cNvPicPr>
                      <a:picLocks noChangeAspect="true"/>
                    </pic:cNvPicPr>
                  </pic:nvPicPr>
                  <pic:blipFill>
                    <a:blip r:embed="rId15"/>
                    <a:stretch>
                      <a:fillRect/>
                    </a:stretch>
                  </pic:blipFill>
                  <pic:spPr>
                    <a:xfrm>
                      <a:off x="0" y="0"/>
                      <a:ext cx="5606415" cy="3998595"/>
                    </a:xfrm>
                    <a:prstGeom prst="rect">
                      <a:avLst/>
                    </a:prstGeom>
                    <a:noFill/>
                    <a:ln>
                      <a:noFill/>
                    </a:ln>
                  </pic:spPr>
                </pic:pic>
              </a:graphicData>
            </a:graphic>
          </wp:anchor>
        </w:drawing>
      </w: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left"/>
        <w:rPr>
          <w:rFonts w:hint="eastAsia" w:ascii="方正黑体_GBK" w:hAnsi="方正黑体_GBK" w:eastAsia="方正黑体_GBK" w:cs="方正黑体_GBK"/>
          <w:b w:val="0"/>
          <w:bCs w:val="0"/>
          <w:sz w:val="44"/>
          <w:szCs w:val="44"/>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黑体_GBK" w:hAnsi="方正黑体_GBK" w:eastAsia="方正黑体_GBK" w:cs="方正黑体_GBK"/>
          <w:b w:val="0"/>
          <w:bCs w:val="0"/>
          <w:sz w:val="21"/>
          <w:szCs w:val="21"/>
        </w:rPr>
      </w:pPr>
    </w:p>
    <w:p>
      <w:pPr>
        <w:spacing w:line="560" w:lineRule="exact"/>
        <w:jc w:val="left"/>
        <w:rPr>
          <w:rFonts w:hint="eastAsia" w:ascii="方正黑体_GBK" w:hAnsi="方正黑体_GBK" w:eastAsia="方正黑体_GBK" w:cs="方正黑体_GBK"/>
          <w:b w:val="0"/>
          <w:bCs w:val="0"/>
          <w:sz w:val="44"/>
          <w:szCs w:val="44"/>
        </w:rPr>
      </w:pPr>
    </w:p>
    <w:p>
      <w:pPr>
        <w:spacing w:line="560" w:lineRule="exact"/>
        <w:jc w:val="right"/>
        <w:rPr>
          <w:rFonts w:hint="eastAsia" w:ascii="宋体" w:hAnsi="宋体" w:eastAsia="方正小标宋_GBK"/>
          <w:szCs w:val="32"/>
        </w:rPr>
      </w:pPr>
    </w:p>
    <w:p>
      <w:pPr>
        <w:pBdr>
          <w:top w:val="single" w:color="auto" w:sz="8" w:space="1"/>
        </w:pBdr>
        <w:adjustRightInd w:val="0"/>
        <w:ind w:left="140" w:hanging="140" w:hangingChars="50"/>
        <w:rPr>
          <w:rFonts w:hint="eastAsia" w:ascii="宋体" w:hAnsi="宋体" w:eastAsia="方正仿宋_GBK"/>
          <w:sz w:val="28"/>
          <w:szCs w:val="28"/>
        </w:rPr>
      </w:pPr>
      <w:r>
        <w:rPr>
          <w:rFonts w:hint="eastAsia" w:ascii="宋体" w:hAnsi="宋体" w:eastAsia="方正仿宋_GBK"/>
          <w:sz w:val="28"/>
          <w:szCs w:val="28"/>
        </w:rPr>
        <w:t>　抄送：区纪委监委机关，区法院，区检察院，区人武部，区委办公室，</w:t>
      </w:r>
    </w:p>
    <w:p>
      <w:pPr>
        <w:adjustRightInd w:val="0"/>
        <w:ind w:left="141" w:leftChars="44" w:firstLine="980" w:firstLineChars="350"/>
        <w:rPr>
          <w:rFonts w:hint="eastAsia" w:ascii="宋体" w:hAnsi="宋体" w:eastAsia="方正仿宋_GBK"/>
          <w:sz w:val="28"/>
          <w:szCs w:val="28"/>
        </w:rPr>
      </w:pPr>
      <w:r>
        <w:rPr>
          <w:rFonts w:hint="eastAsia" w:ascii="宋体" w:hAnsi="宋体" w:eastAsia="方正仿宋_GBK"/>
          <w:sz w:val="28"/>
          <w:szCs w:val="28"/>
        </w:rPr>
        <w:t>区人大办公室，区政协办公室。</w:t>
      </w:r>
    </w:p>
    <w:p>
      <w:pPr>
        <w:pBdr>
          <w:top w:val="single" w:color="auto" w:sz="6" w:space="1"/>
          <w:bottom w:val="single" w:color="auto" w:sz="8" w:space="1"/>
        </w:pBdr>
        <w:tabs>
          <w:tab w:val="right" w:pos="8844"/>
        </w:tabs>
        <w:adjustRightInd w:val="0"/>
        <w:ind w:firstLine="280" w:firstLineChars="100"/>
        <w:rPr>
          <w:rFonts w:hint="eastAsia" w:ascii="宋体" w:hAnsi="宋体"/>
        </w:rPr>
      </w:pPr>
      <w:r>
        <w:rPr>
          <w:rFonts w:hint="eastAsia" w:ascii="宋体" w:hAnsi="宋体" w:eastAsia="方正仿宋_GBK"/>
          <w:sz w:val="28"/>
          <w:szCs w:val="28"/>
        </w:rPr>
        <w:t>重庆市荣昌区人民政府办公室　　　　 　　</w:t>
      </w:r>
      <w:r>
        <w:rPr>
          <w:rFonts w:hint="eastAsia" w:ascii="宋体" w:hAnsi="宋体" w:eastAsia="方正仿宋_GBK"/>
          <w:sz w:val="28"/>
          <w:szCs w:val="28"/>
          <w:lang w:val="en-US" w:eastAsia="zh-CN"/>
        </w:rPr>
        <w:t>2021</w:t>
      </w:r>
      <w:r>
        <w:rPr>
          <w:rFonts w:hint="eastAsia" w:ascii="宋体" w:hAnsi="宋体" w:eastAsia="方正仿宋_GBK"/>
          <w:sz w:val="28"/>
          <w:szCs w:val="28"/>
        </w:rPr>
        <w:t>年</w:t>
      </w:r>
      <w:r>
        <w:rPr>
          <w:rFonts w:hint="eastAsia" w:ascii="宋体" w:hAnsi="宋体" w:eastAsia="方正仿宋_GBK"/>
          <w:sz w:val="28"/>
          <w:szCs w:val="28"/>
          <w:lang w:val="en-US" w:eastAsia="zh-CN"/>
        </w:rPr>
        <w:t>12</w:t>
      </w:r>
      <w:r>
        <w:rPr>
          <w:rFonts w:hint="eastAsia" w:ascii="宋体" w:hAnsi="宋体" w:eastAsia="方正仿宋_GBK"/>
          <w:sz w:val="28"/>
          <w:szCs w:val="28"/>
        </w:rPr>
        <w:t>月</w:t>
      </w:r>
      <w:r>
        <w:rPr>
          <w:rFonts w:hint="eastAsia" w:ascii="宋体" w:hAnsi="宋体" w:eastAsia="方正仿宋_GBK"/>
          <w:sz w:val="28"/>
          <w:szCs w:val="28"/>
          <w:lang w:val="en-US" w:eastAsia="zh-CN"/>
        </w:rPr>
        <w:t>31</w:t>
      </w:r>
      <w:r>
        <w:rPr>
          <w:rFonts w:hint="eastAsia" w:ascii="宋体" w:hAnsi="宋体" w:eastAsia="方正仿宋_GBK"/>
          <w:sz w:val="28"/>
          <w:szCs w:val="28"/>
        </w:rPr>
        <w:t>日印发</w:t>
      </w:r>
      <w:r>
        <w:rPr>
          <w:rFonts w:ascii="宋体" w:hAnsi="宋体" w:eastAsia="方正仿宋_GBK"/>
          <w:sz w:val="28"/>
          <w:szCs w:val="28"/>
        </w:rPr>
        <w:tab/>
      </w:r>
      <w:bookmarkStart w:id="245" w:name="_GoBack"/>
      <w:bookmarkEnd w:id="245"/>
    </w:p>
    <w:sectPr>
      <w:pgSz w:w="11906" w:h="16838"/>
      <w:pgMar w:top="2098" w:right="1531" w:bottom="1984" w:left="1531" w:header="851" w:footer="1474" w:gutter="0"/>
      <w:pgBorders>
        <w:top w:val="none" w:sz="0" w:space="0"/>
        <w:left w:val="none" w:sz="0" w:space="0"/>
        <w:bottom w:val="none" w:sz="0" w:space="0"/>
        <w:right w:val="none" w:sz="0" w:space="0"/>
      </w:pgBorders>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方正仿宋简体">
    <w:altName w:val="宋体"/>
    <w:panose1 w:val="02010601030101010101"/>
    <w:charset w:val="00"/>
    <w:family w:val="auto"/>
    <w:pitch w:val="default"/>
    <w:sig w:usb0="00000000" w:usb1="00000000" w:usb2="00000010" w:usb3="00000000" w:csb0="00040000" w:csb1="00000000"/>
  </w:font>
  <w:font w:name="方正小标宋_GBK">
    <w:panose1 w:val="02000000000000000000"/>
    <w:charset w:val="86"/>
    <w:family w:val="script"/>
    <w:pitch w:val="default"/>
    <w:sig w:usb0="00000001" w:usb1="08000000" w:usb2="00000000" w:usb3="00000000" w:csb0="00040000" w:csb1="00000000"/>
  </w:font>
  <w:font w:name="Cambria">
    <w:altName w:val="汉仪仿宋S"/>
    <w:panose1 w:val="00000000000000000000"/>
    <w:charset w:val="00"/>
    <w:family w:val="auto"/>
    <w:pitch w:val="default"/>
    <w:sig w:usb0="00000000" w:usb1="00000000" w:usb2="00000000" w:usb3="00000000" w:csb0="00040001" w:csb1="00000000"/>
  </w:font>
  <w:font w:name="方正黑体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汉仪书宋二S">
    <w:panose1 w:val="00020600040101010101"/>
    <w:charset w:val="86"/>
    <w:family w:val="auto"/>
    <w:pitch w:val="default"/>
    <w:sig w:usb0="A00002BF" w:usb1="18EF7CFA" w:usb2="00000016" w:usb3="00000000" w:csb0="00040000" w:csb1="00000000"/>
  </w:font>
  <w:font w:name="汉仪仿宋S">
    <w:panose1 w:val="00020600040101000101"/>
    <w:charset w:val="86"/>
    <w:family w:val="auto"/>
    <w:pitch w:val="default"/>
    <w:sig w:usb0="A00002BF" w:usb1="38CF7CFA" w:usb2="00000016"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right="320" w:rightChars="100"/>
      <w:rPr>
        <w:rStyle w:val="12"/>
        <w:rFonts w:hint="eastAsia" w:ascii="宋体" w:hAnsi="宋体" w:eastAsia="宋体"/>
        <w:sz w:val="28"/>
        <w:szCs w:val="28"/>
      </w:rPr>
    </w:pPr>
    <w:r>
      <w:rPr>
        <w:rStyle w:val="12"/>
        <w:rFonts w:hint="eastAsia" w:ascii="宋体" w:hAnsi="宋体" w:eastAsia="宋体"/>
        <w:sz w:val="28"/>
        <w:szCs w:val="28"/>
      </w:rPr>
      <w:t xml:space="preserve">— </w:t>
    </w:r>
    <w:r>
      <w:rPr>
        <w:rStyle w:val="12"/>
        <w:rFonts w:ascii="宋体" w:hAnsi="宋体" w:eastAsia="宋体"/>
        <w:sz w:val="28"/>
        <w:szCs w:val="28"/>
      </w:rPr>
      <w:fldChar w:fldCharType="begin"/>
    </w:r>
    <w:r>
      <w:rPr>
        <w:rStyle w:val="12"/>
        <w:rFonts w:ascii="宋体" w:hAnsi="宋体" w:eastAsia="宋体"/>
        <w:sz w:val="28"/>
        <w:szCs w:val="28"/>
      </w:rPr>
      <w:instrText xml:space="preserve">PAGE  </w:instrText>
    </w:r>
    <w:r>
      <w:rPr>
        <w:rStyle w:val="12"/>
        <w:rFonts w:ascii="宋体" w:hAnsi="宋体" w:eastAsia="宋体"/>
        <w:sz w:val="28"/>
        <w:szCs w:val="28"/>
      </w:rPr>
      <w:fldChar w:fldCharType="separate"/>
    </w:r>
    <w:r>
      <w:rPr>
        <w:rStyle w:val="12"/>
        <w:rFonts w:ascii="宋体" w:hAnsi="宋体" w:eastAsia="宋体"/>
        <w:sz w:val="28"/>
        <w:szCs w:val="28"/>
      </w:rPr>
      <w:t>1</w:t>
    </w:r>
    <w:r>
      <w:rPr>
        <w:rStyle w:val="12"/>
        <w:rFonts w:ascii="宋体" w:hAnsi="宋体" w:eastAsia="宋体"/>
        <w:sz w:val="28"/>
        <w:szCs w:val="28"/>
      </w:rPr>
      <w:fldChar w:fldCharType="end"/>
    </w:r>
    <w:r>
      <w:rPr>
        <w:rStyle w:val="12"/>
        <w:rFonts w:hint="eastAsia" w:ascii="宋体" w:hAnsi="宋体" w:eastAsia="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320" w:leftChars="100" w:right="320" w:rightChars="100"/>
      <w:rPr>
        <w:rStyle w:val="12"/>
        <w:rFonts w:hint="eastAsia" w:ascii="宋体" w:hAnsi="宋体" w:eastAsia="宋体"/>
        <w:sz w:val="28"/>
        <w:szCs w:val="28"/>
      </w:rPr>
    </w:pPr>
    <w:r>
      <w:rPr>
        <w:rStyle w:val="12"/>
        <w:rFonts w:hint="eastAsia" w:ascii="宋体" w:hAnsi="宋体" w:eastAsia="宋体"/>
        <w:sz w:val="28"/>
        <w:szCs w:val="28"/>
      </w:rPr>
      <w:t xml:space="preserve">— </w:t>
    </w:r>
    <w:r>
      <w:rPr>
        <w:rStyle w:val="12"/>
        <w:rFonts w:ascii="宋体" w:hAnsi="宋体" w:eastAsia="宋体"/>
        <w:sz w:val="28"/>
        <w:szCs w:val="28"/>
      </w:rPr>
      <w:fldChar w:fldCharType="begin"/>
    </w:r>
    <w:r>
      <w:rPr>
        <w:rStyle w:val="12"/>
        <w:rFonts w:ascii="宋体" w:hAnsi="宋体" w:eastAsia="宋体"/>
        <w:sz w:val="28"/>
        <w:szCs w:val="28"/>
      </w:rPr>
      <w:instrText xml:space="preserve">PAGE  </w:instrText>
    </w:r>
    <w:r>
      <w:rPr>
        <w:rStyle w:val="12"/>
        <w:rFonts w:ascii="宋体" w:hAnsi="宋体" w:eastAsia="宋体"/>
        <w:sz w:val="28"/>
        <w:szCs w:val="28"/>
      </w:rPr>
      <w:fldChar w:fldCharType="separate"/>
    </w:r>
    <w:r>
      <w:rPr>
        <w:rStyle w:val="12"/>
        <w:rFonts w:ascii="宋体" w:hAnsi="宋体" w:eastAsia="宋体"/>
        <w:sz w:val="28"/>
        <w:szCs w:val="28"/>
      </w:rPr>
      <w:t>2</w:t>
    </w:r>
    <w:r>
      <w:rPr>
        <w:rStyle w:val="12"/>
        <w:rFonts w:ascii="宋体" w:hAnsi="宋体" w:eastAsia="宋体"/>
        <w:sz w:val="28"/>
        <w:szCs w:val="28"/>
      </w:rPr>
      <w:fldChar w:fldCharType="end"/>
    </w:r>
    <w:r>
      <w:rPr>
        <w:rStyle w:val="12"/>
        <w:rFonts w:hint="eastAsia" w:ascii="宋体" w:hAnsi="宋体" w:eastAsia="宋体"/>
        <w:sz w:val="28"/>
        <w:szCs w:val="28"/>
      </w:rPr>
      <w:t xml:space="preserve"> —</w:t>
    </w:r>
  </w:p>
  <w:p>
    <w:pPr>
      <w:pStyle w:val="5"/>
      <w:framePr w:wrap="around" w:vAnchor="text" w:hAnchor="margin" w:xAlign="outside" w:y="1"/>
      <w:ind w:left="320" w:leftChars="100" w:right="360" w:firstLine="360"/>
      <w:rPr>
        <w:rStyle w:val="12"/>
        <w:rFonts w:hint="eastAsia" w:ascii="宋体" w:hAnsi="宋体"/>
        <w:sz w:val="28"/>
        <w:szCs w:val="28"/>
      </w:rPr>
    </w:pPr>
  </w:p>
  <w:p>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9E844D"/>
    <w:multiLevelType w:val="singleLevel"/>
    <w:tmpl w:val="D79E844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947CF"/>
    <w:rsid w:val="4A1947CF"/>
    <w:rsid w:val="F9FBF9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Times New Roman"/>
      <w:kern w:val="2"/>
      <w:sz w:val="32"/>
      <w:szCs w:val="24"/>
      <w:lang w:val="en-US" w:eastAsia="zh-CN" w:bidi="ar-SA"/>
    </w:rPr>
  </w:style>
  <w:style w:type="paragraph" w:styleId="2">
    <w:name w:val="heading 1"/>
    <w:basedOn w:val="3"/>
    <w:next w:val="1"/>
    <w:qFormat/>
    <w:uiPriority w:val="0"/>
    <w:pPr>
      <w:keepNext/>
      <w:keepLines/>
      <w:snapToGrid w:val="0"/>
      <w:spacing w:line="240" w:lineRule="auto"/>
      <w:ind w:firstLine="0" w:firstLineChars="0"/>
      <w:jc w:val="center"/>
      <w:outlineLvl w:val="0"/>
    </w:pPr>
    <w:rPr>
      <w:rFonts w:ascii="Times New Roman" w:hAnsi="Times New Roman" w:eastAsia="方正小标宋_GBK"/>
      <w:bCs/>
      <w:kern w:val="44"/>
      <w:sz w:val="44"/>
      <w:szCs w:val="44"/>
    </w:rPr>
  </w:style>
  <w:style w:type="paragraph" w:styleId="4">
    <w:name w:val="heading 2"/>
    <w:basedOn w:val="2"/>
    <w:next w:val="1"/>
    <w:unhideWhenUsed/>
    <w:qFormat/>
    <w:uiPriority w:val="0"/>
    <w:pPr>
      <w:keepNext/>
      <w:keepLines/>
      <w:spacing w:before="50" w:after="50" w:afterLines="50" w:line="240" w:lineRule="auto"/>
      <w:ind w:firstLine="0" w:firstLineChars="0"/>
      <w:jc w:val="center"/>
      <w:outlineLvl w:val="1"/>
    </w:pPr>
    <w:rPr>
      <w:rFonts w:ascii="Cambria" w:hAnsi="Cambria" w:eastAsia="方正黑体_GBK"/>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itle"/>
    <w:basedOn w:val="1"/>
    <w:next w:val="1"/>
    <w:qFormat/>
    <w:uiPriority w:val="10"/>
    <w:pPr>
      <w:spacing w:beforeLines="50" w:line="312" w:lineRule="auto"/>
      <w:ind w:firstLine="0" w:firstLineChars="0"/>
      <w:jc w:val="center"/>
    </w:pPr>
    <w:rPr>
      <w:rFonts w:ascii="黑体" w:hAnsi="黑体" w:eastAsia="黑体" w:cs="Times New Roman"/>
      <w:sz w:val="40"/>
      <w:szCs w:val="30"/>
      <w:lang w:val="zh-CN"/>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3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paragraph" w:customStyle="1" w:styleId="13">
    <w:name w:val="正文0"/>
    <w:basedOn w:val="1"/>
    <w:qFormat/>
    <w:uiPriority w:val="0"/>
    <w:pPr>
      <w:snapToGrid w:val="0"/>
    </w:pPr>
  </w:style>
  <w:style w:type="paragraph" w:customStyle="1" w:styleId="14">
    <w:name w:val="Char Char Char 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2018-07-11T15:11:00Z</dcterms:created>
  <dc:creator>d</dc:creator>
  <cp:lastModifiedBy>guest</cp:lastModifiedBy>
  <dcterms:modified xsi:type="dcterms:W3CDTF">2024-08-07T11:27:31Z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