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eastAsia="方正黑体_GBK"/>
        </w:rPr>
      </w:pPr>
    </w:p>
    <w:p>
      <w:pPr>
        <w:rPr>
          <w:rFonts w:hint="eastAsia" w:ascii="方正黑体_GBK" w:eastAsia="方正黑体_GBK"/>
        </w:rPr>
      </w:pPr>
    </w:p>
    <w:p>
      <w:pPr>
        <w:rPr>
          <w:rFonts w:hint="eastAsia"/>
        </w:rPr>
      </w:pPr>
    </w:p>
    <w:p>
      <w:pPr>
        <w:snapToGrid w:val="0"/>
        <w:spacing w:line="1240" w:lineRule="exact"/>
        <w:ind w:left="158" w:leftChars="50" w:right="158" w:rightChars="50"/>
        <w:jc w:val="distribute"/>
        <w:rPr>
          <w:rFonts w:hint="eastAsia" w:eastAsia="方正小标宋_GBK"/>
          <w:b/>
          <w:color w:val="FF0000"/>
          <w:w w:val="53"/>
          <w:sz w:val="110"/>
          <w:szCs w:val="110"/>
        </w:rPr>
      </w:pPr>
      <w:r>
        <w:rPr>
          <w:rFonts w:hint="eastAsia" w:eastAsia="方正小标宋_GBK"/>
          <w:b/>
          <w:color w:val="FF0000"/>
          <w:w w:val="46"/>
          <w:sz w:val="104"/>
          <w:szCs w:val="104"/>
        </w:rPr>
        <w:t>重庆市荣昌区经济和信息化委员会文件</w:t>
      </w:r>
    </w:p>
    <w:p>
      <w:pPr>
        <w:snapToGrid w:val="0"/>
        <w:spacing w:before="57" w:beforeLines="10"/>
        <w:rPr>
          <w:rFonts w:hint="eastAsia"/>
          <w:szCs w:val="32"/>
        </w:rPr>
      </w:pPr>
    </w:p>
    <w:p>
      <w:pPr>
        <w:rPr>
          <w:rFonts w:hint="eastAsia"/>
        </w:rPr>
      </w:pPr>
    </w:p>
    <w:p>
      <w:pPr>
        <w:spacing w:before="173" w:beforeLines="30"/>
        <w:ind w:left="316" w:leftChars="100" w:right="316" w:rightChars="100"/>
        <w:jc w:val="center"/>
        <w:rPr>
          <w:rFonts w:hint="eastAsia"/>
        </w:rPr>
      </w:pPr>
      <w:r>
        <w:rPr>
          <w:rFonts w:hint="eastAsia"/>
        </w:rPr>
        <w:t>荣经信发</w:t>
      </w:r>
      <w:r>
        <w:t>〔202</w:t>
      </w:r>
      <w:r>
        <w:rPr>
          <w:rFonts w:hint="eastAsia"/>
        </w:rPr>
        <w:t>2</w:t>
      </w:r>
      <w:r>
        <w:t>〕</w:t>
      </w:r>
      <w:r>
        <w:rPr>
          <w:rFonts w:hint="eastAsia"/>
        </w:rPr>
        <w:t>1号</w:t>
      </w:r>
    </w:p>
    <w:p>
      <w:pPr>
        <w:rPr>
          <w:rFonts w:hint="eastAsia"/>
        </w:rPr>
      </w:pPr>
      <w:r>
        <w:rPr>
          <w:rFonts w:hint="eastAsia" w:eastAsia="方正小标宋_GBK"/>
          <w:b/>
          <w:color w:val="FF0000"/>
          <w:w w:val="55"/>
          <w:sz w:val="108"/>
          <w:szCs w:val="108"/>
        </w:rPr>
        <mc:AlternateContent>
          <mc:Choice Requires="wps">
            <w:drawing>
              <wp:anchor distT="0" distB="0" distL="114300" distR="114300" simplePos="0" relativeHeight="251658240" behindDoc="0" locked="0" layoutInCell="1" allowOverlap="1">
                <wp:simplePos x="0" y="0"/>
                <wp:positionH relativeFrom="page">
                  <wp:posOffset>972185</wp:posOffset>
                </wp:positionH>
                <wp:positionV relativeFrom="margin">
                  <wp:posOffset>3044190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76.55pt;margin-top:239.7pt;height:0pt;width:442.2pt;mso-position-horizontal-relative:page;mso-position-vertical-relative:margin;z-index:251658240;mso-width-relative:page;mso-height-relative:page;" filled="f" stroked="t" coordsize="21600,21600" o:gfxdata="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AsnSQ/ZAAAADAEAAA8AAAAAAAAAAQAgAAAAOAAAAGRycy9kb3ducmV2LnhtbFBL&#10;AQIUABQAAAAIAIdO4kANh2PX3wEAAJoDAAAOAAAAAAAAAAEAIAAAAD4BAABkcnMvZTJvRG9jLnht&#10;bFBLBQYAAAAABgAGAFkBAACPBQAAAAA=&#10;">
                <v:fill on="f" focussize="0,0"/>
                <v:stroke weight="1.75pt" color="#FF0000" joinstyle="round"/>
                <v:imagedata o:title=""/>
                <o:lock v:ext="edit" aspectratio="f"/>
              </v:line>
            </w:pict>
          </mc:Fallback>
        </mc:AlternateContent>
      </w:r>
    </w:p>
    <w:p>
      <w:pPr>
        <w:rPr>
          <w:rFonts w:hint="eastAsia"/>
        </w:rPr>
      </w:pPr>
    </w:p>
    <w:p>
      <w:pPr>
        <w:spacing w:line="640" w:lineRule="exact"/>
        <w:jc w:val="center"/>
        <w:rPr>
          <w:rFonts w:hint="eastAsia" w:ascii="方正小标宋_GBK" w:hAnsi="方正小标宋_GBK" w:eastAsia="方正小标宋_GBK" w:cs="方正小标宋_GBK"/>
          <w:spacing w:val="2"/>
          <w:w w:val="99"/>
          <w:kern w:val="0"/>
          <w:sz w:val="44"/>
          <w:szCs w:val="44"/>
        </w:rPr>
      </w:pPr>
      <w:r>
        <w:rPr>
          <w:rFonts w:hint="eastAsia" w:ascii="方正小标宋_GBK" w:hAnsi="方正小标宋_GBK" w:eastAsia="方正小标宋_GBK" w:cs="方正小标宋_GBK"/>
          <w:w w:val="99"/>
          <w:kern w:val="0"/>
          <w:sz w:val="44"/>
          <w:szCs w:val="44"/>
        </w:rPr>
        <w:t>重庆市荣昌区经济和信息化委员</w:t>
      </w:r>
      <w:r>
        <w:rPr>
          <w:rFonts w:hint="eastAsia" w:ascii="方正小标宋_GBK" w:hAnsi="方正小标宋_GBK" w:eastAsia="方正小标宋_GBK" w:cs="方正小标宋_GBK"/>
          <w:spacing w:val="2"/>
          <w:w w:val="99"/>
          <w:kern w:val="0"/>
          <w:sz w:val="44"/>
          <w:szCs w:val="44"/>
        </w:rPr>
        <w:t>会</w:t>
      </w:r>
    </w:p>
    <w:p>
      <w:pPr>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59"/>
          <w:sz w:val="44"/>
          <w:szCs w:val="44"/>
        </w:rPr>
        <w:t>重庆市荣昌区财政</w:t>
      </w:r>
      <w:r>
        <w:rPr>
          <w:rFonts w:hint="eastAsia" w:ascii="方正小标宋_GBK" w:hAnsi="方正小标宋_GBK" w:eastAsia="方正小标宋_GBK" w:cs="方正小标宋_GBK"/>
          <w:sz w:val="44"/>
          <w:szCs w:val="44"/>
        </w:rPr>
        <w:t>局</w:t>
      </w:r>
    </w:p>
    <w:p>
      <w:pPr>
        <w:snapToGrid w:val="0"/>
        <w:spacing w:line="640" w:lineRule="exact"/>
        <w:jc w:val="center"/>
        <w:rPr>
          <w:rFonts w:hint="eastAsia" w:ascii="方正小标宋_GBK" w:hAnsi="方正小标宋_GBK" w:eastAsia="方正小标宋_GBK" w:cs="方正小标宋_GBK"/>
          <w:sz w:val="44"/>
          <w:szCs w:val="44"/>
        </w:rPr>
      </w:pPr>
      <w:r>
        <w:rPr>
          <w:rFonts w:hint="eastAsia" w:eastAsia="方正小标宋_GBK"/>
          <w:sz w:val="44"/>
          <w:szCs w:val="44"/>
        </w:rPr>
        <w:t>关于</w:t>
      </w:r>
      <w:r>
        <w:rPr>
          <w:rFonts w:hint="eastAsia" w:ascii="方正小标宋_GBK" w:hAnsi="方正小标宋_GBK" w:eastAsia="方正小标宋_GBK" w:cs="方正小标宋_GBK"/>
          <w:sz w:val="44"/>
          <w:szCs w:val="44"/>
        </w:rPr>
        <w:t>印发《重庆市荣昌区支持制造业高质量</w:t>
      </w:r>
    </w:p>
    <w:p>
      <w:pPr>
        <w:snapToGrid w:val="0"/>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发展二十一条政策》的通知</w:t>
      </w:r>
    </w:p>
    <w:p>
      <w:pPr>
        <w:spacing w:line="640" w:lineRule="exact"/>
        <w:jc w:val="left"/>
        <w:rPr>
          <w:rFonts w:hint="eastAsia" w:ascii="方正仿宋_GBK" w:hAnsi="方正仿宋_GBK" w:cs="方正仿宋_GBK"/>
          <w:szCs w:val="32"/>
        </w:rPr>
      </w:pPr>
    </w:p>
    <w:p>
      <w:pPr>
        <w:spacing w:line="560" w:lineRule="exact"/>
        <w:rPr>
          <w:szCs w:val="32"/>
        </w:rPr>
      </w:pPr>
      <w:r>
        <w:rPr>
          <w:szCs w:val="32"/>
        </w:rPr>
        <w:t>各镇人民政府，各街道办事处，区政府各部门，有关单位：</w:t>
      </w:r>
    </w:p>
    <w:p>
      <w:pPr>
        <w:autoSpaceDE w:val="0"/>
        <w:spacing w:line="560" w:lineRule="exact"/>
        <w:ind w:firstLine="632" w:firstLineChars="200"/>
      </w:pPr>
      <w:r>
        <w:rPr>
          <w:szCs w:val="32"/>
        </w:rPr>
        <w:t>《重庆市荣昌区支持制造业高质量发展二十一条政策》已经区政府</w:t>
      </w:r>
      <w:r>
        <w:rPr>
          <w:rFonts w:hint="default" w:ascii="Times New Roman" w:hAnsi="Times New Roman" w:cs="Times New Roman"/>
          <w:szCs w:val="32"/>
        </w:rPr>
        <w:t>第125次常务会议、区委第2次常</w:t>
      </w:r>
      <w:r>
        <w:rPr>
          <w:szCs w:val="32"/>
        </w:rPr>
        <w:t>委会审议通过，现印发给你们，请认真组织实施。</w:t>
      </w:r>
    </w:p>
    <w:p>
      <w:pPr>
        <w:spacing w:line="560" w:lineRule="exact"/>
        <w:rPr>
          <w:kern w:val="0"/>
          <w:szCs w:val="32"/>
          <w:lang w:bidi="ar"/>
        </w:rPr>
      </w:pPr>
    </w:p>
    <w:p>
      <w:pPr>
        <w:pStyle w:val="2"/>
        <w:spacing w:line="560" w:lineRule="exact"/>
        <w:rPr>
          <w:rFonts w:ascii="Times New Roman" w:hAnsi="Times New Roman"/>
          <w:lang w:bidi="ar"/>
        </w:rPr>
      </w:pPr>
    </w:p>
    <w:p>
      <w:pPr>
        <w:spacing w:line="560" w:lineRule="exact"/>
        <w:ind w:firstLine="3464" w:firstLineChars="1096"/>
        <w:jc w:val="right"/>
        <w:rPr>
          <w:color w:val="000000"/>
        </w:rPr>
      </w:pPr>
    </w:p>
    <w:p>
      <w:pPr>
        <w:wordWrap w:val="0"/>
        <w:spacing w:line="560" w:lineRule="exact"/>
        <w:jc w:val="right"/>
        <w:rPr>
          <w:szCs w:val="32"/>
        </w:rPr>
      </w:pPr>
      <w:r>
        <w:rPr>
          <w:szCs w:val="32"/>
        </w:rPr>
        <w:t xml:space="preserve">重庆市荣昌区经济和信息化委员会  重庆市荣昌区财政局   </w:t>
      </w:r>
    </w:p>
    <w:p>
      <w:pPr>
        <w:wordWrap w:val="0"/>
        <w:spacing w:line="560" w:lineRule="exact"/>
        <w:jc w:val="right"/>
        <w:rPr>
          <w:szCs w:val="32"/>
        </w:rPr>
      </w:pPr>
      <w:r>
        <w:rPr>
          <w:rFonts w:hint="default" w:ascii="Times New Roman" w:hAnsi="Times New Roman" w:cs="Times New Roman"/>
          <w:szCs w:val="32"/>
        </w:rPr>
        <w:t>2022年1月</w:t>
      </w:r>
      <w:r>
        <w:rPr>
          <w:rFonts w:hint="default" w:ascii="Times New Roman" w:hAnsi="Times New Roman" w:cs="Times New Roman"/>
          <w:szCs w:val="32"/>
          <w:lang w:val="en-US" w:eastAsia="zh-CN"/>
        </w:rPr>
        <w:t>7</w:t>
      </w:r>
      <w:r>
        <w:rPr>
          <w:rFonts w:hint="default" w:ascii="Times New Roman" w:hAnsi="Times New Roman" w:cs="Times New Roman"/>
          <w:szCs w:val="32"/>
        </w:rPr>
        <w:t>日</w:t>
      </w:r>
      <w:r>
        <w:rPr>
          <w:szCs w:val="32"/>
        </w:rPr>
        <w:t xml:space="preserve">    </w:t>
      </w:r>
    </w:p>
    <w:p>
      <w:pPr>
        <w:spacing w:line="560" w:lineRule="exact"/>
        <w:jc w:val="left"/>
        <w:sectPr>
          <w:footerReference r:id="rId3" w:type="default"/>
          <w:footerReference r:id="rId4" w:type="even"/>
          <w:pgSz w:w="11906" w:h="16838"/>
          <w:pgMar w:top="2098" w:right="1474" w:bottom="1985" w:left="1588" w:header="851" w:footer="1474" w:gutter="0"/>
          <w:cols w:space="720" w:num="1"/>
          <w:docGrid w:type="linesAndChars" w:linePitch="579" w:charSpace="-849"/>
        </w:sectPr>
      </w:pPr>
    </w:p>
    <w:p>
      <w:pPr>
        <w:autoSpaceDE w:val="0"/>
        <w:spacing w:line="640" w:lineRule="exact"/>
        <w:jc w:val="center"/>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重庆市荣昌区支持制造业高质量发展</w:t>
      </w:r>
    </w:p>
    <w:p>
      <w:pPr>
        <w:autoSpaceDE w:val="0"/>
        <w:spacing w:line="640" w:lineRule="exact"/>
        <w:jc w:val="center"/>
        <w:rPr>
          <w:rFonts w:eastAsia="方正小标宋_GBK"/>
          <w:sz w:val="44"/>
          <w:szCs w:val="44"/>
        </w:rPr>
      </w:pPr>
      <w:r>
        <w:rPr>
          <w:rFonts w:hint="eastAsia" w:ascii="方正小标宋_GBK" w:hAnsi="方正小标宋_GBK" w:eastAsia="方正小标宋_GBK" w:cs="方正小标宋_GBK"/>
          <w:kern w:val="0"/>
          <w:sz w:val="44"/>
          <w:szCs w:val="44"/>
          <w:lang w:bidi="ar"/>
        </w:rPr>
        <w:t>二十一条政策</w:t>
      </w:r>
    </w:p>
    <w:p>
      <w:pPr>
        <w:autoSpaceDE w:val="0"/>
        <w:spacing w:line="640" w:lineRule="exact"/>
        <w:ind w:firstLine="632" w:firstLineChars="200"/>
        <w:rPr>
          <w:szCs w:val="32"/>
        </w:rPr>
      </w:pPr>
    </w:p>
    <w:p>
      <w:pPr>
        <w:autoSpaceDE w:val="0"/>
        <w:spacing w:line="560" w:lineRule="exact"/>
        <w:ind w:firstLine="632" w:firstLineChars="200"/>
        <w:rPr>
          <w:szCs w:val="32"/>
        </w:rPr>
      </w:pPr>
      <w:r>
        <w:rPr>
          <w:rFonts w:hint="eastAsia" w:ascii="方正仿宋_GBK" w:hAnsi="方正仿宋_GBK" w:cs="方正仿宋_GBK"/>
          <w:szCs w:val="32"/>
          <w:lang w:bidi="ar"/>
        </w:rPr>
        <w:t>为持续优化我区制造业发展环境，推动制造业高端化、数字化、绿色化转型，加快建设高质量的成渝地区重要先进制造业基地，结合实际，特制定本政策。</w:t>
      </w:r>
    </w:p>
    <w:p>
      <w:pPr>
        <w:autoSpaceDE w:val="0"/>
        <w:spacing w:line="560" w:lineRule="exact"/>
        <w:ind w:firstLine="632" w:firstLineChars="200"/>
        <w:rPr>
          <w:rFonts w:eastAsia="方正黑体_GBK"/>
          <w:kern w:val="0"/>
          <w:szCs w:val="32"/>
          <w:shd w:val="clear" w:color="auto" w:fill="FFFFFF"/>
        </w:rPr>
      </w:pPr>
      <w:r>
        <w:rPr>
          <w:rFonts w:hint="eastAsia" w:ascii="方正黑体_GBK" w:hAnsi="方正黑体_GBK" w:eastAsia="方正黑体_GBK" w:cs="方正黑体_GBK"/>
          <w:kern w:val="0"/>
          <w:szCs w:val="32"/>
          <w:shd w:val="clear" w:color="auto" w:fill="FFFFFF"/>
          <w:lang w:bidi="ar"/>
        </w:rPr>
        <w:t>一、支持范围及条件</w:t>
      </w:r>
    </w:p>
    <w:p>
      <w:pPr>
        <w:autoSpaceDE w:val="0"/>
        <w:spacing w:line="560" w:lineRule="exact"/>
        <w:ind w:firstLine="632" w:firstLineChars="200"/>
        <w:rPr>
          <w:szCs w:val="32"/>
        </w:rPr>
      </w:pPr>
      <w:r>
        <w:rPr>
          <w:rFonts w:hint="eastAsia" w:ascii="方正仿宋_GBK" w:hAnsi="方正仿宋_GBK" w:cs="方正仿宋_GBK"/>
          <w:szCs w:val="32"/>
          <w:lang w:bidi="ar"/>
        </w:rPr>
        <w:t>支持范围：重点支持企业技术创新、培育优质市场主体、提升智能制造能力、提升绿色发展水平、补齐产业发展短板等项目。</w:t>
      </w:r>
    </w:p>
    <w:p>
      <w:pPr>
        <w:autoSpaceDE w:val="0"/>
        <w:spacing w:line="560" w:lineRule="exact"/>
        <w:ind w:firstLine="632" w:firstLineChars="200"/>
        <w:rPr>
          <w:szCs w:val="32"/>
        </w:rPr>
      </w:pPr>
      <w:r>
        <w:rPr>
          <w:rFonts w:hint="eastAsia" w:ascii="方正仿宋_GBK" w:hAnsi="方正仿宋_GBK" w:cs="方正仿宋_GBK"/>
          <w:szCs w:val="32"/>
          <w:lang w:bidi="ar"/>
        </w:rPr>
        <w:t>主体条件：在荣昌区内正常生产经营，财务制度健全，依法依规纳税，申报时未列入信用中国（重庆）失信</w:t>
      </w:r>
      <w:r>
        <w:rPr>
          <w:rFonts w:hint="eastAsia"/>
          <w:szCs w:val="32"/>
          <w:lang w:bidi="ar"/>
        </w:rPr>
        <w:t>“</w:t>
      </w:r>
      <w:r>
        <w:rPr>
          <w:rFonts w:hint="eastAsia" w:ascii="方正仿宋_GBK" w:hAnsi="方正仿宋_GBK" w:cs="方正仿宋_GBK"/>
          <w:szCs w:val="32"/>
          <w:lang w:bidi="ar"/>
        </w:rPr>
        <w:t>黑名单</w:t>
      </w:r>
      <w:r>
        <w:rPr>
          <w:rFonts w:hint="eastAsia"/>
          <w:szCs w:val="32"/>
          <w:lang w:bidi="ar"/>
        </w:rPr>
        <w:t>”、行贿人“黑名单”</w:t>
      </w:r>
      <w:r>
        <w:rPr>
          <w:rFonts w:hint="eastAsia" w:ascii="方正仿宋_GBK" w:hAnsi="方正仿宋_GBK" w:cs="方正仿宋_GBK"/>
          <w:szCs w:val="32"/>
          <w:lang w:bidi="ar"/>
        </w:rPr>
        <w:t>的工业企业及符合条件的个人。</w:t>
      </w:r>
    </w:p>
    <w:p>
      <w:pPr>
        <w:pStyle w:val="5"/>
        <w:autoSpaceDE w:val="0"/>
        <w:spacing w:before="0" w:beforeAutospacing="0" w:after="0" w:afterAutospacing="0" w:line="560" w:lineRule="exact"/>
        <w:ind w:firstLine="632" w:firstLineChars="200"/>
        <w:rPr>
          <w:rFonts w:ascii="Times New Roman" w:hAnsi="Times New Roman" w:eastAsia="方正黑体_GBK"/>
          <w:sz w:val="32"/>
          <w:szCs w:val="32"/>
          <w:shd w:val="clear" w:color="auto" w:fill="FFFFFF"/>
        </w:rPr>
      </w:pPr>
      <w:r>
        <w:rPr>
          <w:rFonts w:hint="eastAsia" w:ascii="方正黑体_GBK" w:hAnsi="方正黑体_GBK" w:eastAsia="方正黑体_GBK" w:cs="方正黑体_GBK"/>
          <w:sz w:val="32"/>
          <w:szCs w:val="32"/>
          <w:shd w:val="clear" w:color="auto" w:fill="FFFFFF"/>
          <w:lang w:bidi="ar"/>
        </w:rPr>
        <w:t>二、支持政策</w:t>
      </w:r>
    </w:p>
    <w:p>
      <w:pPr>
        <w:pStyle w:val="5"/>
        <w:autoSpaceDE w:val="0"/>
        <w:spacing w:before="0" w:beforeAutospacing="0" w:after="0" w:afterAutospacing="0" w:line="560" w:lineRule="exact"/>
        <w:ind w:firstLine="632" w:firstLineChars="200"/>
        <w:rPr>
          <w:rFonts w:ascii="Times New Roman" w:hAnsi="Times New Roman" w:eastAsia="方正楷体_GBK"/>
          <w:sz w:val="32"/>
          <w:szCs w:val="32"/>
          <w:shd w:val="clear" w:color="auto" w:fill="FFFFFF"/>
        </w:rPr>
      </w:pPr>
      <w:r>
        <w:rPr>
          <w:rFonts w:hint="eastAsia" w:ascii="方正楷体_GBK" w:hAnsi="方正楷体_GBK" w:eastAsia="方正楷体_GBK" w:cs="方正楷体_GBK"/>
          <w:sz w:val="32"/>
          <w:szCs w:val="32"/>
          <w:shd w:val="clear" w:color="auto" w:fill="FFFFFF"/>
          <w:lang w:bidi="ar"/>
        </w:rPr>
        <w:t>（一）鼓励企业技术创新。</w:t>
      </w:r>
    </w:p>
    <w:p>
      <w:pPr>
        <w:pStyle w:val="5"/>
        <w:autoSpaceDE w:val="0"/>
        <w:spacing w:before="0" w:beforeAutospacing="0" w:after="0" w:afterAutospacing="0" w:line="560" w:lineRule="exact"/>
        <w:ind w:firstLine="632" w:firstLineChars="200"/>
        <w:rPr>
          <w:rFonts w:hint="default" w:ascii="Times New Roman" w:hAnsi="Times New Roman" w:eastAsia="方正仿宋_GBK" w:cs="Times New Roman"/>
          <w:dstrike/>
          <w:color w:val="FF0000"/>
          <w:sz w:val="32"/>
          <w:szCs w:val="32"/>
        </w:rPr>
      </w:pPr>
      <w:r>
        <w:rPr>
          <w:rFonts w:hint="default" w:ascii="Times New Roman" w:hAnsi="Times New Roman" w:eastAsia="方正仿宋_GBK" w:cs="Times New Roman"/>
          <w:sz w:val="32"/>
          <w:szCs w:val="32"/>
          <w:lang w:bidi="ar"/>
        </w:rPr>
        <w:t>1</w:t>
      </w:r>
      <w:r>
        <w:rPr>
          <w:rFonts w:hint="default" w:ascii="Times New Roman" w:hAnsi="Times New Roman" w:cs="Times New Roman"/>
          <w:szCs w:val="32"/>
          <w:shd w:val="clear" w:color="auto" w:fill="FFFFFF"/>
          <w:lang w:bidi="ar"/>
        </w:rPr>
        <w:t>．</w:t>
      </w:r>
      <w:r>
        <w:rPr>
          <w:rFonts w:hint="default" w:ascii="Times New Roman" w:hAnsi="Times New Roman" w:eastAsia="方正仿宋_GBK" w:cs="Times New Roman"/>
          <w:sz w:val="32"/>
          <w:szCs w:val="32"/>
          <w:lang w:bidi="ar"/>
        </w:rPr>
        <w:t>支持组建高水平研发平台。支持国内外知名高校、科研机构、科学家、科研团队在荣设立基于市场化运营的高水平研发平台，对新认定的市级及以上高水平研发平台（产业研究院、技术创新中心、新型研发机构、独立法人新型企业研发机构等），自获得认定当年起连续3年给予最高100万/年研发补助。对获得国家级和市级制造业创新中心认定的牵头单位，自获得认定当年起，区级连续3年按照不超过其获得上级补助额度的50%给予配套。</w:t>
      </w:r>
    </w:p>
    <w:p>
      <w:pPr>
        <w:pStyle w:val="5"/>
        <w:autoSpaceDE w:val="0"/>
        <w:spacing w:before="0" w:beforeAutospacing="0" w:after="0" w:afterAutospacing="0" w:line="56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2</w:t>
      </w:r>
      <w:r>
        <w:rPr>
          <w:rFonts w:hint="default" w:ascii="Times New Roman" w:hAnsi="Times New Roman" w:cs="Times New Roman"/>
          <w:szCs w:val="32"/>
          <w:shd w:val="clear" w:color="auto" w:fill="FFFFFF"/>
          <w:lang w:bidi="ar"/>
        </w:rPr>
        <w:t>．</w:t>
      </w:r>
      <w:r>
        <w:rPr>
          <w:rFonts w:hint="default" w:ascii="Times New Roman" w:hAnsi="Times New Roman" w:eastAsia="方正仿宋_GBK" w:cs="Times New Roman"/>
          <w:sz w:val="32"/>
          <w:szCs w:val="32"/>
          <w:lang w:bidi="ar"/>
        </w:rPr>
        <w:t>支持企业设立研发机构。首次认定为国家、市级、区级企业技术中心、中小企业技术研发中心、工业和信息化重点实验室、技术创新示范企业、工业设计中心的，分别给予最高100万元、20万元、5万元一次性奖励。首次认定为国家、重庆市新型企业研发机构的，给予最高50万元一次性奖励。同类别不同层级平台同年认定的，按最高层级奖励。</w:t>
      </w:r>
    </w:p>
    <w:p>
      <w:pPr>
        <w:autoSpaceDE w:val="0"/>
        <w:spacing w:line="560" w:lineRule="exact"/>
        <w:ind w:firstLine="632" w:firstLineChars="200"/>
        <w:rPr>
          <w:rFonts w:hint="default" w:ascii="Times New Roman" w:hAnsi="Times New Roman" w:cs="Times New Roman"/>
          <w:szCs w:val="32"/>
          <w:lang w:bidi="ar"/>
        </w:rPr>
      </w:pPr>
      <w:r>
        <w:rPr>
          <w:rFonts w:hint="default" w:ascii="Times New Roman" w:hAnsi="Times New Roman" w:cs="Times New Roman"/>
          <w:szCs w:val="32"/>
          <w:lang w:bidi="ar"/>
        </w:rPr>
        <w:t>3．</w:t>
      </w:r>
      <w:r>
        <w:rPr>
          <w:rFonts w:hint="default" w:ascii="Times New Roman" w:hAnsi="Times New Roman" w:cs="Times New Roman"/>
          <w:szCs w:val="32"/>
          <w:lang w:val="en-US" w:eastAsia="zh-CN" w:bidi="ar"/>
        </w:rPr>
        <w:t>****</w:t>
      </w:r>
      <w:r>
        <w:rPr>
          <w:rFonts w:hint="default" w:ascii="Times New Roman" w:hAnsi="Times New Roman" w:cs="Times New Roman"/>
          <w:szCs w:val="32"/>
          <w:lang w:bidi="ar"/>
        </w:rPr>
        <w:t>。</w:t>
      </w:r>
    </w:p>
    <w:p>
      <w:pPr>
        <w:autoSpaceDE w:val="0"/>
        <w:spacing w:line="560" w:lineRule="exact"/>
        <w:ind w:firstLine="632" w:firstLineChars="200"/>
        <w:rPr>
          <w:rFonts w:hint="default" w:ascii="Times New Roman" w:hAnsi="Times New Roman" w:cs="Times New Roman"/>
          <w:szCs w:val="32"/>
          <w:lang w:bidi="ar"/>
        </w:rPr>
      </w:pPr>
      <w:r>
        <w:rPr>
          <w:rFonts w:hint="default" w:ascii="Times New Roman" w:hAnsi="Times New Roman" w:cs="Times New Roman"/>
          <w:szCs w:val="32"/>
          <w:lang w:bidi="ar"/>
        </w:rPr>
        <w:t>4．</w:t>
      </w:r>
      <w:r>
        <w:rPr>
          <w:rFonts w:hint="default" w:ascii="Times New Roman" w:hAnsi="Times New Roman" w:cs="Times New Roman"/>
          <w:szCs w:val="32"/>
          <w:lang w:val="en-US" w:eastAsia="zh-CN" w:bidi="ar"/>
        </w:rPr>
        <w:t>****</w:t>
      </w:r>
      <w:r>
        <w:rPr>
          <w:rFonts w:hint="default" w:ascii="Times New Roman" w:hAnsi="Times New Roman" w:cs="Times New Roman"/>
          <w:szCs w:val="32"/>
          <w:lang w:bidi="ar"/>
        </w:rPr>
        <w:t>。</w:t>
      </w:r>
    </w:p>
    <w:p>
      <w:pPr>
        <w:pStyle w:val="5"/>
        <w:autoSpaceDE w:val="0"/>
        <w:spacing w:before="0" w:beforeAutospacing="0" w:after="0" w:afterAutospacing="0" w:line="560" w:lineRule="exact"/>
        <w:ind w:firstLine="632"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lang w:bidi="ar"/>
        </w:rPr>
        <w:t>（二）培育优质市场主体。</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5</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支持企业微升小、小升规。对成立2年以上（如2022年申报该项政策的企业，则应在2020年1月1日前成立）的制造业企业，当年从微型企业成长为小型企业的，每户给予最高5万元的一次性奖励。对当年新入统规模以上工业企业（含新建企业入规和规下升规上工业企业），首次纳入统计联网直报，每户给予最高10万元的一次性奖励。</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6</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支持企业专精特新发展。首次获得产业链领航企业、制造业单项冠军（含单项冠军示范企业和单项冠军产品）、国家级专精特新“小巨人”企业的，分别给予最高300万、200万、100万元一次性奖励；首次获得重庆市“隐形冠军”企业、“小巨人”企业、“专精特新”企业的，分别给予最高50万元、30万元、20万元的一次性奖励。</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7</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支持品牌宣传推广。对获得市级以上著名商标、名牌产品的企业，在市级以上电视媒体、报纸、户外广告宣传，按照不超过广告费投入的10%给予一次性补助，当年单户企业最高不超过20万元。对经区工业主管部门确认同意，工业企业或区级以上工艺美术（大）师参加国内外重要展会，按照不超过展位费的50%给予补助，当年单户企业最高不超过10万元、个人最高不超过5万元。</w:t>
      </w:r>
    </w:p>
    <w:p>
      <w:pPr>
        <w:autoSpaceDE w:val="0"/>
        <w:spacing w:line="560" w:lineRule="exact"/>
        <w:ind w:firstLine="632" w:firstLineChars="200"/>
        <w:rPr>
          <w:rFonts w:hint="default" w:ascii="Times New Roman" w:hAnsi="Times New Roman" w:cs="Times New Roman"/>
          <w:szCs w:val="32"/>
          <w:lang w:bidi="ar"/>
        </w:rPr>
      </w:pPr>
      <w:r>
        <w:rPr>
          <w:rFonts w:hint="default" w:ascii="Times New Roman" w:hAnsi="Times New Roman" w:cs="Times New Roman"/>
          <w:szCs w:val="32"/>
          <w:lang w:bidi="ar"/>
        </w:rPr>
        <w:t>8．</w:t>
      </w:r>
      <w:r>
        <w:rPr>
          <w:rFonts w:hint="default" w:ascii="Times New Roman" w:hAnsi="Times New Roman" w:cs="Times New Roman"/>
          <w:szCs w:val="32"/>
          <w:lang w:val="en-US" w:eastAsia="zh-CN" w:bidi="ar"/>
        </w:rPr>
        <w:t>****</w:t>
      </w:r>
      <w:r>
        <w:rPr>
          <w:rFonts w:hint="default" w:ascii="Times New Roman" w:hAnsi="Times New Roman" w:cs="Times New Roman"/>
          <w:szCs w:val="32"/>
          <w:lang w:bidi="ar"/>
        </w:rPr>
        <w:t>。</w:t>
      </w:r>
    </w:p>
    <w:p>
      <w:pPr>
        <w:pStyle w:val="5"/>
        <w:autoSpaceDE w:val="0"/>
        <w:spacing w:before="0" w:beforeAutospacing="0" w:after="0" w:afterAutospacing="0" w:line="560" w:lineRule="exact"/>
        <w:ind w:firstLine="632"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lang w:bidi="ar"/>
        </w:rPr>
        <w:t>（三）提升智能制造能力。</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9．</w:t>
      </w:r>
      <w:r>
        <w:rPr>
          <w:rFonts w:hint="default" w:ascii="Times New Roman" w:hAnsi="Times New Roman" w:cs="Times New Roman"/>
          <w:kern w:val="0"/>
          <w:szCs w:val="32"/>
          <w:lang w:val="en-US" w:eastAsia="zh-CN" w:bidi="ar"/>
        </w:rPr>
        <w:t>****</w:t>
      </w:r>
      <w:r>
        <w:rPr>
          <w:rFonts w:hint="default" w:ascii="Times New Roman" w:hAnsi="Times New Roman" w:cs="Times New Roman"/>
          <w:kern w:val="0"/>
          <w:szCs w:val="32"/>
          <w:lang w:bidi="ar"/>
        </w:rPr>
        <w:t>。</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10．</w:t>
      </w:r>
      <w:r>
        <w:rPr>
          <w:rFonts w:hint="default" w:ascii="Times New Roman" w:hAnsi="Times New Roman" w:cs="Times New Roman"/>
          <w:kern w:val="0"/>
          <w:szCs w:val="32"/>
          <w:lang w:val="en-US" w:eastAsia="zh-CN" w:bidi="ar"/>
        </w:rPr>
        <w:t>****</w:t>
      </w:r>
      <w:r>
        <w:rPr>
          <w:rFonts w:hint="default" w:ascii="Times New Roman" w:hAnsi="Times New Roman" w:cs="Times New Roman"/>
          <w:kern w:val="0"/>
          <w:szCs w:val="32"/>
          <w:lang w:bidi="ar"/>
        </w:rPr>
        <w:t>。</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11．支持智能工厂和数字化车间建设。对认定为市级数字化车间的企业给予不超过20万元一次性奖励，对认定为市级智能工厂的企业给予不超过50万元一次性奖励。</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12．支持工业互联网建设。对入选市级智能化（试点）示范的项目，给予创新示范智能工厂最高100万元的一次性奖励，网络化改造集成创新应用、工业互联网新模式应用、服务型制造、工业信息安全集成创新应用、5G和物联网集成创新应用、“5G+工业互联网”创新应用场景建设等其他项目给予最高50万元的一次性奖励。支持建设工业互联网标识解析体系、工业互联网平台，国家级、市级项目奖励金额最高分别为100万元、50万元一次性奖励。对首次通过国家两化融合管理体系标准评定（以国家评定机构认定证书为准）的企业，给予最高20万元一次性奖励。</w:t>
      </w:r>
    </w:p>
    <w:p>
      <w:pPr>
        <w:pStyle w:val="5"/>
        <w:autoSpaceDE w:val="0"/>
        <w:spacing w:before="0" w:beforeAutospacing="0" w:after="0" w:afterAutospacing="0" w:line="560" w:lineRule="exact"/>
        <w:ind w:firstLine="632" w:firstLineChars="200"/>
        <w:rPr>
          <w:rFonts w:hint="default" w:ascii="Times New Roman" w:hAnsi="Times New Roman" w:eastAsia="方正楷体_GBK" w:cs="Times New Roman"/>
          <w:sz w:val="32"/>
          <w:szCs w:val="32"/>
          <w:shd w:val="clear" w:color="auto" w:fill="FFFFFF"/>
          <w:lang w:bidi="ar"/>
        </w:rPr>
      </w:pPr>
      <w:r>
        <w:rPr>
          <w:rFonts w:hint="default" w:ascii="Times New Roman" w:hAnsi="Times New Roman" w:eastAsia="方正楷体_GBK" w:cs="Times New Roman"/>
          <w:sz w:val="32"/>
          <w:szCs w:val="32"/>
          <w:shd w:val="clear" w:color="auto" w:fill="FFFFFF"/>
          <w:lang w:bidi="ar"/>
        </w:rPr>
        <w:t>（四）提升绿色发展水平。</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13．构建绿色发展示范体系。对纳入国家、市绿色制造系统集成项目、清洁生产技术改造示范项目的，分别给予最高30万元、10万元的一次性奖励。经认定的国家级绿色产品、绿色工厂、绿色园区、绿色供应链分别给予最高10万元、20万元、30万元、30万元的一次性奖励，市级绿色工厂、绿色园区分别给予最高10万元、20万元的一次性奖励，能效领跑者、水效领跑者、节水型企业按照国家级、市级、区级分别给予最高20万元、10万元、5万元的一次性奖励。</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14．</w:t>
      </w:r>
      <w:r>
        <w:rPr>
          <w:rFonts w:hint="default" w:ascii="Times New Roman" w:hAnsi="Times New Roman" w:cs="Times New Roman"/>
          <w:kern w:val="0"/>
          <w:szCs w:val="32"/>
          <w:lang w:val="en-US" w:eastAsia="zh-CN" w:bidi="ar"/>
        </w:rPr>
        <w:t>****</w:t>
      </w:r>
      <w:r>
        <w:rPr>
          <w:rFonts w:hint="default" w:ascii="Times New Roman" w:hAnsi="Times New Roman" w:cs="Times New Roman"/>
          <w:kern w:val="0"/>
          <w:szCs w:val="32"/>
          <w:lang w:bidi="ar"/>
        </w:rPr>
        <w:t>。</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（五）补齐产业发展短板。</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15．</w:t>
      </w:r>
      <w:r>
        <w:rPr>
          <w:rFonts w:hint="default" w:ascii="Times New Roman" w:hAnsi="Times New Roman" w:cs="Times New Roman"/>
          <w:kern w:val="0"/>
          <w:szCs w:val="32"/>
          <w:lang w:val="en-US" w:eastAsia="zh-CN" w:bidi="ar"/>
        </w:rPr>
        <w:t>****</w:t>
      </w:r>
      <w:r>
        <w:rPr>
          <w:rFonts w:hint="default" w:ascii="Times New Roman" w:hAnsi="Times New Roman" w:cs="Times New Roman"/>
          <w:kern w:val="0"/>
          <w:szCs w:val="32"/>
          <w:lang w:bidi="ar"/>
        </w:rPr>
        <w:t>。</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16．</w:t>
      </w:r>
      <w:r>
        <w:rPr>
          <w:rFonts w:hint="default" w:ascii="Times New Roman" w:hAnsi="Times New Roman" w:cs="Times New Roman"/>
          <w:kern w:val="0"/>
          <w:szCs w:val="32"/>
          <w:lang w:val="en-US" w:eastAsia="zh-CN" w:bidi="ar"/>
        </w:rPr>
        <w:t>****</w:t>
      </w:r>
      <w:r>
        <w:rPr>
          <w:rFonts w:hint="default" w:ascii="Times New Roman" w:hAnsi="Times New Roman" w:cs="Times New Roman"/>
          <w:kern w:val="0"/>
          <w:szCs w:val="32"/>
          <w:lang w:bidi="ar"/>
        </w:rPr>
        <w:t>。</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17．支持生产性服务业发展。对经区工业主管部门确认同意，参加工业设计大赛获得国际和全国知名设计大奖的企业或个人，获得一等奖（金奖）分别给予不超过50万/个、30万/个的奖励，二等奖（银奖）的分别给予不超过30万/个、20万/个奖励，三等奖（铜奖）的分别给予不超过20万/个、10万/个奖励。</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18．</w:t>
      </w:r>
      <w:r>
        <w:rPr>
          <w:rFonts w:hint="default" w:ascii="Times New Roman" w:hAnsi="Times New Roman" w:cs="Times New Roman"/>
          <w:kern w:val="0"/>
          <w:szCs w:val="32"/>
          <w:lang w:val="en-US" w:eastAsia="zh-CN" w:bidi="ar"/>
        </w:rPr>
        <w:t>****</w:t>
      </w:r>
      <w:r>
        <w:rPr>
          <w:rFonts w:hint="default" w:ascii="Times New Roman" w:hAnsi="Times New Roman" w:cs="Times New Roman"/>
          <w:kern w:val="0"/>
          <w:szCs w:val="32"/>
          <w:lang w:bidi="ar"/>
        </w:rPr>
        <w:t>。</w:t>
      </w:r>
    </w:p>
    <w:p>
      <w:pPr>
        <w:autoSpaceDE w:val="0"/>
        <w:spacing w:line="560" w:lineRule="exact"/>
        <w:ind w:firstLine="632" w:firstLineChars="200"/>
        <w:rPr>
          <w:rFonts w:hint="default" w:ascii="Times New Roman" w:hAnsi="Times New Roman" w:cs="Times New Roman"/>
          <w:kern w:val="0"/>
          <w:szCs w:val="32"/>
          <w:lang w:bidi="ar"/>
        </w:rPr>
      </w:pPr>
      <w:r>
        <w:rPr>
          <w:rFonts w:hint="default" w:ascii="Times New Roman" w:hAnsi="Times New Roman" w:cs="Times New Roman"/>
          <w:kern w:val="0"/>
          <w:szCs w:val="32"/>
          <w:lang w:bidi="ar"/>
        </w:rPr>
        <w:t>19．</w:t>
      </w:r>
      <w:r>
        <w:rPr>
          <w:rFonts w:hint="default" w:ascii="Times New Roman" w:hAnsi="Times New Roman" w:cs="Times New Roman"/>
          <w:kern w:val="0"/>
          <w:szCs w:val="32"/>
          <w:lang w:val="en-US" w:eastAsia="zh-CN" w:bidi="ar"/>
        </w:rPr>
        <w:t>****</w:t>
      </w:r>
      <w:r>
        <w:rPr>
          <w:rFonts w:hint="default" w:ascii="Times New Roman" w:hAnsi="Times New Roman" w:cs="Times New Roman"/>
          <w:kern w:val="0"/>
          <w:szCs w:val="32"/>
          <w:lang w:bidi="ar"/>
        </w:rPr>
        <w:t>。</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kern w:val="0"/>
          <w:szCs w:val="32"/>
          <w:lang w:bidi="ar"/>
        </w:rPr>
        <w:t>20</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kern w:val="0"/>
          <w:szCs w:val="32"/>
          <w:lang w:bidi="ar"/>
        </w:rPr>
        <w:t>支持公共服务平台建设。对首次评定为国家级、市级中小企业公共服务示范平台的，分别给予公共服务平台不超过30万元、10万元一次性奖励。鼓励区级以上公共服务平台为区内工业企业提供信息、技术、创业、融资等优质服务，按当年服务支出费用给予不超过10%补助，单户当年</w:t>
      </w:r>
      <w:r>
        <w:rPr>
          <w:rFonts w:hint="default" w:ascii="Times New Roman" w:hAnsi="Times New Roman" w:cs="Times New Roman"/>
          <w:szCs w:val="32"/>
          <w:lang w:bidi="ar"/>
        </w:rPr>
        <w:t>最高50万元。</w:t>
      </w:r>
    </w:p>
    <w:p>
      <w:pPr>
        <w:autoSpaceDE w:val="0"/>
        <w:spacing w:line="560" w:lineRule="exact"/>
        <w:ind w:firstLine="632" w:firstLineChars="200"/>
        <w:rPr>
          <w:rFonts w:hint="default" w:ascii="Times New Roman" w:hAnsi="Times New Roman" w:eastAsia="方正黑体_GBK" w:cs="Times New Roman"/>
          <w:szCs w:val="32"/>
        </w:rPr>
      </w:pPr>
      <w:r>
        <w:rPr>
          <w:rFonts w:hint="default" w:ascii="Times New Roman" w:hAnsi="Times New Roman" w:cs="Times New Roman"/>
          <w:kern w:val="0"/>
          <w:szCs w:val="32"/>
          <w:lang w:bidi="ar"/>
        </w:rPr>
        <w:t>21</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kern w:val="0"/>
          <w:szCs w:val="32"/>
          <w:lang w:bidi="ar"/>
        </w:rPr>
        <w:t>兑现重点政策。</w:t>
      </w:r>
      <w:r>
        <w:rPr>
          <w:rFonts w:hint="default" w:ascii="Times New Roman" w:hAnsi="Times New Roman" w:cs="Times New Roman"/>
          <w:szCs w:val="32"/>
          <w:lang w:bidi="ar"/>
        </w:rPr>
        <w:t>支持工业和信息化领域的重点专项及区委、区政府交办的其他事项。</w:t>
      </w:r>
    </w:p>
    <w:p>
      <w:pPr>
        <w:autoSpaceDE w:val="0"/>
        <w:spacing w:line="560" w:lineRule="exact"/>
        <w:ind w:firstLine="632"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lang w:bidi="ar"/>
        </w:rPr>
        <w:t>三、申报资料及程序</w:t>
      </w:r>
    </w:p>
    <w:p>
      <w:pPr>
        <w:autoSpaceDE w:val="0"/>
        <w:spacing w:line="560" w:lineRule="exact"/>
        <w:ind w:firstLine="632" w:firstLineChars="200"/>
        <w:rPr>
          <w:rFonts w:hint="default" w:ascii="Times New Roman" w:hAnsi="Times New Roman" w:eastAsia="方正楷体_GBK" w:cs="Times New Roman"/>
          <w:kern w:val="0"/>
          <w:szCs w:val="32"/>
          <w:shd w:val="clear" w:color="auto" w:fill="FFFFFF"/>
        </w:rPr>
      </w:pPr>
      <w:r>
        <w:rPr>
          <w:rFonts w:hint="default" w:ascii="Times New Roman" w:hAnsi="Times New Roman" w:eastAsia="方正楷体_GBK" w:cs="Times New Roman"/>
          <w:kern w:val="0"/>
          <w:szCs w:val="32"/>
          <w:shd w:val="clear" w:color="auto" w:fill="FFFFFF"/>
          <w:lang w:bidi="ar"/>
        </w:rPr>
        <w:t>（一）申报资料。</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1</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专项资金申报表（见附件）。</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2</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企业营业执照副本、银行开户许可证、法人代表身份证的复印件和上年度文书式完税证明。</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3</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企业基本情况（包括企业成立时间、所在地、生产规模，当年及上年生产经营情况、销售市场情况等）。</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4</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企业提供申报项目对应的申报资料：对获得相关认定奖励补助类项目，企业须提供相应认定文件复印件；对支出类项目须提供项目对应的合同、发票、会计凭证及相应付款凭证。</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5</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申报项目未享受财政资金补助及资料的真实性承诺书。</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6</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企业认为有必要提供的其他证明材料。</w:t>
      </w:r>
    </w:p>
    <w:p>
      <w:pPr>
        <w:autoSpaceDE w:val="0"/>
        <w:spacing w:line="560" w:lineRule="exact"/>
        <w:ind w:firstLine="632" w:firstLineChars="200"/>
        <w:rPr>
          <w:rFonts w:hint="default" w:ascii="Times New Roman" w:hAnsi="Times New Roman" w:eastAsia="方正楷体_GBK" w:cs="Times New Roman"/>
          <w:kern w:val="0"/>
          <w:szCs w:val="32"/>
          <w:shd w:val="clear" w:color="auto" w:fill="FFFFFF"/>
        </w:rPr>
      </w:pPr>
      <w:r>
        <w:rPr>
          <w:rFonts w:hint="default" w:ascii="Times New Roman" w:hAnsi="Times New Roman" w:eastAsia="方正楷体_GBK" w:cs="Times New Roman"/>
          <w:kern w:val="0"/>
          <w:szCs w:val="32"/>
          <w:shd w:val="clear" w:color="auto" w:fill="FFFFFF"/>
          <w:lang w:bidi="ar"/>
        </w:rPr>
        <w:t>（二）申报程序。</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在次年3月底前，企业按照上述要求按顺序提供资料加盖单位鲜章一份，扫描后将纸质件和扫描件一并报区经济信息委，区经济信息委按照相关要求对项目进行核查，根据资金预算情况，对通过审查的项目由区经济信息委商区财政局提出资金安排方案报区政府审批。</w:t>
      </w:r>
    </w:p>
    <w:p>
      <w:pPr>
        <w:autoSpaceDE w:val="0"/>
        <w:spacing w:line="560" w:lineRule="exact"/>
        <w:ind w:firstLine="632" w:firstLineChars="200"/>
        <w:rPr>
          <w:rFonts w:hint="default" w:ascii="Times New Roman" w:hAnsi="Times New Roman" w:eastAsia="方正黑体_GBK" w:cs="Times New Roman"/>
          <w:szCs w:val="32"/>
        </w:rPr>
      </w:pPr>
      <w:r>
        <w:rPr>
          <w:rFonts w:hint="default" w:ascii="Times New Roman" w:hAnsi="Times New Roman" w:eastAsia="方正黑体_GBK" w:cs="Times New Roman"/>
          <w:szCs w:val="32"/>
          <w:lang w:bidi="ar"/>
        </w:rPr>
        <w:t>四、其他</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kern w:val="0"/>
          <w:szCs w:val="32"/>
          <w:shd w:val="clear" w:color="auto" w:fill="FFFFFF"/>
          <w:lang w:bidi="ar"/>
        </w:rPr>
        <w:t>1．单户企业或个人当年申报上述政策不得超过</w:t>
      </w:r>
      <w:r>
        <w:rPr>
          <w:rFonts w:hint="default" w:ascii="Times New Roman" w:hAnsi="Times New Roman" w:cs="Times New Roman"/>
          <w:szCs w:val="32"/>
          <w:lang w:bidi="ar"/>
        </w:rPr>
        <w:t>三条。企业当年获得的补助资金总额原则上不超过该企业对荣昌区的地方经济贡献。</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2</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本政策与区级其他优惠政策内容重复或类同的，按照就高不重复原则执行。政策按年度兑现，具体补助比例和补助金额根据年度资金预算控制指标和申报项目等因素确定。</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3</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本政策所规定的奖励补助资金从2021年1月1日起起算。</w:t>
      </w:r>
    </w:p>
    <w:p>
      <w:pPr>
        <w:autoSpaceDE w:val="0"/>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lang w:bidi="ar"/>
        </w:rPr>
        <w:t>4</w:t>
      </w:r>
      <w:r>
        <w:rPr>
          <w:rFonts w:hint="default" w:ascii="Times New Roman" w:hAnsi="Times New Roman" w:cs="Times New Roman"/>
          <w:kern w:val="0"/>
          <w:szCs w:val="32"/>
          <w:shd w:val="clear" w:color="auto" w:fill="FFFFFF"/>
          <w:lang w:bidi="ar"/>
        </w:rPr>
        <w:t>．</w:t>
      </w:r>
      <w:r>
        <w:rPr>
          <w:rFonts w:hint="default" w:ascii="Times New Roman" w:hAnsi="Times New Roman" w:cs="Times New Roman"/>
          <w:szCs w:val="32"/>
          <w:lang w:bidi="ar"/>
        </w:rPr>
        <w:t>本文件自公布之日起施行，有效期至2025年12月31日止，由区经济信息委负责解释。原《重庆市荣昌区支持工业企业高质量发展十七条政策》（荣经信发〔2019〕120号）同时废止。</w:t>
      </w:r>
    </w:p>
    <w:p>
      <w:pPr>
        <w:autoSpaceDE w:val="0"/>
        <w:spacing w:line="560" w:lineRule="exact"/>
        <w:ind w:firstLine="632" w:firstLineChars="200"/>
        <w:rPr>
          <w:rFonts w:hint="default" w:ascii="Times New Roman" w:hAnsi="Times New Roman" w:cs="Times New Roman"/>
          <w:szCs w:val="32"/>
        </w:rPr>
      </w:pPr>
    </w:p>
    <w:p>
      <w:pPr>
        <w:autoSpaceDE w:val="0"/>
        <w:spacing w:line="560" w:lineRule="exact"/>
        <w:ind w:firstLine="632" w:firstLineChars="200"/>
        <w:rPr>
          <w:rFonts w:eastAsia="方正仿宋简体"/>
          <w:szCs w:val="32"/>
        </w:rPr>
      </w:pPr>
      <w:r>
        <w:rPr>
          <w:rFonts w:hint="default" w:ascii="Times New Roman" w:hAnsi="Times New Roman" w:cs="Times New Roman"/>
          <w:szCs w:val="32"/>
          <w:lang w:bidi="ar"/>
        </w:rPr>
        <w:t>附件：荣昌区工业企业支持政策</w:t>
      </w:r>
      <w:r>
        <w:rPr>
          <w:rFonts w:hint="eastAsia" w:ascii="方正仿宋_GBK" w:hAnsi="方正仿宋_GBK" w:cs="方正仿宋_GBK"/>
          <w:szCs w:val="32"/>
          <w:lang w:bidi="ar"/>
        </w:rPr>
        <w:t>申报表</w:t>
      </w:r>
    </w:p>
    <w:p>
      <w:pPr>
        <w:spacing w:line="560" w:lineRule="exact"/>
        <w:jc w:val="left"/>
        <w:sectPr>
          <w:pgSz w:w="11906" w:h="16838"/>
          <w:pgMar w:top="2098" w:right="1474" w:bottom="1985" w:left="1588" w:header="851" w:footer="1474" w:gutter="0"/>
          <w:cols w:space="720" w:num="1"/>
          <w:docGrid w:type="linesAndChars" w:linePitch="579" w:charSpace="-849"/>
        </w:sectPr>
      </w:pPr>
    </w:p>
    <w:p>
      <w:pPr>
        <w:autoSpaceDE w:val="0"/>
        <w:spacing w:line="560" w:lineRule="exact"/>
        <w:jc w:val="left"/>
        <w:rPr>
          <w:rFonts w:eastAsia="方正黑体_GBK"/>
          <w:szCs w:val="32"/>
        </w:rPr>
      </w:pPr>
      <w:r>
        <w:rPr>
          <w:rFonts w:hint="eastAsia" w:ascii="方正黑体_GBK" w:hAnsi="方正黑体_GBK" w:eastAsia="方正黑体_GBK" w:cs="方正黑体_GBK"/>
          <w:szCs w:val="32"/>
          <w:lang w:bidi="ar"/>
        </w:rPr>
        <w:t>附件</w:t>
      </w:r>
    </w:p>
    <w:p>
      <w:pPr>
        <w:widowControl/>
        <w:autoSpaceDE w:val="0"/>
        <w:snapToGrid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lang w:bidi="ar"/>
        </w:rPr>
        <w:t>荣昌区工业企业支持政策申报表</w:t>
      </w:r>
    </w:p>
    <w:p>
      <w:pPr>
        <w:autoSpaceDE w:val="0"/>
        <w:jc w:val="center"/>
        <w:rPr>
          <w:sz w:val="28"/>
          <w:szCs w:val="28"/>
        </w:rPr>
      </w:pPr>
      <w:r>
        <w:rPr>
          <w:rFonts w:hint="eastAsia" w:ascii="方正仿宋_GBK" w:hAnsi="方正仿宋_GBK" w:cs="方正仿宋_GBK"/>
          <w:sz w:val="28"/>
          <w:szCs w:val="28"/>
          <w:lang w:bidi="ar"/>
        </w:rPr>
        <w:t>年</w:t>
      </w:r>
      <w:r>
        <w:rPr>
          <w:sz w:val="28"/>
          <w:szCs w:val="28"/>
          <w:lang w:bidi="ar"/>
        </w:rPr>
        <w:t xml:space="preserve">     </w:t>
      </w:r>
      <w:r>
        <w:rPr>
          <w:rFonts w:hint="eastAsia" w:ascii="方正仿宋_GBK" w:hAnsi="方正仿宋_GBK" w:cs="方正仿宋_GBK"/>
          <w:sz w:val="28"/>
          <w:szCs w:val="28"/>
          <w:lang w:bidi="ar"/>
        </w:rPr>
        <w:t>月</w:t>
      </w:r>
      <w:r>
        <w:rPr>
          <w:sz w:val="28"/>
          <w:szCs w:val="28"/>
          <w:lang w:bidi="ar"/>
        </w:rPr>
        <w:t xml:space="preserve">     </w:t>
      </w:r>
      <w:r>
        <w:rPr>
          <w:rFonts w:hint="eastAsia" w:ascii="方正仿宋_GBK" w:hAnsi="方正仿宋_GBK" w:cs="方正仿宋_GBK"/>
          <w:sz w:val="28"/>
          <w:szCs w:val="28"/>
          <w:lang w:bidi="ar"/>
        </w:rPr>
        <w:t>日</w:t>
      </w:r>
      <w:r>
        <w:rPr>
          <w:sz w:val="28"/>
          <w:szCs w:val="28"/>
          <w:lang w:bidi="ar"/>
        </w:rPr>
        <w:t xml:space="preserve">                               </w:t>
      </w:r>
      <w:r>
        <w:rPr>
          <w:rFonts w:hint="eastAsia" w:ascii="方正仿宋_GBK" w:hAnsi="方正仿宋_GBK" w:cs="方正仿宋_GBK"/>
          <w:sz w:val="28"/>
          <w:szCs w:val="28"/>
          <w:lang w:bidi="ar"/>
        </w:rPr>
        <w:t>单位：万元</w:t>
      </w:r>
    </w:p>
    <w:tbl>
      <w:tblPr>
        <w:tblStyle w:val="6"/>
        <w:tblW w:w="8720" w:type="dxa"/>
        <w:jc w:val="center"/>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Layout w:type="fixed"/>
        <w:tblCellMar>
          <w:top w:w="0" w:type="dxa"/>
          <w:left w:w="28" w:type="dxa"/>
          <w:bottom w:w="0" w:type="dxa"/>
          <w:right w:w="28" w:type="dxa"/>
        </w:tblCellMar>
      </w:tblPr>
      <w:tblGrid>
        <w:gridCol w:w="1119"/>
        <w:gridCol w:w="185"/>
        <w:gridCol w:w="709"/>
        <w:gridCol w:w="226"/>
        <w:gridCol w:w="1120"/>
        <w:gridCol w:w="1064"/>
        <w:gridCol w:w="56"/>
        <w:gridCol w:w="1078"/>
        <w:gridCol w:w="42"/>
        <w:gridCol w:w="1120"/>
        <w:gridCol w:w="1120"/>
        <w:gridCol w:w="881"/>
      </w:tblGrid>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627" w:hRule="atLeast"/>
          <w:jc w:val="center"/>
        </w:trPr>
        <w:tc>
          <w:tcPr>
            <w:tcW w:w="2013" w:type="dxa"/>
            <w:gridSpan w:val="3"/>
            <w:tcBorders>
              <w:top w:val="single" w:color="auto"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单位名称（盖章）</w:t>
            </w:r>
          </w:p>
        </w:tc>
        <w:tc>
          <w:tcPr>
            <w:tcW w:w="6707" w:type="dxa"/>
            <w:gridSpan w:val="9"/>
            <w:tcBorders>
              <w:top w:val="single" w:color="auto" w:sz="4" w:space="0"/>
              <w:left w:val="nil"/>
              <w:bottom w:val="single" w:color="999999" w:sz="4" w:space="0"/>
              <w:right w:val="single" w:color="auto" w:sz="4" w:space="0"/>
            </w:tcBorders>
            <w:vAlign w:val="center"/>
          </w:tcPr>
          <w:p>
            <w:pPr>
              <w:widowControl/>
              <w:snapToGrid w:val="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602" w:hRule="atLeast"/>
          <w:jc w:val="center"/>
        </w:trPr>
        <w:tc>
          <w:tcPr>
            <w:tcW w:w="1304" w:type="dxa"/>
            <w:gridSpan w:val="2"/>
            <w:tcBorders>
              <w:top w:val="single" w:color="999999"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法定代表人</w:t>
            </w:r>
          </w:p>
        </w:tc>
        <w:tc>
          <w:tcPr>
            <w:tcW w:w="3119" w:type="dxa"/>
            <w:gridSpan w:val="4"/>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1134" w:type="dxa"/>
            <w:gridSpan w:val="2"/>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联系电话</w:t>
            </w:r>
          </w:p>
        </w:tc>
        <w:tc>
          <w:tcPr>
            <w:tcW w:w="3163" w:type="dxa"/>
            <w:gridSpan w:val="4"/>
            <w:tcBorders>
              <w:top w:val="single" w:color="999999" w:sz="4" w:space="0"/>
              <w:left w:val="nil"/>
              <w:bottom w:val="single" w:color="999999" w:sz="4" w:space="0"/>
              <w:right w:val="single" w:color="auto" w:sz="4" w:space="0"/>
            </w:tcBorders>
            <w:vAlign w:val="center"/>
          </w:tcPr>
          <w:p>
            <w:pPr>
              <w:widowControl/>
              <w:snapToGrid w:val="0"/>
              <w:ind w:right="-237" w:rightChars="-75"/>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617" w:hRule="atLeast"/>
          <w:jc w:val="center"/>
        </w:trPr>
        <w:tc>
          <w:tcPr>
            <w:tcW w:w="1304" w:type="dxa"/>
            <w:gridSpan w:val="2"/>
            <w:tcBorders>
              <w:top w:val="single" w:color="999999"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联 系 人</w:t>
            </w:r>
          </w:p>
        </w:tc>
        <w:tc>
          <w:tcPr>
            <w:tcW w:w="3119" w:type="dxa"/>
            <w:gridSpan w:val="4"/>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1134" w:type="dxa"/>
            <w:gridSpan w:val="2"/>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联系电话</w:t>
            </w:r>
          </w:p>
        </w:tc>
        <w:tc>
          <w:tcPr>
            <w:tcW w:w="3163" w:type="dxa"/>
            <w:gridSpan w:val="4"/>
            <w:tcBorders>
              <w:top w:val="single" w:color="999999" w:sz="4" w:space="0"/>
              <w:left w:val="nil"/>
              <w:bottom w:val="single" w:color="999999" w:sz="4" w:space="0"/>
              <w:right w:val="single" w:color="auto" w:sz="4" w:space="0"/>
            </w:tcBorders>
            <w:vAlign w:val="center"/>
          </w:tcPr>
          <w:p>
            <w:pPr>
              <w:widowControl/>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612" w:hRule="atLeast"/>
          <w:jc w:val="center"/>
        </w:trPr>
        <w:tc>
          <w:tcPr>
            <w:tcW w:w="1304" w:type="dxa"/>
            <w:gridSpan w:val="2"/>
            <w:tcBorders>
              <w:top w:val="single" w:color="999999"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开户银行</w:t>
            </w:r>
          </w:p>
        </w:tc>
        <w:tc>
          <w:tcPr>
            <w:tcW w:w="3119" w:type="dxa"/>
            <w:gridSpan w:val="4"/>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1134" w:type="dxa"/>
            <w:gridSpan w:val="2"/>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银行</w:t>
            </w:r>
            <w:r>
              <w:rPr>
                <w:rFonts w:hint="eastAsia" w:eastAsia="方正黑体_GBK"/>
                <w:sz w:val="24"/>
                <w:szCs w:val="24"/>
                <w:lang w:eastAsia="zh-CN" w:bidi="ar"/>
              </w:rPr>
              <w:t>账号</w:t>
            </w:r>
            <w:bookmarkStart w:id="0" w:name="_GoBack"/>
            <w:bookmarkEnd w:id="0"/>
          </w:p>
        </w:tc>
        <w:tc>
          <w:tcPr>
            <w:tcW w:w="3163" w:type="dxa"/>
            <w:gridSpan w:val="4"/>
            <w:tcBorders>
              <w:top w:val="single" w:color="999999" w:sz="4" w:space="0"/>
              <w:left w:val="nil"/>
              <w:bottom w:val="single" w:color="999999" w:sz="4" w:space="0"/>
              <w:right w:val="single" w:color="auto" w:sz="4" w:space="0"/>
            </w:tcBorders>
            <w:vAlign w:val="center"/>
          </w:tcPr>
          <w:p>
            <w:pPr>
              <w:widowControl/>
              <w:snapToGrid w:val="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512" w:hRule="atLeast"/>
          <w:jc w:val="center"/>
        </w:trPr>
        <w:tc>
          <w:tcPr>
            <w:tcW w:w="2239" w:type="dxa"/>
            <w:gridSpan w:val="4"/>
            <w:tcBorders>
              <w:top w:val="single" w:color="999999"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营业收入</w:t>
            </w:r>
          </w:p>
        </w:tc>
        <w:tc>
          <w:tcPr>
            <w:tcW w:w="2240" w:type="dxa"/>
            <w:gridSpan w:val="3"/>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入库税金</w:t>
            </w:r>
          </w:p>
        </w:tc>
        <w:tc>
          <w:tcPr>
            <w:tcW w:w="2240" w:type="dxa"/>
            <w:gridSpan w:val="3"/>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从业人员</w:t>
            </w:r>
          </w:p>
        </w:tc>
        <w:tc>
          <w:tcPr>
            <w:tcW w:w="2001" w:type="dxa"/>
            <w:gridSpan w:val="2"/>
            <w:tcBorders>
              <w:top w:val="single" w:color="999999" w:sz="4" w:space="0"/>
              <w:left w:val="nil"/>
              <w:bottom w:val="single" w:color="999999" w:sz="4" w:space="0"/>
              <w:right w:val="single" w:color="auto" w:sz="4" w:space="0"/>
            </w:tcBorders>
            <w:vAlign w:val="center"/>
          </w:tcPr>
          <w:p>
            <w:pPr>
              <w:widowControl/>
              <w:snapToGrid w:val="0"/>
              <w:jc w:val="center"/>
              <w:rPr>
                <w:rFonts w:eastAsia="方正黑体_GBK"/>
                <w:sz w:val="24"/>
                <w:szCs w:val="24"/>
              </w:rPr>
            </w:pPr>
            <w:r>
              <w:rPr>
                <w:rFonts w:eastAsia="方正黑体_GBK"/>
                <w:sz w:val="24"/>
                <w:szCs w:val="24"/>
                <w:lang w:bidi="ar"/>
              </w:rPr>
              <w:t>资产总额</w:t>
            </w: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542" w:hRule="atLeast"/>
          <w:jc w:val="center"/>
        </w:trPr>
        <w:tc>
          <w:tcPr>
            <w:tcW w:w="1119" w:type="dxa"/>
            <w:tcBorders>
              <w:top w:val="single" w:color="999999"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当年累计</w:t>
            </w:r>
          </w:p>
        </w:tc>
        <w:tc>
          <w:tcPr>
            <w:tcW w:w="1120" w:type="dxa"/>
            <w:gridSpan w:val="3"/>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去年同期</w:t>
            </w:r>
          </w:p>
        </w:tc>
        <w:tc>
          <w:tcPr>
            <w:tcW w:w="1120" w:type="dxa"/>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当年累计</w:t>
            </w:r>
          </w:p>
        </w:tc>
        <w:tc>
          <w:tcPr>
            <w:tcW w:w="1120" w:type="dxa"/>
            <w:gridSpan w:val="2"/>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去年同期</w:t>
            </w:r>
          </w:p>
        </w:tc>
        <w:tc>
          <w:tcPr>
            <w:tcW w:w="1120" w:type="dxa"/>
            <w:gridSpan w:val="2"/>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当年</w:t>
            </w:r>
          </w:p>
        </w:tc>
        <w:tc>
          <w:tcPr>
            <w:tcW w:w="1120" w:type="dxa"/>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去年同期</w:t>
            </w:r>
          </w:p>
        </w:tc>
        <w:tc>
          <w:tcPr>
            <w:tcW w:w="1120" w:type="dxa"/>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当年</w:t>
            </w:r>
          </w:p>
        </w:tc>
        <w:tc>
          <w:tcPr>
            <w:tcW w:w="881" w:type="dxa"/>
            <w:tcBorders>
              <w:top w:val="single" w:color="999999" w:sz="4" w:space="0"/>
              <w:left w:val="nil"/>
              <w:bottom w:val="single" w:color="999999" w:sz="4" w:space="0"/>
              <w:right w:val="single" w:color="auto" w:sz="4" w:space="0"/>
            </w:tcBorders>
            <w:vAlign w:val="center"/>
          </w:tcPr>
          <w:p>
            <w:pPr>
              <w:widowControl/>
              <w:snapToGrid w:val="0"/>
              <w:jc w:val="center"/>
              <w:rPr>
                <w:rFonts w:eastAsia="方正黑体_GBK"/>
                <w:sz w:val="24"/>
                <w:szCs w:val="24"/>
              </w:rPr>
            </w:pPr>
            <w:r>
              <w:rPr>
                <w:rFonts w:eastAsia="方正黑体_GBK"/>
                <w:sz w:val="24"/>
                <w:szCs w:val="24"/>
                <w:lang w:bidi="ar"/>
              </w:rPr>
              <w:t>去年同期</w:t>
            </w: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722" w:hRule="atLeast"/>
          <w:jc w:val="center"/>
        </w:trPr>
        <w:tc>
          <w:tcPr>
            <w:tcW w:w="1119" w:type="dxa"/>
            <w:tcBorders>
              <w:top w:val="single" w:color="999999"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p>
        </w:tc>
        <w:tc>
          <w:tcPr>
            <w:tcW w:w="1120" w:type="dxa"/>
            <w:gridSpan w:val="3"/>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1120" w:type="dxa"/>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1120" w:type="dxa"/>
            <w:gridSpan w:val="2"/>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1120" w:type="dxa"/>
            <w:gridSpan w:val="2"/>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1120" w:type="dxa"/>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1120" w:type="dxa"/>
            <w:tcBorders>
              <w:top w:val="single" w:color="999999" w:sz="4" w:space="0"/>
              <w:left w:val="nil"/>
              <w:bottom w:val="single" w:color="999999" w:sz="4" w:space="0"/>
              <w:right w:val="single" w:color="999999" w:sz="4" w:space="0"/>
            </w:tcBorders>
            <w:vAlign w:val="center"/>
          </w:tcPr>
          <w:p>
            <w:pPr>
              <w:widowControl/>
              <w:snapToGrid w:val="0"/>
              <w:jc w:val="center"/>
              <w:rPr>
                <w:rFonts w:eastAsia="仿宋_GB2312"/>
                <w:sz w:val="24"/>
                <w:szCs w:val="24"/>
              </w:rPr>
            </w:pPr>
          </w:p>
        </w:tc>
        <w:tc>
          <w:tcPr>
            <w:tcW w:w="881" w:type="dxa"/>
            <w:tcBorders>
              <w:top w:val="single" w:color="999999" w:sz="4" w:space="0"/>
              <w:left w:val="nil"/>
              <w:bottom w:val="single" w:color="999999" w:sz="4" w:space="0"/>
              <w:right w:val="single" w:color="auto" w:sz="4" w:space="0"/>
            </w:tcBorders>
            <w:vAlign w:val="center"/>
          </w:tcPr>
          <w:p>
            <w:pPr>
              <w:widowControl/>
              <w:snapToGrid w:val="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750" w:hRule="atLeast"/>
          <w:jc w:val="center"/>
        </w:trPr>
        <w:tc>
          <w:tcPr>
            <w:tcW w:w="1119" w:type="dxa"/>
            <w:tcBorders>
              <w:top w:val="single" w:color="999999"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申请资金</w:t>
            </w:r>
            <w:r>
              <w:rPr>
                <w:rFonts w:eastAsia="方正黑体_GBK"/>
                <w:sz w:val="24"/>
                <w:szCs w:val="24"/>
                <w:lang w:bidi="ar"/>
              </w:rPr>
              <w:br w:type="textWrapping"/>
            </w:r>
            <w:r>
              <w:rPr>
                <w:rFonts w:eastAsia="方正黑体_GBK"/>
                <w:sz w:val="24"/>
                <w:szCs w:val="24"/>
                <w:lang w:bidi="ar"/>
              </w:rPr>
              <w:t>项目类别</w:t>
            </w:r>
          </w:p>
        </w:tc>
        <w:tc>
          <w:tcPr>
            <w:tcW w:w="3360" w:type="dxa"/>
            <w:gridSpan w:val="6"/>
            <w:tcBorders>
              <w:top w:val="single" w:color="999999" w:sz="4" w:space="0"/>
              <w:left w:val="nil"/>
              <w:bottom w:val="single" w:color="999999" w:sz="4" w:space="0"/>
              <w:right w:val="single" w:color="999999" w:sz="4" w:space="0"/>
            </w:tcBorders>
            <w:vAlign w:val="center"/>
          </w:tcPr>
          <w:p>
            <w:pPr>
              <w:widowControl/>
              <w:snapToGrid w:val="0"/>
              <w:jc w:val="center"/>
              <w:rPr>
                <w:rFonts w:hint="eastAsia" w:ascii="方正仿宋_GBK"/>
                <w:sz w:val="24"/>
                <w:szCs w:val="24"/>
              </w:rPr>
            </w:pPr>
            <w:r>
              <w:rPr>
                <w:rFonts w:hint="eastAsia" w:ascii="方正仿宋_GBK"/>
                <w:sz w:val="24"/>
                <w:szCs w:val="24"/>
                <w:lang w:bidi="ar"/>
              </w:rPr>
              <w:t>例：支持企业加大研发投入</w:t>
            </w:r>
          </w:p>
        </w:tc>
        <w:tc>
          <w:tcPr>
            <w:tcW w:w="1120" w:type="dxa"/>
            <w:gridSpan w:val="2"/>
            <w:tcBorders>
              <w:top w:val="single" w:color="999999" w:sz="4" w:space="0"/>
              <w:left w:val="nil"/>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申请补</w:t>
            </w:r>
          </w:p>
          <w:p>
            <w:pPr>
              <w:widowControl/>
              <w:snapToGrid w:val="0"/>
              <w:jc w:val="center"/>
              <w:rPr>
                <w:rFonts w:eastAsia="方正黑体_GBK"/>
                <w:sz w:val="24"/>
                <w:szCs w:val="24"/>
              </w:rPr>
            </w:pPr>
            <w:r>
              <w:rPr>
                <w:rFonts w:eastAsia="方正黑体_GBK"/>
                <w:sz w:val="24"/>
                <w:szCs w:val="24"/>
                <w:lang w:bidi="ar"/>
              </w:rPr>
              <w:t>助金额</w:t>
            </w:r>
          </w:p>
        </w:tc>
        <w:tc>
          <w:tcPr>
            <w:tcW w:w="3121" w:type="dxa"/>
            <w:gridSpan w:val="3"/>
            <w:tcBorders>
              <w:top w:val="single" w:color="999999" w:sz="4" w:space="0"/>
              <w:left w:val="nil"/>
              <w:bottom w:val="single" w:color="999999" w:sz="4" w:space="0"/>
              <w:right w:val="single" w:color="auto" w:sz="4" w:space="0"/>
            </w:tcBorders>
            <w:vAlign w:val="center"/>
          </w:tcPr>
          <w:p>
            <w:pPr>
              <w:widowControl/>
              <w:snapToGrid w:val="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2015" w:hRule="atLeast"/>
          <w:jc w:val="center"/>
        </w:trPr>
        <w:tc>
          <w:tcPr>
            <w:tcW w:w="1119" w:type="dxa"/>
            <w:tcBorders>
              <w:top w:val="single" w:color="999999" w:sz="4" w:space="0"/>
              <w:left w:val="single" w:color="auto" w:sz="4" w:space="0"/>
              <w:bottom w:val="single" w:color="999999"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项目主要</w:t>
            </w:r>
            <w:r>
              <w:rPr>
                <w:rFonts w:eastAsia="方正黑体_GBK"/>
                <w:sz w:val="24"/>
                <w:szCs w:val="24"/>
                <w:lang w:bidi="ar"/>
              </w:rPr>
              <w:br w:type="textWrapping"/>
            </w:r>
            <w:r>
              <w:rPr>
                <w:rFonts w:eastAsia="方正黑体_GBK"/>
                <w:sz w:val="24"/>
                <w:szCs w:val="24"/>
                <w:lang w:bidi="ar"/>
              </w:rPr>
              <w:t>内容</w:t>
            </w:r>
          </w:p>
        </w:tc>
        <w:tc>
          <w:tcPr>
            <w:tcW w:w="7601" w:type="dxa"/>
            <w:gridSpan w:val="11"/>
            <w:tcBorders>
              <w:top w:val="single" w:color="999999" w:sz="4" w:space="0"/>
              <w:left w:val="nil"/>
              <w:bottom w:val="single" w:color="999999" w:sz="4" w:space="0"/>
              <w:right w:val="single" w:color="auto" w:sz="4" w:space="0"/>
            </w:tcBorders>
            <w:vAlign w:val="center"/>
          </w:tcPr>
          <w:p>
            <w:pPr>
              <w:widowControl/>
              <w:snapToGrid w:val="0"/>
              <w:jc w:val="center"/>
              <w:rPr>
                <w:rFonts w:hint="eastAsia" w:ascii="方正仿宋_GBK"/>
                <w:sz w:val="24"/>
                <w:szCs w:val="24"/>
              </w:rPr>
            </w:pPr>
            <w:r>
              <w:rPr>
                <w:rFonts w:hint="eastAsia" w:ascii="方正仿宋_GBK"/>
                <w:sz w:val="24"/>
                <w:szCs w:val="24"/>
                <w:lang w:bidi="ar"/>
              </w:rPr>
              <w:t>（根据申请资金项目类别简述企业该项目的情况）</w:t>
            </w:r>
          </w:p>
          <w:p>
            <w:pPr>
              <w:widowControl/>
              <w:snapToGrid w:val="0"/>
              <w:jc w:val="center"/>
              <w:rPr>
                <w:rFonts w:hint="eastAsia" w:ascii="方正仿宋_GBK"/>
                <w:sz w:val="24"/>
                <w:szCs w:val="24"/>
              </w:rPr>
            </w:pPr>
          </w:p>
          <w:p>
            <w:pPr>
              <w:widowControl/>
              <w:snapToGrid w:val="0"/>
              <w:jc w:val="center"/>
              <w:rPr>
                <w:rFonts w:hint="eastAsia" w:ascii="方正仿宋_GBK"/>
                <w:sz w:val="24"/>
                <w:szCs w:val="24"/>
              </w:rPr>
            </w:pPr>
          </w:p>
          <w:p>
            <w:pPr>
              <w:widowControl/>
              <w:snapToGrid w:val="0"/>
              <w:jc w:val="center"/>
              <w:rPr>
                <w:rFonts w:hint="eastAsia" w:ascii="方正仿宋_GBK"/>
                <w:sz w:val="24"/>
                <w:szCs w:val="24"/>
              </w:rPr>
            </w:pPr>
          </w:p>
          <w:p>
            <w:pPr>
              <w:pStyle w:val="5"/>
              <w:spacing w:after="120" w:afterAutospacing="0"/>
              <w:jc w:val="both"/>
              <w:rPr>
                <w:rFonts w:ascii="Times New Roman" w:hAnsi="Times New Roman" w:eastAsia="仿宋_GB2312"/>
                <w:kern w:val="2"/>
              </w:rPr>
            </w:pPr>
          </w:p>
        </w:tc>
      </w:tr>
      <w:tr>
        <w:tblPrEx>
          <w:tblBorders>
            <w:top w:val="single" w:color="auto" w:sz="4" w:space="0"/>
            <w:left w:val="single" w:color="auto" w:sz="4" w:space="0"/>
            <w:bottom w:val="single" w:color="auto" w:sz="4" w:space="0"/>
            <w:right w:val="single" w:color="auto" w:sz="4" w:space="0"/>
            <w:insideH w:val="single" w:color="999999" w:sz="4" w:space="0"/>
            <w:insideV w:val="single" w:color="999999" w:sz="4" w:space="0"/>
          </w:tblBorders>
          <w:tblCellMar>
            <w:top w:w="0" w:type="dxa"/>
            <w:left w:w="28" w:type="dxa"/>
            <w:bottom w:w="0" w:type="dxa"/>
            <w:right w:w="28" w:type="dxa"/>
          </w:tblCellMar>
        </w:tblPrEx>
        <w:trPr>
          <w:trHeight w:val="2109" w:hRule="atLeast"/>
          <w:jc w:val="center"/>
        </w:trPr>
        <w:tc>
          <w:tcPr>
            <w:tcW w:w="1119" w:type="dxa"/>
            <w:tcBorders>
              <w:top w:val="single" w:color="999999" w:sz="4" w:space="0"/>
              <w:left w:val="single" w:color="auto" w:sz="4" w:space="0"/>
              <w:bottom w:val="single" w:color="auto" w:sz="4" w:space="0"/>
              <w:right w:val="single" w:color="999999" w:sz="4" w:space="0"/>
            </w:tcBorders>
            <w:vAlign w:val="center"/>
          </w:tcPr>
          <w:p>
            <w:pPr>
              <w:widowControl/>
              <w:snapToGrid w:val="0"/>
              <w:jc w:val="center"/>
              <w:rPr>
                <w:rFonts w:eastAsia="方正黑体_GBK"/>
                <w:sz w:val="24"/>
                <w:szCs w:val="24"/>
              </w:rPr>
            </w:pPr>
            <w:r>
              <w:rPr>
                <w:rFonts w:eastAsia="方正黑体_GBK"/>
                <w:sz w:val="24"/>
                <w:szCs w:val="24"/>
                <w:lang w:bidi="ar"/>
              </w:rPr>
              <w:t>主管部门</w:t>
            </w:r>
            <w:r>
              <w:rPr>
                <w:rFonts w:eastAsia="方正黑体_GBK"/>
                <w:sz w:val="24"/>
                <w:szCs w:val="24"/>
                <w:lang w:bidi="ar"/>
              </w:rPr>
              <w:br w:type="textWrapping"/>
            </w:r>
            <w:r>
              <w:rPr>
                <w:rFonts w:eastAsia="方正黑体_GBK"/>
                <w:sz w:val="24"/>
                <w:szCs w:val="24"/>
                <w:lang w:bidi="ar"/>
              </w:rPr>
              <w:t>审查意见</w:t>
            </w:r>
          </w:p>
        </w:tc>
        <w:tc>
          <w:tcPr>
            <w:tcW w:w="7601" w:type="dxa"/>
            <w:gridSpan w:val="11"/>
            <w:tcBorders>
              <w:top w:val="single" w:color="999999" w:sz="4" w:space="0"/>
              <w:left w:val="nil"/>
              <w:bottom w:val="single" w:color="auto" w:sz="4" w:space="0"/>
              <w:right w:val="single" w:color="auto" w:sz="4" w:space="0"/>
            </w:tcBorders>
            <w:vAlign w:val="bottom"/>
          </w:tcPr>
          <w:p>
            <w:pPr>
              <w:widowControl/>
              <w:snapToGrid w:val="0"/>
              <w:jc w:val="center"/>
              <w:rPr>
                <w:sz w:val="24"/>
                <w:szCs w:val="24"/>
              </w:rPr>
            </w:pPr>
          </w:p>
          <w:p>
            <w:pPr>
              <w:widowControl/>
              <w:snapToGrid w:val="0"/>
              <w:jc w:val="center"/>
              <w:rPr>
                <w:sz w:val="24"/>
                <w:szCs w:val="24"/>
              </w:rPr>
            </w:pPr>
          </w:p>
          <w:p>
            <w:pPr>
              <w:widowControl/>
              <w:snapToGrid w:val="0"/>
              <w:jc w:val="center"/>
              <w:rPr>
                <w:sz w:val="24"/>
                <w:szCs w:val="24"/>
              </w:rPr>
            </w:pPr>
          </w:p>
          <w:p>
            <w:pPr>
              <w:widowControl/>
              <w:snapToGrid w:val="0"/>
              <w:jc w:val="center"/>
              <w:rPr>
                <w:sz w:val="24"/>
                <w:szCs w:val="24"/>
              </w:rPr>
            </w:pPr>
          </w:p>
          <w:p>
            <w:pPr>
              <w:widowControl/>
              <w:snapToGrid w:val="0"/>
              <w:jc w:val="center"/>
              <w:rPr>
                <w:sz w:val="24"/>
                <w:szCs w:val="24"/>
              </w:rPr>
            </w:pPr>
            <w:r>
              <w:rPr>
                <w:sz w:val="24"/>
                <w:szCs w:val="24"/>
                <w:lang w:bidi="ar"/>
              </w:rPr>
              <w:t>（盖章）</w:t>
            </w:r>
          </w:p>
          <w:p>
            <w:pPr>
              <w:snapToGrid w:val="0"/>
              <w:jc w:val="center"/>
              <w:rPr>
                <w:sz w:val="24"/>
                <w:szCs w:val="24"/>
              </w:rPr>
            </w:pPr>
            <w:r>
              <w:rPr>
                <w:sz w:val="24"/>
                <w:szCs w:val="24"/>
                <w:lang w:bidi="ar"/>
              </w:rPr>
              <w:t>年  月  日</w:t>
            </w:r>
          </w:p>
        </w:tc>
      </w:tr>
    </w:tbl>
    <w:p>
      <w:pPr>
        <w:spacing w:line="560" w:lineRule="exact"/>
        <w:rPr>
          <w:rFonts w:hint="eastAsia" w:ascii="方正楷体_GBK" w:hAnsi="方正仿宋_GBK" w:eastAsia="方正楷体_GBK" w:cs="方正仿宋_GBK"/>
          <w:sz w:val="24"/>
          <w:szCs w:val="24"/>
          <w:lang w:bidi="ar"/>
        </w:rPr>
      </w:pPr>
      <w:r>
        <w:rPr>
          <w:rFonts w:hint="eastAsia" w:ascii="方正楷体_GBK" w:hAnsi="方正仿宋_GBK" w:eastAsia="方正楷体_GBK" w:cs="方正仿宋_GBK"/>
          <w:sz w:val="24"/>
          <w:szCs w:val="24"/>
          <w:lang w:bidi="ar"/>
        </w:rPr>
        <w:t>注：当年是指填报该表的上一年（例：</w:t>
      </w:r>
      <w:r>
        <w:rPr>
          <w:rFonts w:hint="eastAsia" w:ascii="方正楷体_GBK" w:eastAsia="方正楷体_GBK"/>
          <w:sz w:val="24"/>
          <w:szCs w:val="24"/>
          <w:lang w:bidi="ar"/>
        </w:rPr>
        <w:t>2022</w:t>
      </w:r>
      <w:r>
        <w:rPr>
          <w:rFonts w:hint="eastAsia" w:ascii="方正楷体_GBK" w:hAnsi="方正仿宋_GBK" w:eastAsia="方正楷体_GBK" w:cs="方正仿宋_GBK"/>
          <w:sz w:val="24"/>
          <w:szCs w:val="24"/>
          <w:lang w:bidi="ar"/>
        </w:rPr>
        <w:t>年</w:t>
      </w:r>
      <w:r>
        <w:rPr>
          <w:rFonts w:hint="eastAsia" w:ascii="方正楷体_GBK" w:eastAsia="方正楷体_GBK"/>
          <w:sz w:val="24"/>
          <w:szCs w:val="24"/>
          <w:lang w:bidi="ar"/>
        </w:rPr>
        <w:t>3</w:t>
      </w:r>
      <w:r>
        <w:rPr>
          <w:rFonts w:hint="eastAsia" w:ascii="方正楷体_GBK" w:hAnsi="方正仿宋_GBK" w:eastAsia="方正楷体_GBK" w:cs="方正仿宋_GBK"/>
          <w:sz w:val="24"/>
          <w:szCs w:val="24"/>
          <w:lang w:bidi="ar"/>
        </w:rPr>
        <w:t>月申报，则该表的当年指</w:t>
      </w:r>
      <w:r>
        <w:rPr>
          <w:rFonts w:hint="eastAsia" w:ascii="方正楷体_GBK" w:eastAsia="方正楷体_GBK"/>
          <w:sz w:val="24"/>
          <w:szCs w:val="24"/>
          <w:lang w:bidi="ar"/>
        </w:rPr>
        <w:t>2021</w:t>
      </w:r>
      <w:r>
        <w:rPr>
          <w:rFonts w:hint="eastAsia" w:ascii="方正楷体_GBK" w:hAnsi="方正仿宋_GBK" w:eastAsia="方正楷体_GBK" w:cs="方正仿宋_GBK"/>
          <w:sz w:val="24"/>
          <w:szCs w:val="24"/>
          <w:lang w:bidi="ar"/>
        </w:rPr>
        <w:t>年）</w:t>
      </w:r>
    </w:p>
    <w:p>
      <w:pPr>
        <w:rPr>
          <w:rFonts w:hint="eastAsia" w:ascii="方正仿宋_GBK" w:hAnsi="方正仿宋_GBK" w:cs="方正仿宋_GBK"/>
          <w:sz w:val="28"/>
          <w:szCs w:val="28"/>
          <w:lang w:bidi="ar"/>
        </w:rPr>
        <w:sectPr>
          <w:pgSz w:w="11906" w:h="16838"/>
          <w:pgMar w:top="2098" w:right="1474" w:bottom="1985" w:left="1588" w:header="851" w:footer="1474" w:gutter="0"/>
          <w:cols w:space="720" w:num="1"/>
          <w:docGrid w:type="linesAndChars" w:linePitch="579" w:charSpace="-849"/>
        </w:sect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rPr>
          <w:rFonts w:hint="eastAsia" w:ascii="方正仿宋_GBK" w:hAnsi="方正仿宋_GBK" w:cs="方正仿宋_GBK"/>
          <w:sz w:val="28"/>
          <w:szCs w:val="28"/>
          <w:lang w:bidi="ar"/>
        </w:rPr>
      </w:pPr>
    </w:p>
    <w:p>
      <w:pPr>
        <w:spacing w:after="463" w:afterLines="80"/>
        <w:rPr>
          <w:rFonts w:hint="eastAsia"/>
        </w:rPr>
      </w:pPr>
    </w:p>
    <w:p>
      <w:pPr>
        <w:spacing w:after="463" w:afterLines="80"/>
        <w:rPr>
          <w:rFonts w:hint="eastAsia"/>
        </w:rPr>
      </w:pPr>
    </w:p>
    <w:p>
      <w:pPr>
        <w:pBdr>
          <w:top w:val="single" w:color="auto" w:sz="8" w:space="1"/>
          <w:bottom w:val="single" w:color="auto" w:sz="8" w:space="1"/>
        </w:pBdr>
        <w:ind w:firstLine="276" w:firstLineChars="100"/>
      </w:pPr>
      <w:r>
        <w:rPr>
          <w:sz w:val="28"/>
          <w:szCs w:val="28"/>
        </w:rPr>
        <w:t xml:space="preserve">重庆市荣昌区经济和信息化委员会       </w:t>
      </w:r>
      <w:r>
        <w:rPr>
          <w:rFonts w:hint="eastAsia"/>
          <w:sz w:val="28"/>
          <w:szCs w:val="28"/>
        </w:rPr>
        <w:t xml:space="preserve">   </w:t>
      </w:r>
      <w:r>
        <w:rPr>
          <w:sz w:val="28"/>
          <w:szCs w:val="28"/>
        </w:rPr>
        <w:t xml:space="preserve">  202</w:t>
      </w:r>
      <w:r>
        <w:rPr>
          <w:rFonts w:hint="eastAsia"/>
          <w:sz w:val="28"/>
          <w:szCs w:val="28"/>
        </w:rPr>
        <w:t>2</w:t>
      </w:r>
      <w:r>
        <w:rPr>
          <w:sz w:val="28"/>
          <w:szCs w:val="28"/>
        </w:rPr>
        <w:t>年1月</w:t>
      </w:r>
      <w:r>
        <w:rPr>
          <w:rFonts w:hint="eastAsia"/>
          <w:sz w:val="28"/>
          <w:szCs w:val="28"/>
        </w:rPr>
        <w:t>7</w:t>
      </w:r>
      <w:r>
        <w:rPr>
          <w:sz w:val="28"/>
          <w:szCs w:val="28"/>
        </w:rPr>
        <w:t>日印发</w:t>
      </w:r>
    </w:p>
    <w:sectPr>
      <w:footerReference r:id="rId5" w:type="default"/>
      <w:footerReference r:id="rId6" w:type="even"/>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8240" behindDoc="0" locked="0" layoutInCell="1" allowOverlap="1">
              <wp:simplePos x="0" y="0"/>
              <wp:positionH relativeFrom="margin">
                <wp:posOffset>4812665</wp:posOffset>
              </wp:positionH>
              <wp:positionV relativeFrom="paragraph">
                <wp:posOffset>0</wp:posOffset>
              </wp:positionV>
              <wp:extent cx="622935" cy="23114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22935" cy="231140"/>
                      </a:xfrm>
                      <a:prstGeom prst="rect">
                        <a:avLst/>
                      </a:prstGeom>
                      <a:noFill/>
                      <a:ln w="9525">
                        <a:noFill/>
                      </a:ln>
                    </wps:spPr>
                    <wps:txbx>
                      <w:txbxContent>
                        <w:p>
                          <w:pPr>
                            <w:pStyle w:val="4"/>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15</w:t>
                          </w:r>
                          <w:r>
                            <w:rPr>
                              <w:rFonts w:ascii="宋体" w:hAnsi="宋体" w:eastAsia="宋体"/>
                              <w:sz w:val="28"/>
                              <w:szCs w:val="28"/>
                            </w:rPr>
                            <w:fldChar w:fldCharType="end"/>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w:t>
                          </w:r>
                          <w:r>
                            <w:rPr>
                              <w:rFonts w:hint="eastAsia" w:ascii="宋体" w:hAnsi="宋体" w:eastAsia="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left:378.95pt;margin-top:0pt;height:18.2pt;width:49.05pt;mso-position-horizontal-relative:margin;mso-wrap-style:none;z-index:251658240;mso-width-relative:page;mso-height-relative:page;" filled="f" stroked="f" coordsize="21600,21600" o:gfxdata="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DRG0J3TAAAABwEAAA8AAAAAAAAAAQAgAAAA&#10;OAAAAGRycy9kb3ducmV2LnhtbFBLAQIUABQAAAAIAIdO4kA+484uwQEAAFkDAAAOAAAAAAAAAAEA&#10;IAAAADgBAABkcnMvZTJvRG9jLnhtbFBLBQYAAAAABgAGAFkBAABrBQAAAAA=&#10;">
              <v:fill on="f" focussize="0,0"/>
              <v:stroke on="f"/>
              <v:imagedata o:title=""/>
              <o:lock v:ext="edit" aspectratio="f"/>
              <v:textbox inset="0mm,0mm,0mm,0mm" style="mso-fit-shape-to-text:t;">
                <w:txbxContent>
                  <w:p>
                    <w:pPr>
                      <w:pStyle w:val="4"/>
                      <w:rPr>
                        <w:rFonts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15</w:t>
                    </w:r>
                    <w:r>
                      <w:rPr>
                        <w:rFonts w:ascii="宋体" w:hAnsi="宋体" w:eastAsia="宋体"/>
                        <w:sz w:val="28"/>
                        <w:szCs w:val="28"/>
                      </w:rPr>
                      <w:fldChar w:fldCharType="end"/>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w:t>
                    </w:r>
                    <w:r>
                      <w:rPr>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-26035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ind w:right="360" w:firstLine="360"/>
                            <w:jc w:val="right"/>
                          </w:pPr>
                          <w:r>
                            <w:rPr>
                              <w:rStyle w:val="8"/>
                              <w:rFonts w:hint="eastAsia" w:ascii="宋体" w:hAnsi="宋体" w:eastAsia="宋体"/>
                              <w:color w:val="000000"/>
                              <w:sz w:val="28"/>
                            </w:rPr>
                            <w:t>—</w:t>
                          </w:r>
                          <w:r>
                            <w:rPr>
                              <w:rFonts w:ascii="宋体" w:hAnsi="宋体" w:eastAsia="宋体"/>
                              <w:color w:val="000000"/>
                              <w:kern w:val="0"/>
                              <w:sz w:val="28"/>
                            </w:rPr>
                            <w:t xml:space="preserve"> </w:t>
                          </w:r>
                          <w:r>
                            <w:rPr>
                              <w:rFonts w:ascii="宋体" w:hAnsi="宋体" w:eastAsia="宋体"/>
                              <w:color w:val="000000"/>
                              <w:kern w:val="0"/>
                              <w:sz w:val="28"/>
                            </w:rPr>
                            <w:fldChar w:fldCharType="begin"/>
                          </w:r>
                          <w:r>
                            <w:rPr>
                              <w:rFonts w:ascii="宋体" w:hAnsi="宋体" w:eastAsia="宋体"/>
                              <w:color w:val="000000"/>
                              <w:kern w:val="0"/>
                              <w:sz w:val="28"/>
                            </w:rPr>
                            <w:instrText xml:space="preserve"> PAGE </w:instrText>
                          </w:r>
                          <w:r>
                            <w:rPr>
                              <w:rFonts w:ascii="宋体" w:hAnsi="宋体" w:eastAsia="宋体"/>
                              <w:color w:val="000000"/>
                              <w:kern w:val="0"/>
                              <w:sz w:val="28"/>
                            </w:rPr>
                            <w:fldChar w:fldCharType="separate"/>
                          </w:r>
                          <w:r>
                            <w:rPr>
                              <w:rFonts w:ascii="宋体" w:hAnsi="宋体" w:eastAsia="宋体"/>
                              <w:color w:val="000000"/>
                              <w:kern w:val="0"/>
                              <w:sz w:val="28"/>
                            </w:rPr>
                            <w:t>14</w:t>
                          </w:r>
                          <w:r>
                            <w:rPr>
                              <w:rFonts w:ascii="宋体" w:hAnsi="宋体" w:eastAsia="宋体"/>
                              <w:color w:val="000000"/>
                              <w:kern w:val="0"/>
                              <w:sz w:val="28"/>
                            </w:rPr>
                            <w:fldChar w:fldCharType="end"/>
                          </w:r>
                          <w:r>
                            <w:rPr>
                              <w:rFonts w:ascii="宋体" w:hAnsi="宋体" w:eastAsia="宋体"/>
                              <w:color w:val="000000"/>
                              <w:kern w:val="0"/>
                              <w:sz w:val="28"/>
                            </w:rPr>
                            <w:t xml:space="preserve"> </w:t>
                          </w:r>
                          <w:r>
                            <w:rPr>
                              <w:rFonts w:hint="eastAsia" w:ascii="宋体" w:hAnsi="宋体" w:eastAsia="宋体"/>
                              <w:color w:val="000000"/>
                              <w:kern w:val="0"/>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left:-2.0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nUG/ztMAAAAHAQAADwAAAAAAAAABACAAAAA4AAAA&#10;ZHJzL2Rvd25yZXYueG1sUEsBAhQAFAAAAAgAh07iQIBPR069AQAAWwMAAA4AAAAAAAAAAQAgAAAA&#10;OAEAAGRycy9lMm9Eb2MueG1sUEsFBgAAAAAGAAYAWQEAAGcFAAAAAA==&#10;">
              <v:fill on="f" focussize="0,0"/>
              <v:stroke on="f"/>
              <v:imagedata o:title=""/>
              <o:lock v:ext="edit" aspectratio="f"/>
              <v:textbox inset="0mm,0mm,0mm,0mm" style="mso-fit-shape-to-text:t;">
                <w:txbxContent>
                  <w:p>
                    <w:pPr>
                      <w:pStyle w:val="4"/>
                      <w:ind w:right="360" w:firstLine="360"/>
                      <w:jc w:val="right"/>
                    </w:pPr>
                    <w:r>
                      <w:rPr>
                        <w:rStyle w:val="8"/>
                        <w:rFonts w:hint="eastAsia" w:ascii="宋体" w:hAnsi="宋体" w:eastAsia="宋体"/>
                        <w:color w:val="000000"/>
                        <w:sz w:val="28"/>
                      </w:rPr>
                      <w:t>—</w:t>
                    </w:r>
                    <w:r>
                      <w:rPr>
                        <w:rFonts w:ascii="宋体" w:hAnsi="宋体" w:eastAsia="宋体"/>
                        <w:color w:val="000000"/>
                        <w:kern w:val="0"/>
                        <w:sz w:val="28"/>
                      </w:rPr>
                      <w:t xml:space="preserve"> </w:t>
                    </w:r>
                    <w:r>
                      <w:rPr>
                        <w:rFonts w:ascii="宋体" w:hAnsi="宋体" w:eastAsia="宋体"/>
                        <w:color w:val="000000"/>
                        <w:kern w:val="0"/>
                        <w:sz w:val="28"/>
                      </w:rPr>
                      <w:fldChar w:fldCharType="begin"/>
                    </w:r>
                    <w:r>
                      <w:rPr>
                        <w:rFonts w:ascii="宋体" w:hAnsi="宋体" w:eastAsia="宋体"/>
                        <w:color w:val="000000"/>
                        <w:kern w:val="0"/>
                        <w:sz w:val="28"/>
                      </w:rPr>
                      <w:instrText xml:space="preserve"> PAGE </w:instrText>
                    </w:r>
                    <w:r>
                      <w:rPr>
                        <w:rFonts w:ascii="宋体" w:hAnsi="宋体" w:eastAsia="宋体"/>
                        <w:color w:val="000000"/>
                        <w:kern w:val="0"/>
                        <w:sz w:val="28"/>
                      </w:rPr>
                      <w:fldChar w:fldCharType="separate"/>
                    </w:r>
                    <w:r>
                      <w:rPr>
                        <w:rFonts w:ascii="宋体" w:hAnsi="宋体" w:eastAsia="宋体"/>
                        <w:color w:val="000000"/>
                        <w:kern w:val="0"/>
                        <w:sz w:val="28"/>
                      </w:rPr>
                      <w:t>14</w:t>
                    </w:r>
                    <w:r>
                      <w:rPr>
                        <w:rFonts w:ascii="宋体" w:hAnsi="宋体" w:eastAsia="宋体"/>
                        <w:color w:val="000000"/>
                        <w:kern w:val="0"/>
                        <w:sz w:val="28"/>
                      </w:rPr>
                      <w:fldChar w:fldCharType="end"/>
                    </w:r>
                    <w:r>
                      <w:rPr>
                        <w:rFonts w:ascii="宋体" w:hAnsi="宋体" w:eastAsia="宋体"/>
                        <w:color w:val="000000"/>
                        <w:kern w:val="0"/>
                        <w:sz w:val="28"/>
                      </w:rPr>
                      <w:t xml:space="preserve"> </w:t>
                    </w:r>
                    <w:r>
                      <w:rPr>
                        <w:rFonts w:hint="eastAsia" w:ascii="宋体" w:hAnsi="宋体" w:eastAsia="宋体"/>
                        <w:color w:val="000000"/>
                        <w:kern w:val="0"/>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41BA5"/>
    <w:rsid w:val="10CE339C"/>
    <w:rsid w:val="1ED972D7"/>
    <w:rsid w:val="20C312BE"/>
    <w:rsid w:val="4DD13813"/>
    <w:rsid w:val="58B407AA"/>
    <w:rsid w:val="594647C6"/>
    <w:rsid w:val="7D516F35"/>
    <w:rsid w:val="BC4C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sz w:val="21"/>
      <w:szCs w:val="24"/>
    </w:rPr>
  </w:style>
  <w:style w:type="paragraph" w:styleId="3">
    <w:name w:val="index 7"/>
    <w:basedOn w:val="1"/>
    <w:next w:val="1"/>
    <w:qFormat/>
    <w:uiPriority w:val="0"/>
    <w:pPr>
      <w:spacing w:before="100" w:beforeAutospacing="1" w:after="100" w:afterAutospacing="1"/>
      <w:ind w:left="2520"/>
    </w:pPr>
    <w:rPr>
      <w:rFonts w:ascii="Calibri" w:hAnsi="Calibri" w:eastAsia="宋体" w:cs="Calibri"/>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rFonts w:ascii="Calibri" w:hAnsi="Calibri" w:eastAsia="宋体"/>
      <w:kern w:val="0"/>
      <w:sz w:val="24"/>
      <w:szCs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guest</cp:lastModifiedBy>
  <cp:lastPrinted>2025-11-11T08:52:00Z</cp:lastPrinted>
  <dcterms:modified xsi:type="dcterms:W3CDTF">2025-11-14T14:58:48Z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