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spacing w:beforeAutospacing="0" w:afterAutospacing="0" w:line="540" w:lineRule="exact"/>
        <w:ind w:firstLine="880" w:firstLineChars="200"/>
        <w:jc w:val="center"/>
        <w:rPr>
          <w:rFonts w:hint="eastAsia" w:ascii="方正小标宋_GBK" w:hAnsi="方正小标宋_GBK" w:eastAsia="方正小标宋_GBK" w:cs="方正小标宋_GBK"/>
          <w:sz w:val="44"/>
          <w:szCs w:val="44"/>
        </w:rPr>
      </w:pPr>
    </w:p>
    <w:p>
      <w:pPr>
        <w:pStyle w:val="8"/>
        <w:widowControl/>
        <w:shd w:val="clear" w:color="auto" w:fill="FFFFFF"/>
        <w:spacing w:beforeAutospacing="0" w:afterAutospacing="0" w:line="540" w:lineRule="exact"/>
        <w:ind w:firstLine="880" w:firstLineChars="200"/>
        <w:jc w:val="center"/>
        <w:rPr>
          <w:rFonts w:ascii="方正小标宋_GBK" w:hAnsi="方正小标宋_GBK" w:eastAsia="方正小标宋_GBK" w:cs="方正小标宋_GBK"/>
          <w:sz w:val="44"/>
          <w:szCs w:val="44"/>
        </w:rPr>
      </w:pPr>
    </w:p>
    <w:p>
      <w:p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重庆市荣昌区经济和信息化委员会</w:t>
      </w:r>
    </w:p>
    <w:p>
      <w:pPr>
        <w:spacing w:line="640" w:lineRule="exact"/>
        <w:jc w:val="center"/>
        <w:rPr>
          <w:rFonts w:ascii="方正小标宋_GBK" w:eastAsia="方正小标宋_GBK"/>
          <w:sz w:val="44"/>
          <w:szCs w:val="44"/>
        </w:rPr>
      </w:pPr>
      <w:r>
        <w:rPr>
          <w:rFonts w:hint="eastAsia" w:ascii="方正小标宋_GBK" w:hAnsi="方正小标宋_GBK" w:eastAsia="方正小标宋_GBK" w:cs="方正小标宋_GBK"/>
          <w:sz w:val="44"/>
          <w:szCs w:val="44"/>
        </w:rPr>
        <w:t>关于印发《</w:t>
      </w:r>
      <w:r>
        <w:rPr>
          <w:rFonts w:hint="eastAsia" w:ascii="方正小标宋_GBK" w:eastAsia="方正小标宋_GBK"/>
          <w:sz w:val="44"/>
          <w:szCs w:val="44"/>
        </w:rPr>
        <w:t>荣昌区工业和信息化重点实验室</w:t>
      </w:r>
    </w:p>
    <w:p>
      <w:pPr>
        <w:spacing w:line="640" w:lineRule="exact"/>
        <w:jc w:val="center"/>
        <w:rPr>
          <w:rFonts w:ascii="方正小标宋_GBK" w:hAnsi="方正小标宋_GBK" w:eastAsia="方正小标宋_GBK" w:cs="方正小标宋_GBK"/>
          <w:sz w:val="44"/>
          <w:szCs w:val="44"/>
        </w:rPr>
      </w:pPr>
      <w:r>
        <w:rPr>
          <w:rFonts w:hint="eastAsia" w:ascii="方正小标宋_GBK" w:eastAsia="方正小标宋_GBK"/>
          <w:sz w:val="44"/>
          <w:szCs w:val="44"/>
        </w:rPr>
        <w:t>管理暂行办法</w:t>
      </w:r>
      <w:r>
        <w:rPr>
          <w:rFonts w:hint="eastAsia" w:ascii="方正小标宋_GBK" w:hAnsi="方正小标宋_GBK" w:eastAsia="方正小标宋_GBK" w:cs="方正小标宋_GBK"/>
          <w:sz w:val="44"/>
          <w:szCs w:val="44"/>
        </w:rPr>
        <w:t>》的通知</w:t>
      </w:r>
    </w:p>
    <w:p>
      <w:pPr>
        <w:pStyle w:val="8"/>
        <w:widowControl/>
        <w:shd w:val="clear" w:color="auto" w:fill="FFFFFF"/>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荣经信发〔2021〕44号</w:t>
      </w:r>
    </w:p>
    <w:p>
      <w:pPr>
        <w:pStyle w:val="8"/>
        <w:widowControl/>
        <w:shd w:val="clear" w:color="auto" w:fill="FFFFFF"/>
        <w:spacing w:beforeAutospacing="0" w:afterAutospacing="0" w:line="540" w:lineRule="exact"/>
        <w:ind w:firstLine="480" w:firstLineChars="200"/>
      </w:pPr>
    </w:p>
    <w:p>
      <w:pPr>
        <w:pStyle w:val="4"/>
        <w:snapToGrid w:val="0"/>
        <w:spacing w:line="600" w:lineRule="atLeast"/>
        <w:rPr>
          <w:rFonts w:eastAsia="方正仿宋_GBK"/>
          <w:color w:val="333333"/>
          <w:sz w:val="32"/>
          <w:szCs w:val="32"/>
        </w:rPr>
      </w:pPr>
      <w:r>
        <w:rPr>
          <w:rFonts w:hint="eastAsia" w:eastAsia="方正仿宋_GBK"/>
          <w:color w:val="333333"/>
          <w:sz w:val="32"/>
          <w:szCs w:val="32"/>
        </w:rPr>
        <w:t>各镇人民政府，各街道办事处，区科技局、荣昌高新区管委会，各有关单位：</w:t>
      </w:r>
    </w:p>
    <w:p>
      <w:pPr>
        <w:pStyle w:val="4"/>
        <w:snapToGrid w:val="0"/>
        <w:spacing w:line="600" w:lineRule="atLeast"/>
        <w:ind w:firstLine="640"/>
        <w:rPr>
          <w:rFonts w:eastAsia="方正仿宋_GBK"/>
          <w:color w:val="333333"/>
          <w:sz w:val="32"/>
          <w:szCs w:val="32"/>
        </w:rPr>
      </w:pPr>
      <w:r>
        <w:rPr>
          <w:rFonts w:hint="eastAsia" w:eastAsia="方正仿宋_GBK"/>
          <w:color w:val="333333"/>
          <w:sz w:val="32"/>
          <w:szCs w:val="32"/>
        </w:rPr>
        <w:t>为深入贯彻实施创新驱动</w:t>
      </w:r>
      <w:r>
        <w:rPr>
          <w:rFonts w:hint="eastAsia" w:eastAsia="方正仿宋_GBK"/>
          <w:color w:val="333333"/>
          <w:sz w:val="32"/>
          <w:szCs w:val="32"/>
          <w:lang w:eastAsia="zh-CN"/>
        </w:rPr>
        <w:t>发展</w:t>
      </w:r>
      <w:r>
        <w:rPr>
          <w:rFonts w:hint="eastAsia" w:eastAsia="方正仿宋_GBK"/>
          <w:color w:val="333333"/>
          <w:sz w:val="32"/>
          <w:szCs w:val="32"/>
        </w:rPr>
        <w:t>战略，加强全区产业技术研发平台建设，提升工业和信息化领域创新能力，根据《重庆市工业和信息化重点实验室管理暂行办法》（渝经信发〔2015〕19号），结合我区实际，重新制定了《荣昌区工业和信息化重点实验室管理暂行办法》，现印发给你们，请遵照执行。原《荣昌区工业和信息化重点实验室管理暂行办法》（荣经信发〔2020〕43号）同时废止。</w:t>
      </w:r>
      <w:r>
        <w:rPr>
          <w:rFonts w:eastAsia="方正仿宋_GBK"/>
          <w:color w:val="333333"/>
          <w:sz w:val="32"/>
          <w:szCs w:val="32"/>
        </w:rPr>
        <w:t xml:space="preserve"> </w:t>
      </w:r>
    </w:p>
    <w:p>
      <w:pPr>
        <w:pStyle w:val="4"/>
        <w:snapToGrid w:val="0"/>
        <w:spacing w:line="600" w:lineRule="atLeast"/>
        <w:ind w:firstLine="3680" w:firstLineChars="1150"/>
        <w:rPr>
          <w:rFonts w:hint="eastAsia" w:eastAsia="方正仿宋_GBK"/>
          <w:color w:val="333333"/>
          <w:sz w:val="32"/>
          <w:szCs w:val="32"/>
        </w:rPr>
      </w:pPr>
    </w:p>
    <w:p>
      <w:pPr>
        <w:pStyle w:val="4"/>
        <w:snapToGrid w:val="0"/>
        <w:spacing w:line="600" w:lineRule="atLeast"/>
        <w:ind w:firstLine="3680" w:firstLineChars="1150"/>
        <w:rPr>
          <w:rFonts w:eastAsia="方正仿宋_GBK"/>
          <w:color w:val="333333"/>
          <w:sz w:val="32"/>
          <w:szCs w:val="32"/>
        </w:rPr>
      </w:pPr>
      <w:r>
        <w:rPr>
          <w:rFonts w:eastAsia="方正仿宋_GBK"/>
          <w:color w:val="333333"/>
          <w:sz w:val="32"/>
          <w:szCs w:val="32"/>
        </w:rPr>
        <w:t xml:space="preserve"> 重庆市荣昌区经济和信息化委员会 </w:t>
      </w:r>
    </w:p>
    <w:p>
      <w:pPr>
        <w:pStyle w:val="4"/>
        <w:snapToGrid w:val="0"/>
        <w:spacing w:line="600" w:lineRule="atLeast"/>
        <w:ind w:firstLine="640"/>
        <w:rPr>
          <w:rFonts w:eastAsia="方正仿宋_GBK"/>
          <w:color w:val="333333"/>
          <w:sz w:val="32"/>
          <w:szCs w:val="32"/>
        </w:rPr>
      </w:pPr>
      <w:r>
        <w:rPr>
          <w:rFonts w:eastAsia="方正仿宋_GBK"/>
          <w:color w:val="333333"/>
          <w:sz w:val="32"/>
          <w:szCs w:val="32"/>
        </w:rPr>
        <w:t xml:space="preserve">                            202</w:t>
      </w:r>
      <w:r>
        <w:rPr>
          <w:rFonts w:hint="eastAsia" w:eastAsia="方正仿宋_GBK"/>
          <w:color w:val="333333"/>
          <w:sz w:val="32"/>
          <w:szCs w:val="32"/>
        </w:rPr>
        <w:t>1</w:t>
      </w:r>
      <w:r>
        <w:rPr>
          <w:rFonts w:eastAsia="方正仿宋_GBK"/>
          <w:color w:val="333333"/>
          <w:sz w:val="32"/>
          <w:szCs w:val="32"/>
        </w:rPr>
        <w:t>年</w:t>
      </w:r>
      <w:r>
        <w:rPr>
          <w:rFonts w:hint="eastAsia" w:eastAsia="方正仿宋_GBK"/>
          <w:color w:val="333333"/>
          <w:sz w:val="32"/>
          <w:szCs w:val="32"/>
        </w:rPr>
        <w:t>7</w:t>
      </w:r>
      <w:r>
        <w:rPr>
          <w:rFonts w:eastAsia="方正仿宋_GBK"/>
          <w:color w:val="333333"/>
          <w:sz w:val="32"/>
          <w:szCs w:val="32"/>
        </w:rPr>
        <w:t>月</w:t>
      </w:r>
      <w:r>
        <w:rPr>
          <w:rFonts w:hint="eastAsia" w:eastAsia="方正仿宋_GBK"/>
          <w:color w:val="333333"/>
          <w:sz w:val="32"/>
          <w:szCs w:val="32"/>
        </w:rPr>
        <w:t>8</w:t>
      </w:r>
      <w:r>
        <w:rPr>
          <w:rFonts w:eastAsia="方正仿宋_GBK"/>
          <w:color w:val="333333"/>
          <w:sz w:val="32"/>
          <w:szCs w:val="32"/>
        </w:rPr>
        <w:t>日</w:t>
      </w:r>
    </w:p>
    <w:p>
      <w:pPr>
        <w:pStyle w:val="8"/>
        <w:widowControl/>
        <w:shd w:val="clear" w:color="auto" w:fill="FFFFFF"/>
        <w:spacing w:beforeAutospacing="0" w:afterAutospacing="0" w:line="600" w:lineRule="exact"/>
        <w:ind w:firstLine="640" w:firstLineChars="200"/>
        <w:rPr>
          <w:rFonts w:hint="eastAsia" w:ascii="方正小标宋_GBK" w:hAnsi="黑体" w:eastAsia="方正小标宋_GBK" w:cs="宋体"/>
          <w:color w:val="000000"/>
          <w:sz w:val="44"/>
          <w:szCs w:val="44"/>
        </w:rPr>
      </w:pPr>
      <w:r>
        <w:rPr>
          <w:rFonts w:hint="eastAsia" w:ascii="方正仿宋_GBK" w:hAnsi="方正仿宋_GBK" w:eastAsia="方正仿宋_GBK" w:cs="方正仿宋_GBK"/>
          <w:sz w:val="32"/>
          <w:szCs w:val="32"/>
        </w:rPr>
        <w:t>（此件公开发布）</w:t>
      </w:r>
    </w:p>
    <w:p>
      <w:pPr>
        <w:widowControl/>
        <w:shd w:val="clear" w:color="auto" w:fill="FFFFFF"/>
        <w:adjustRightInd w:val="0"/>
        <w:snapToGrid w:val="0"/>
        <w:spacing w:line="560" w:lineRule="exact"/>
        <w:jc w:val="center"/>
        <w:rPr>
          <w:rFonts w:hint="eastAsia" w:ascii="方正小标宋_GBK" w:hAnsi="黑体" w:eastAsia="方正小标宋_GBK" w:cs="宋体"/>
          <w:color w:val="000000"/>
          <w:kern w:val="0"/>
          <w:sz w:val="44"/>
          <w:szCs w:val="44"/>
        </w:rPr>
      </w:pPr>
    </w:p>
    <w:p>
      <w:pPr>
        <w:widowControl/>
        <w:shd w:val="clear" w:color="auto" w:fill="FFFFFF"/>
        <w:adjustRightInd w:val="0"/>
        <w:snapToGrid w:val="0"/>
        <w:spacing w:line="560" w:lineRule="exact"/>
        <w:jc w:val="center"/>
        <w:rPr>
          <w:rFonts w:ascii="方正小标宋_GBK" w:hAnsi="黑体" w:eastAsia="方正小标宋_GBK" w:cs="宋体"/>
          <w:color w:val="000000"/>
          <w:kern w:val="0"/>
          <w:sz w:val="44"/>
          <w:szCs w:val="44"/>
        </w:rPr>
      </w:pPr>
      <w:r>
        <w:rPr>
          <w:rFonts w:hint="eastAsia" w:ascii="方正小标宋_GBK" w:hAnsi="黑体" w:eastAsia="方正小标宋_GBK" w:cs="宋体"/>
          <w:color w:val="000000"/>
          <w:kern w:val="0"/>
          <w:sz w:val="44"/>
          <w:szCs w:val="44"/>
        </w:rPr>
        <w:t>荣昌区工业和信息化重点实验室管理</w:t>
      </w:r>
    </w:p>
    <w:p>
      <w:pPr>
        <w:widowControl/>
        <w:shd w:val="clear" w:color="auto" w:fill="FFFFFF"/>
        <w:adjustRightInd w:val="0"/>
        <w:snapToGrid w:val="0"/>
        <w:spacing w:line="560" w:lineRule="exact"/>
        <w:jc w:val="center"/>
        <w:rPr>
          <w:rFonts w:ascii="方正小标宋_GBK" w:hAnsi="宋体" w:eastAsia="方正小标宋_GBK" w:cs="宋体"/>
          <w:color w:val="000000"/>
          <w:kern w:val="0"/>
          <w:sz w:val="44"/>
          <w:szCs w:val="44"/>
        </w:rPr>
      </w:pPr>
      <w:r>
        <w:rPr>
          <w:rFonts w:hint="eastAsia" w:ascii="方正小标宋_GBK" w:hAnsi="黑体" w:eastAsia="方正小标宋_GBK" w:cs="宋体"/>
          <w:color w:val="000000"/>
          <w:kern w:val="0"/>
          <w:sz w:val="44"/>
          <w:szCs w:val="44"/>
        </w:rPr>
        <w:t>暂行办法</w:t>
      </w:r>
    </w:p>
    <w:p>
      <w:pPr>
        <w:widowControl/>
        <w:shd w:val="clear" w:color="auto" w:fill="FFFFFF"/>
        <w:adjustRightInd w:val="0"/>
        <w:snapToGrid w:val="0"/>
        <w:spacing w:line="560" w:lineRule="exact"/>
        <w:jc w:val="center"/>
        <w:rPr>
          <w:rFonts w:ascii="方正黑体_GBK" w:hAnsi="黑体" w:eastAsia="方正黑体_GBK" w:cs="宋体"/>
          <w:color w:val="000000"/>
          <w:kern w:val="0"/>
          <w:sz w:val="32"/>
          <w:szCs w:val="32"/>
        </w:rPr>
      </w:pPr>
    </w:p>
    <w:p>
      <w:pPr>
        <w:widowControl/>
        <w:shd w:val="clear" w:color="auto" w:fill="FFFFFF"/>
        <w:adjustRightInd w:val="0"/>
        <w:snapToGrid w:val="0"/>
        <w:spacing w:line="560" w:lineRule="exact"/>
        <w:jc w:val="center"/>
        <w:rPr>
          <w:rFonts w:ascii="方正黑体_GBK" w:hAnsi="宋体" w:eastAsia="方正黑体_GBK" w:cs="Calibri"/>
          <w:color w:val="000000"/>
          <w:kern w:val="0"/>
          <w:sz w:val="32"/>
          <w:szCs w:val="32"/>
        </w:rPr>
      </w:pPr>
      <w:r>
        <w:rPr>
          <w:rFonts w:hint="eastAsia" w:ascii="方正黑体_GBK" w:hAnsi="黑体" w:eastAsia="方正黑体_GBK" w:cs="宋体"/>
          <w:color w:val="000000"/>
          <w:kern w:val="0"/>
          <w:sz w:val="32"/>
          <w:szCs w:val="32"/>
        </w:rPr>
        <w:t>第一章</w:t>
      </w:r>
      <w:r>
        <w:rPr>
          <w:rFonts w:hint="eastAsia" w:ascii="方正黑体_GBK" w:hAnsi="宋体" w:eastAsia="方正黑体_GBK" w:cs="Times New Roman"/>
          <w:color w:val="000000"/>
          <w:kern w:val="0"/>
          <w:sz w:val="32"/>
          <w:szCs w:val="32"/>
        </w:rPr>
        <w:t xml:space="preserve">  </w:t>
      </w:r>
      <w:r>
        <w:rPr>
          <w:rFonts w:hint="eastAsia" w:ascii="方正黑体_GBK" w:hAnsi="黑体" w:eastAsia="方正黑体_GBK" w:cs="宋体"/>
          <w:color w:val="000000"/>
          <w:kern w:val="0"/>
          <w:sz w:val="32"/>
          <w:szCs w:val="32"/>
        </w:rPr>
        <w:t>总</w:t>
      </w:r>
      <w:r>
        <w:rPr>
          <w:rFonts w:hint="eastAsia" w:ascii="方正黑体_GBK" w:hAnsi="宋体" w:eastAsia="方正黑体_GBK" w:cs="宋体"/>
          <w:color w:val="000000"/>
          <w:kern w:val="0"/>
          <w:sz w:val="32"/>
          <w:szCs w:val="32"/>
        </w:rPr>
        <w:t xml:space="preserve">  </w:t>
      </w:r>
      <w:r>
        <w:rPr>
          <w:rFonts w:hint="eastAsia" w:ascii="方正黑体_GBK" w:hAnsi="黑体" w:eastAsia="方正黑体_GBK" w:cs="宋体"/>
          <w:color w:val="000000"/>
          <w:kern w:val="0"/>
          <w:sz w:val="32"/>
          <w:szCs w:val="32"/>
        </w:rPr>
        <w:t>则</w:t>
      </w:r>
    </w:p>
    <w:p>
      <w:pPr>
        <w:widowControl/>
        <w:shd w:val="clear" w:color="auto" w:fill="FFFFFF"/>
        <w:adjustRightInd w:val="0"/>
        <w:snapToGrid w:val="0"/>
        <w:spacing w:line="560" w:lineRule="exact"/>
        <w:ind w:firstLine="640" w:firstLineChars="200"/>
        <w:jc w:val="left"/>
        <w:rPr>
          <w:rFonts w:ascii="方正仿宋_GBK" w:hAnsi="Calibri" w:eastAsia="方正仿宋_GBK" w:cs="Times New Roman"/>
          <w:color w:val="000000"/>
          <w:kern w:val="0"/>
          <w:sz w:val="32"/>
          <w:szCs w:val="32"/>
        </w:rPr>
      </w:pPr>
      <w:r>
        <w:rPr>
          <w:rFonts w:hint="eastAsia" w:ascii="方正楷体_GBK" w:hAnsi="黑体" w:eastAsia="方正楷体_GBK" w:cs="宋体"/>
          <w:kern w:val="0"/>
          <w:sz w:val="32"/>
          <w:szCs w:val="32"/>
        </w:rPr>
        <w:t>第一条</w:t>
      </w:r>
      <w:r>
        <w:rPr>
          <w:rFonts w:hint="eastAsia" w:ascii="宋体" w:hAnsi="宋体" w:eastAsia="方正仿宋简体" w:cs="Times New Roman"/>
          <w:kern w:val="0"/>
          <w:sz w:val="32"/>
          <w:szCs w:val="32"/>
        </w:rPr>
        <w:t xml:space="preserve">  </w:t>
      </w:r>
      <w:r>
        <w:rPr>
          <w:rFonts w:hint="eastAsia" w:ascii="方正仿宋_GBK" w:hAnsi="Times New Roman" w:eastAsia="方正仿宋_GBK" w:cs="Times New Roman"/>
          <w:color w:val="000000"/>
          <w:kern w:val="0"/>
          <w:sz w:val="32"/>
          <w:szCs w:val="32"/>
        </w:rPr>
        <w:t>为大力推进实施创新驱动发展战略，提升产业技术开发实力，规范和加强荣昌区工业和信息化重点实验室（以下简称重点实验室）的建设与管理，根据《重庆市工业和信息化重点实验室管理暂行办法》（渝经信发〔2015〕19号），结合荣昌实际，特制定本办法。</w:t>
      </w:r>
    </w:p>
    <w:p>
      <w:pPr>
        <w:widowControl/>
        <w:shd w:val="clear" w:color="auto" w:fill="FFFFFF"/>
        <w:adjustRightInd w:val="0"/>
        <w:snapToGrid w:val="0"/>
        <w:spacing w:line="560" w:lineRule="exact"/>
        <w:ind w:firstLine="640" w:firstLineChars="200"/>
        <w:jc w:val="left"/>
        <w:rPr>
          <w:rFonts w:ascii="方正仿宋_GBK" w:hAnsi="Times New Roman" w:eastAsia="方正仿宋_GBK" w:cs="Times New Roman"/>
          <w:color w:val="000000"/>
          <w:kern w:val="0"/>
          <w:sz w:val="32"/>
          <w:szCs w:val="32"/>
        </w:rPr>
      </w:pPr>
      <w:r>
        <w:rPr>
          <w:rFonts w:hint="eastAsia" w:ascii="方正楷体_GBK" w:hAnsi="黑体" w:eastAsia="方正楷体_GBK" w:cs="宋体"/>
          <w:kern w:val="0"/>
          <w:sz w:val="32"/>
          <w:szCs w:val="32"/>
        </w:rPr>
        <w:t>第二条</w:t>
      </w:r>
      <w:r>
        <w:rPr>
          <w:rFonts w:hint="eastAsia" w:ascii="Times New Roman" w:hAnsi="宋体" w:eastAsia="黑体" w:cs="宋体"/>
          <w:kern w:val="0"/>
          <w:sz w:val="32"/>
          <w:szCs w:val="32"/>
        </w:rPr>
        <w:t xml:space="preserve">  </w:t>
      </w:r>
      <w:r>
        <w:rPr>
          <w:rFonts w:hint="eastAsia" w:ascii="方正仿宋_GBK" w:hAnsi="Times New Roman" w:eastAsia="方正仿宋_GBK" w:cs="Times New Roman"/>
          <w:color w:val="000000"/>
          <w:kern w:val="0"/>
          <w:sz w:val="32"/>
          <w:szCs w:val="32"/>
        </w:rPr>
        <w:t>重点实验室是工业和信息化领域技术创新体系的重要组成部分，是开展高水平研发活动、聚集和培养优秀科研技术人才、进行专业技术交流和促进科技成果产业化的重要基地。</w:t>
      </w:r>
    </w:p>
    <w:p>
      <w:pPr>
        <w:widowControl/>
        <w:shd w:val="clear" w:color="auto" w:fill="FFFFFF"/>
        <w:adjustRightInd w:val="0"/>
        <w:snapToGrid w:val="0"/>
        <w:spacing w:line="560" w:lineRule="exact"/>
        <w:ind w:firstLine="640" w:firstLineChars="200"/>
        <w:jc w:val="left"/>
        <w:rPr>
          <w:rFonts w:ascii="方正仿宋_GBK" w:hAnsi="Times New Roman" w:eastAsia="方正仿宋_GBK" w:cs="Times New Roman"/>
          <w:color w:val="000000"/>
          <w:kern w:val="0"/>
          <w:sz w:val="32"/>
          <w:szCs w:val="32"/>
        </w:rPr>
      </w:pPr>
      <w:r>
        <w:rPr>
          <w:rFonts w:hint="eastAsia" w:ascii="方正楷体_GBK" w:hAnsi="黑体" w:eastAsia="方正楷体_GBK" w:cs="宋体"/>
          <w:kern w:val="0"/>
          <w:sz w:val="32"/>
          <w:szCs w:val="32"/>
        </w:rPr>
        <w:t>第三条</w:t>
      </w:r>
      <w:r>
        <w:rPr>
          <w:rFonts w:hint="eastAsia" w:ascii="方正仿宋简体" w:hAnsi="方正仿宋简体" w:eastAsia="方正仿宋简体" w:cs="宋体"/>
          <w:kern w:val="0"/>
          <w:sz w:val="32"/>
          <w:szCs w:val="32"/>
        </w:rPr>
        <w:t xml:space="preserve">  </w:t>
      </w:r>
      <w:r>
        <w:rPr>
          <w:rFonts w:hint="eastAsia" w:ascii="方正仿宋_GBK" w:hAnsi="Times New Roman" w:eastAsia="方正仿宋_GBK" w:cs="Times New Roman"/>
          <w:color w:val="000000"/>
          <w:kern w:val="0"/>
          <w:sz w:val="32"/>
          <w:szCs w:val="32"/>
        </w:rPr>
        <w:t>重点实验室的主要任务是围绕全区工业和信息化领域发展战略目标，开展前沿技术、应用基础研究和重大关键技术、产业共性技术的创新性研究，探索人才培育、技术产业化的创新模式，解决工业和信息化领域行业发展中的技术难题，提高工业和信息化领域创新能力，完善制造业创新体系，支撑工业转型升级，推动工业化和信息化深度融合。</w:t>
      </w:r>
    </w:p>
    <w:p>
      <w:pPr>
        <w:widowControl/>
        <w:shd w:val="clear" w:color="auto" w:fill="FFFFFF"/>
        <w:adjustRightInd w:val="0"/>
        <w:snapToGrid w:val="0"/>
        <w:spacing w:line="560" w:lineRule="exact"/>
        <w:ind w:firstLine="640" w:firstLineChars="200"/>
        <w:jc w:val="left"/>
        <w:rPr>
          <w:rFonts w:ascii="方正仿宋_GBK" w:hAnsi="Times New Roman" w:eastAsia="方正仿宋_GBK" w:cs="Times New Roman"/>
          <w:color w:val="000000"/>
          <w:kern w:val="0"/>
          <w:sz w:val="32"/>
          <w:szCs w:val="32"/>
        </w:rPr>
      </w:pPr>
      <w:r>
        <w:rPr>
          <w:rFonts w:hint="eastAsia" w:ascii="方正楷体_GBK" w:hAnsi="黑体" w:eastAsia="方正楷体_GBK" w:cs="宋体"/>
          <w:kern w:val="0"/>
          <w:sz w:val="32"/>
          <w:szCs w:val="32"/>
        </w:rPr>
        <w:t>第四条</w:t>
      </w:r>
      <w:r>
        <w:rPr>
          <w:rFonts w:hint="eastAsia" w:ascii="Times New Roman" w:hAnsi="宋体" w:eastAsia="黑体" w:cs="宋体"/>
          <w:kern w:val="0"/>
          <w:sz w:val="32"/>
          <w:szCs w:val="32"/>
        </w:rPr>
        <w:t xml:space="preserve"> </w:t>
      </w:r>
      <w:r>
        <w:rPr>
          <w:rFonts w:hint="eastAsia" w:ascii="Times New Roman" w:hAnsi="宋体" w:eastAsia="黑体" w:cs="宋体"/>
          <w:color w:val="000000"/>
          <w:kern w:val="0"/>
          <w:sz w:val="32"/>
          <w:szCs w:val="32"/>
        </w:rPr>
        <w:t xml:space="preserve"> </w:t>
      </w:r>
      <w:r>
        <w:rPr>
          <w:rFonts w:hint="eastAsia" w:ascii="方正仿宋_GBK" w:hAnsi="Times New Roman" w:eastAsia="方正仿宋_GBK" w:cs="Times New Roman"/>
          <w:color w:val="000000"/>
          <w:kern w:val="0"/>
          <w:sz w:val="32"/>
          <w:szCs w:val="32"/>
        </w:rPr>
        <w:t>重点实验室主要依托具有行业技术创新优势的企业（以下简称依托单位）进行建设和管理。实行人财物相对独立的管理机制。</w:t>
      </w:r>
    </w:p>
    <w:p>
      <w:pPr>
        <w:widowControl/>
        <w:shd w:val="clear" w:color="auto" w:fill="FFFFFF"/>
        <w:adjustRightInd w:val="0"/>
        <w:snapToGrid w:val="0"/>
        <w:spacing w:line="560" w:lineRule="exact"/>
        <w:jc w:val="center"/>
        <w:rPr>
          <w:rFonts w:ascii="方正黑体_GBK" w:hAnsi="宋体" w:eastAsia="方正黑体_GBK" w:cs="Times New Roman"/>
          <w:kern w:val="0"/>
          <w:sz w:val="32"/>
          <w:szCs w:val="32"/>
        </w:rPr>
      </w:pPr>
      <w:r>
        <w:rPr>
          <w:rFonts w:hint="eastAsia" w:ascii="方正黑体_GBK" w:hAnsi="黑体" w:eastAsia="方正黑体_GBK" w:cs="宋体"/>
          <w:kern w:val="0"/>
          <w:sz w:val="32"/>
          <w:szCs w:val="32"/>
        </w:rPr>
        <w:t>第二章</w:t>
      </w:r>
      <w:r>
        <w:rPr>
          <w:rFonts w:hint="eastAsia" w:ascii="方正黑体_GBK" w:hAnsi="宋体" w:eastAsia="方正黑体_GBK" w:cs="Times New Roman"/>
          <w:kern w:val="0"/>
          <w:sz w:val="32"/>
          <w:szCs w:val="32"/>
        </w:rPr>
        <w:t xml:space="preserve"> </w:t>
      </w:r>
      <w:r>
        <w:rPr>
          <w:rFonts w:hint="eastAsia" w:ascii="方正黑体_GBK" w:hAnsi="黑体" w:eastAsia="方正黑体_GBK" w:cs="宋体"/>
          <w:kern w:val="0"/>
          <w:sz w:val="32"/>
          <w:szCs w:val="32"/>
        </w:rPr>
        <w:t>管理职责</w:t>
      </w:r>
    </w:p>
    <w:p>
      <w:pPr>
        <w:widowControl/>
        <w:shd w:val="clear" w:color="auto" w:fill="FFFFFF"/>
        <w:adjustRightInd w:val="0"/>
        <w:snapToGrid w:val="0"/>
        <w:spacing w:line="560" w:lineRule="exact"/>
        <w:ind w:firstLine="640" w:firstLineChars="200"/>
        <w:jc w:val="left"/>
        <w:rPr>
          <w:rFonts w:ascii="仿宋_GB2312" w:hAnsi="宋体" w:eastAsia="仿宋_GB2312" w:cs="宋体"/>
          <w:kern w:val="0"/>
          <w:sz w:val="32"/>
          <w:szCs w:val="32"/>
        </w:rPr>
      </w:pPr>
      <w:r>
        <w:rPr>
          <w:rFonts w:hint="eastAsia" w:ascii="方正楷体_GBK" w:hAnsi="黑体" w:eastAsia="方正楷体_GBK" w:cs="宋体"/>
          <w:kern w:val="0"/>
          <w:sz w:val="32"/>
          <w:szCs w:val="32"/>
        </w:rPr>
        <w:t>第五条</w:t>
      </w:r>
      <w:r>
        <w:rPr>
          <w:rFonts w:hint="eastAsia" w:ascii="Times New Roman" w:hAnsi="宋体" w:eastAsia="黑体" w:cs="宋体"/>
          <w:color w:val="FF0000"/>
          <w:kern w:val="0"/>
          <w:sz w:val="32"/>
          <w:szCs w:val="32"/>
        </w:rPr>
        <w:t xml:space="preserve">  </w:t>
      </w:r>
      <w:r>
        <w:rPr>
          <w:rFonts w:hint="eastAsia" w:ascii="方正仿宋_GBK" w:hAnsi="Times New Roman" w:eastAsia="方正仿宋_GBK" w:cs="Times New Roman"/>
          <w:color w:val="000000"/>
          <w:kern w:val="0"/>
          <w:sz w:val="32"/>
          <w:szCs w:val="32"/>
        </w:rPr>
        <w:t>重庆市荣昌区经济和信息化委员会（以下简称区经济信息委）负责荣昌区重点实验室的认定工作。区经济信息委牵头对重点实验室的运行与管理进行宏观指导，负责重点实验室认定的具体组织工作和评估管理工作,并组织符合条件的重点实验室向重庆市经济和信息化委员会申请认定市级重点实验室。</w:t>
      </w:r>
    </w:p>
    <w:p>
      <w:pPr>
        <w:widowControl/>
        <w:shd w:val="clear" w:color="auto" w:fill="FFFFFF"/>
        <w:adjustRightInd w:val="0"/>
        <w:snapToGrid w:val="0"/>
        <w:spacing w:line="560" w:lineRule="exact"/>
        <w:ind w:firstLine="640" w:firstLineChars="200"/>
        <w:jc w:val="left"/>
        <w:outlineLvl w:val="0"/>
        <w:rPr>
          <w:rFonts w:ascii="仿宋_GB2312" w:hAnsi="宋体" w:eastAsia="仿宋_GB2312" w:cs="宋体"/>
          <w:color w:val="FF0000"/>
          <w:kern w:val="0"/>
          <w:sz w:val="32"/>
          <w:szCs w:val="32"/>
        </w:rPr>
      </w:pPr>
      <w:r>
        <w:rPr>
          <w:rFonts w:hint="eastAsia" w:ascii="方正楷体_GBK" w:hAnsi="黑体" w:eastAsia="方正楷体_GBK" w:cs="宋体"/>
          <w:kern w:val="0"/>
          <w:sz w:val="32"/>
          <w:szCs w:val="32"/>
        </w:rPr>
        <w:t>第六条</w:t>
      </w:r>
      <w:r>
        <w:rPr>
          <w:rFonts w:hint="eastAsia" w:ascii="Times New Roman" w:hAnsi="宋体" w:eastAsia="黑体" w:cs="宋体"/>
          <w:kern w:val="0"/>
          <w:sz w:val="32"/>
          <w:szCs w:val="32"/>
        </w:rPr>
        <w:t xml:space="preserve">  </w:t>
      </w:r>
      <w:r>
        <w:rPr>
          <w:rFonts w:hint="eastAsia" w:ascii="方正仿宋_GBK" w:hAnsi="Times New Roman" w:eastAsia="方正仿宋_GBK" w:cs="Times New Roman"/>
          <w:color w:val="000000"/>
          <w:kern w:val="0"/>
          <w:sz w:val="32"/>
          <w:szCs w:val="32"/>
        </w:rPr>
        <w:t>依托单位是重点实验室建设和运行管理的具体负责单位，提出重点实验室名称，确定重点实验室的组织结构、发展目标、任务和研究重点等；聘任重点实验室主任、副主任；为重点实验室提供相应的建设经费、运行经费及其他必需的配套条件和后勤保障；负责对重点实验室进行年度考核，协助区经济信息委做好重点实验室的评估等工作。</w:t>
      </w:r>
    </w:p>
    <w:p>
      <w:pPr>
        <w:widowControl/>
        <w:shd w:val="clear" w:color="auto" w:fill="FFFFFF"/>
        <w:adjustRightInd w:val="0"/>
        <w:snapToGrid w:val="0"/>
        <w:spacing w:line="560" w:lineRule="exact"/>
        <w:jc w:val="center"/>
        <w:rPr>
          <w:rFonts w:ascii="方正黑体_GBK" w:hAnsi="宋体" w:eastAsia="方正黑体_GBK" w:cs="宋体"/>
          <w:kern w:val="0"/>
          <w:sz w:val="32"/>
          <w:szCs w:val="32"/>
        </w:rPr>
      </w:pPr>
      <w:r>
        <w:rPr>
          <w:rFonts w:hint="eastAsia" w:ascii="方正黑体_GBK" w:hAnsi="黑体" w:eastAsia="方正黑体_GBK" w:cs="宋体"/>
          <w:kern w:val="0"/>
          <w:sz w:val="32"/>
          <w:szCs w:val="32"/>
        </w:rPr>
        <w:t>第三章</w:t>
      </w:r>
      <w:r>
        <w:rPr>
          <w:rFonts w:hint="eastAsia" w:ascii="方正黑体_GBK" w:hAnsi="宋体" w:eastAsia="方正黑体_GBK" w:cs="Times New Roman"/>
          <w:kern w:val="0"/>
          <w:sz w:val="32"/>
          <w:szCs w:val="32"/>
        </w:rPr>
        <w:t xml:space="preserve"> </w:t>
      </w:r>
      <w:r>
        <w:rPr>
          <w:rFonts w:hint="eastAsia" w:ascii="方正黑体_GBK" w:hAnsi="黑体" w:eastAsia="方正黑体_GBK" w:cs="宋体"/>
          <w:kern w:val="0"/>
          <w:sz w:val="32"/>
          <w:szCs w:val="32"/>
        </w:rPr>
        <w:t>申请与条件</w:t>
      </w:r>
    </w:p>
    <w:p>
      <w:pPr>
        <w:autoSpaceDE w:val="0"/>
        <w:spacing w:line="560" w:lineRule="exact"/>
        <w:ind w:firstLine="640" w:firstLineChars="200"/>
        <w:rPr>
          <w:rFonts w:ascii="方正仿宋_GBK" w:hAnsi="Calibri" w:eastAsia="方正仿宋_GBK" w:cs="Calibri"/>
          <w:color w:val="000000"/>
          <w:kern w:val="0"/>
          <w:sz w:val="32"/>
          <w:szCs w:val="32"/>
        </w:rPr>
      </w:pPr>
      <w:r>
        <w:rPr>
          <w:rFonts w:hint="eastAsia" w:ascii="方正楷体_GBK" w:hAnsi="黑体" w:eastAsia="方正楷体_GBK" w:cs="宋体"/>
          <w:kern w:val="0"/>
          <w:sz w:val="32"/>
          <w:szCs w:val="32"/>
        </w:rPr>
        <w:t>第七条</w:t>
      </w:r>
      <w:r>
        <w:rPr>
          <w:rFonts w:hint="eastAsia" w:ascii="Times New Roman" w:hAnsi="宋体" w:eastAsia="黑体" w:cs="宋体"/>
          <w:kern w:val="0"/>
          <w:sz w:val="32"/>
          <w:szCs w:val="32"/>
        </w:rPr>
        <w:t xml:space="preserve">  </w:t>
      </w:r>
      <w:r>
        <w:rPr>
          <w:rFonts w:hint="eastAsia" w:ascii="方正仿宋_GBK" w:hAnsi="Times New Roman" w:eastAsia="方正仿宋_GBK" w:cs="Times New Roman"/>
          <w:color w:val="000000"/>
          <w:kern w:val="0"/>
          <w:sz w:val="32"/>
          <w:szCs w:val="32"/>
        </w:rPr>
        <w:t>申请重点实验室应具备以下基本条件：</w:t>
      </w:r>
    </w:p>
    <w:p>
      <w:pPr>
        <w:autoSpaceDE w:val="0"/>
        <w:spacing w:line="560" w:lineRule="exact"/>
        <w:ind w:firstLine="640" w:firstLineChars="200"/>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（一）依托单位必须具有独立法人资格；</w:t>
      </w:r>
    </w:p>
    <w:p>
      <w:pPr>
        <w:autoSpaceDE w:val="0"/>
        <w:spacing w:line="560" w:lineRule="exact"/>
        <w:ind w:firstLine="640" w:firstLineChars="200"/>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（二）有明确的建设发展规划，研究方向符合全区产业技术发展战略目标，有比较充足的科研经费，管理制度健全，运行良好；</w:t>
      </w:r>
    </w:p>
    <w:p>
      <w:pPr>
        <w:autoSpaceDE w:val="0"/>
        <w:spacing w:line="560" w:lineRule="exact"/>
        <w:ind w:firstLine="640" w:firstLineChars="200"/>
        <w:rPr>
          <w:rFonts w:ascii="仿宋_GB2312" w:hAnsi="宋体" w:eastAsia="仿宋_GB2312" w:cs="宋体"/>
          <w:kern w:val="0"/>
          <w:sz w:val="32"/>
          <w:szCs w:val="32"/>
        </w:rPr>
      </w:pPr>
      <w:r>
        <w:rPr>
          <w:rFonts w:hint="eastAsia" w:ascii="方正仿宋_GBK" w:hAnsi="Times New Roman" w:eastAsia="方正仿宋_GBK" w:cs="Times New Roman"/>
          <w:color w:val="000000"/>
          <w:kern w:val="0"/>
          <w:sz w:val="32"/>
          <w:szCs w:val="32"/>
        </w:rPr>
        <w:t>（三）具备良好的实验场所（实验室相对集中，面积原则上不低于100㎡），拥有与研究方向相匹配的科学研究试验设备、仪器装备及配套设施等（其中仪器设备原值一般不低于50万元）；</w:t>
      </w:r>
    </w:p>
    <w:p>
      <w:pPr>
        <w:autoSpaceDE w:val="0"/>
        <w:spacing w:line="560" w:lineRule="exact"/>
        <w:ind w:firstLine="640" w:firstLineChars="200"/>
        <w:rPr>
          <w:rFonts w:ascii="方正仿宋_GBK" w:hAnsi="Calibri" w:eastAsia="方正仿宋_GBK" w:cs="Calibri"/>
          <w:color w:val="000000"/>
          <w:kern w:val="0"/>
          <w:sz w:val="32"/>
          <w:szCs w:val="32"/>
        </w:rPr>
      </w:pPr>
      <w:r>
        <w:rPr>
          <w:rFonts w:hint="eastAsia" w:ascii="方正仿宋_GBK" w:hAnsi="Times New Roman" w:eastAsia="方正仿宋_GBK" w:cs="Times New Roman"/>
          <w:color w:val="000000"/>
          <w:kern w:val="0"/>
          <w:sz w:val="32"/>
          <w:szCs w:val="32"/>
        </w:rPr>
        <w:t>（四）拥有技术水平较高、组织能力较强、在本研究领域具有一定知名度的技术带头人和一支研发能力较强、年龄与知识结构较为合理的研究开发团队；</w:t>
      </w:r>
    </w:p>
    <w:p>
      <w:pPr>
        <w:autoSpaceDE w:val="0"/>
        <w:spacing w:line="560" w:lineRule="exact"/>
        <w:ind w:firstLine="640" w:firstLineChars="200"/>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（五）技术水平和研发能力在本区或行业内领先，取得过较高水平的新技术新产品研发成果和较好的经济效益，有培养高级研发人才的能力，具备承担市级重大技术创新项目的能力和条件；</w:t>
      </w:r>
    </w:p>
    <w:p>
      <w:pPr>
        <w:autoSpaceDE w:val="0"/>
        <w:spacing w:line="560" w:lineRule="exact"/>
        <w:ind w:firstLine="640" w:firstLineChars="200"/>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（六）依托单位具有跟踪相关领域新技术、支撑开发产品领先技术的能力；</w:t>
      </w:r>
    </w:p>
    <w:p>
      <w:pPr>
        <w:autoSpaceDE w:val="0"/>
        <w:spacing w:line="560" w:lineRule="exact"/>
        <w:ind w:firstLine="640" w:firstLineChars="200"/>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（七）依托单位对重点实验室的研究成果具有较强的转化及应用推广能力。</w:t>
      </w:r>
    </w:p>
    <w:p>
      <w:pPr>
        <w:autoSpaceDE w:val="0"/>
        <w:spacing w:line="560" w:lineRule="exact"/>
        <w:ind w:firstLine="640" w:firstLineChars="200"/>
        <w:rPr>
          <w:rFonts w:ascii="方正仿宋_GBK" w:hAnsi="Times New Roman" w:eastAsia="方正仿宋_GBK" w:cs="Times New Roman"/>
          <w:color w:val="000000"/>
          <w:kern w:val="0"/>
          <w:sz w:val="32"/>
          <w:szCs w:val="32"/>
        </w:rPr>
      </w:pPr>
      <w:r>
        <w:rPr>
          <w:rFonts w:hint="eastAsia" w:ascii="方正楷体_GBK" w:hAnsi="黑体" w:eastAsia="方正楷体_GBK" w:cs="宋体"/>
          <w:kern w:val="0"/>
          <w:sz w:val="32"/>
          <w:szCs w:val="32"/>
        </w:rPr>
        <w:t>第八条</w:t>
      </w:r>
      <w:r>
        <w:rPr>
          <w:rFonts w:hint="eastAsia" w:ascii="Times New Roman" w:hAnsi="宋体" w:eastAsia="黑体" w:cs="宋体"/>
          <w:kern w:val="0"/>
          <w:sz w:val="32"/>
          <w:szCs w:val="32"/>
        </w:rPr>
        <w:t xml:space="preserve">  </w:t>
      </w:r>
      <w:r>
        <w:rPr>
          <w:rFonts w:hint="eastAsia" w:ascii="方正仿宋_GBK" w:hAnsi="Times New Roman" w:eastAsia="方正仿宋_GBK" w:cs="Times New Roman"/>
          <w:color w:val="000000"/>
          <w:kern w:val="0"/>
          <w:sz w:val="32"/>
          <w:szCs w:val="32"/>
        </w:rPr>
        <w:t>具备重点实验室基本条件并符合认定通知要求的实验室，其依托单位可在规定时间内将相关材料报送区经济信息委。一个依托单位可以申请不同研究领域的多个重点实验室，但必须方向明确且独立运行。</w:t>
      </w:r>
    </w:p>
    <w:p>
      <w:pPr>
        <w:widowControl/>
        <w:shd w:val="clear" w:color="auto" w:fill="FFFFFF"/>
        <w:adjustRightInd w:val="0"/>
        <w:snapToGrid w:val="0"/>
        <w:spacing w:line="560" w:lineRule="exact"/>
        <w:ind w:firstLine="640" w:firstLineChars="200"/>
        <w:jc w:val="left"/>
        <w:rPr>
          <w:rFonts w:ascii="方正仿宋_GBK" w:hAnsi="Times New Roman" w:eastAsia="方正仿宋_GBK" w:cs="Times New Roman"/>
          <w:color w:val="000000"/>
          <w:kern w:val="0"/>
          <w:sz w:val="32"/>
          <w:szCs w:val="32"/>
        </w:rPr>
      </w:pPr>
      <w:r>
        <w:rPr>
          <w:rFonts w:hint="eastAsia" w:ascii="方正楷体_GBK" w:hAnsi="黑体" w:eastAsia="方正楷体_GBK" w:cs="宋体"/>
          <w:kern w:val="0"/>
          <w:sz w:val="32"/>
          <w:szCs w:val="32"/>
        </w:rPr>
        <w:t>第九条</w:t>
      </w:r>
      <w:r>
        <w:rPr>
          <w:rFonts w:hint="eastAsia" w:ascii="Times New Roman" w:hAnsi="宋体" w:eastAsia="黑体" w:cs="宋体"/>
          <w:kern w:val="0"/>
          <w:sz w:val="32"/>
          <w:szCs w:val="32"/>
        </w:rPr>
        <w:t xml:space="preserve"> </w:t>
      </w:r>
      <w:r>
        <w:rPr>
          <w:rFonts w:hint="eastAsia" w:ascii="Times New Roman" w:hAnsi="宋体" w:eastAsia="方正仿宋简体" w:cs="宋体"/>
          <w:kern w:val="0"/>
          <w:sz w:val="32"/>
          <w:szCs w:val="32"/>
        </w:rPr>
        <w:t xml:space="preserve"> </w:t>
      </w:r>
      <w:r>
        <w:rPr>
          <w:rFonts w:hint="eastAsia" w:ascii="方正仿宋_GBK" w:hAnsi="Times New Roman" w:eastAsia="方正仿宋_GBK" w:cs="Times New Roman"/>
          <w:color w:val="000000"/>
          <w:kern w:val="0"/>
          <w:sz w:val="32"/>
          <w:szCs w:val="32"/>
        </w:rPr>
        <w:t>鼓励企业、高等院校、科研院所、社会投资机构以产学研结合、多元化投入等方式联合申请建立重点实验室。多单位联合组建重点实验室的，需签订组建协议书，明确各自权利、义务，并以企业为依托单位。</w:t>
      </w:r>
    </w:p>
    <w:p>
      <w:pPr>
        <w:widowControl/>
        <w:shd w:val="clear" w:color="auto" w:fill="FFFFFF"/>
        <w:adjustRightInd w:val="0"/>
        <w:snapToGrid w:val="0"/>
        <w:spacing w:line="560" w:lineRule="exact"/>
        <w:ind w:firstLine="640" w:firstLineChars="200"/>
        <w:jc w:val="left"/>
        <w:rPr>
          <w:rFonts w:ascii="方正仿宋_GBK" w:hAnsi="Times New Roman" w:eastAsia="方正仿宋_GBK" w:cs="Times New Roman"/>
          <w:color w:val="000000"/>
          <w:kern w:val="0"/>
          <w:sz w:val="32"/>
          <w:szCs w:val="32"/>
        </w:rPr>
      </w:pPr>
      <w:r>
        <w:rPr>
          <w:rFonts w:hint="eastAsia" w:ascii="方正楷体_GBK" w:hAnsi="黑体" w:eastAsia="方正楷体_GBK" w:cs="宋体"/>
          <w:kern w:val="0"/>
          <w:sz w:val="32"/>
          <w:szCs w:val="32"/>
        </w:rPr>
        <w:t>第十条</w:t>
      </w:r>
      <w:r>
        <w:rPr>
          <w:rFonts w:hint="eastAsia" w:ascii="Times New Roman" w:hAnsi="宋体" w:eastAsia="黑体" w:cs="宋体"/>
          <w:kern w:val="0"/>
          <w:sz w:val="32"/>
          <w:szCs w:val="32"/>
        </w:rPr>
        <w:t xml:space="preserve">  </w:t>
      </w:r>
      <w:r>
        <w:rPr>
          <w:rFonts w:hint="eastAsia" w:ascii="方正仿宋_GBK" w:hAnsi="Times New Roman" w:eastAsia="方正仿宋_GBK" w:cs="Times New Roman"/>
          <w:color w:val="000000"/>
          <w:kern w:val="0"/>
          <w:sz w:val="32"/>
          <w:szCs w:val="32"/>
        </w:rPr>
        <w:t>申请重点实验室的应提交以下材料：</w:t>
      </w:r>
    </w:p>
    <w:p>
      <w:pPr>
        <w:shd w:val="clear" w:color="auto" w:fill="FFFFFF"/>
        <w:adjustRightInd w:val="0"/>
        <w:snapToGrid w:val="0"/>
        <w:spacing w:line="560" w:lineRule="exact"/>
        <w:ind w:firstLine="640" w:firstLineChars="200"/>
        <w:jc w:val="left"/>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（一）《荣昌区工业和信息化重点实验室申请书》（详见附件），并附相关证明材料；</w:t>
      </w:r>
    </w:p>
    <w:p>
      <w:pPr>
        <w:shd w:val="clear" w:color="auto" w:fill="FFFFFF"/>
        <w:adjustRightInd w:val="0"/>
        <w:snapToGrid w:val="0"/>
        <w:spacing w:line="560" w:lineRule="exact"/>
        <w:ind w:firstLine="640" w:firstLineChars="200"/>
        <w:jc w:val="left"/>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（二）多单位联合组建重点实验室的，还应当提交联合组建协议书及相关材料；</w:t>
      </w:r>
    </w:p>
    <w:p>
      <w:pPr>
        <w:widowControl/>
        <w:shd w:val="clear" w:color="auto" w:fill="FFFFFF"/>
        <w:adjustRightInd w:val="0"/>
        <w:snapToGrid w:val="0"/>
        <w:spacing w:line="560" w:lineRule="exact"/>
        <w:ind w:firstLine="640" w:firstLineChars="200"/>
        <w:jc w:val="left"/>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（三）其他补充证明材料。</w:t>
      </w:r>
    </w:p>
    <w:p>
      <w:pPr>
        <w:widowControl/>
        <w:shd w:val="clear" w:color="auto" w:fill="FFFFFF"/>
        <w:adjustRightInd w:val="0"/>
        <w:snapToGrid w:val="0"/>
        <w:spacing w:line="560" w:lineRule="exact"/>
        <w:jc w:val="center"/>
        <w:rPr>
          <w:rFonts w:ascii="方正黑体_GBK" w:hAnsi="宋体" w:eastAsia="方正黑体_GBK" w:cs="宋体"/>
          <w:color w:val="000000"/>
          <w:kern w:val="0"/>
          <w:sz w:val="32"/>
          <w:szCs w:val="32"/>
        </w:rPr>
      </w:pPr>
      <w:r>
        <w:rPr>
          <w:rFonts w:hint="eastAsia" w:ascii="方正黑体_GBK" w:hAnsi="黑体" w:eastAsia="方正黑体_GBK" w:cs="宋体"/>
          <w:kern w:val="0"/>
          <w:sz w:val="32"/>
          <w:szCs w:val="32"/>
        </w:rPr>
        <w:t>第四章</w:t>
      </w:r>
      <w:r>
        <w:rPr>
          <w:rFonts w:hint="eastAsia" w:ascii="方正黑体_GBK" w:hAnsi="宋体" w:eastAsia="方正黑体_GBK" w:cs="宋体"/>
          <w:kern w:val="0"/>
          <w:sz w:val="32"/>
          <w:szCs w:val="32"/>
        </w:rPr>
        <w:t xml:space="preserve"> </w:t>
      </w:r>
      <w:r>
        <w:rPr>
          <w:rFonts w:hint="eastAsia" w:ascii="方正黑体_GBK" w:hAnsi="黑体" w:eastAsia="方正黑体_GBK" w:cs="宋体"/>
          <w:kern w:val="0"/>
          <w:sz w:val="32"/>
          <w:szCs w:val="32"/>
        </w:rPr>
        <w:t>认定与授牌</w:t>
      </w:r>
    </w:p>
    <w:p>
      <w:pPr>
        <w:widowControl/>
        <w:shd w:val="clear" w:color="auto" w:fill="FFFFFF"/>
        <w:adjustRightInd w:val="0"/>
        <w:snapToGrid w:val="0"/>
        <w:spacing w:line="560" w:lineRule="exact"/>
        <w:ind w:firstLine="640" w:firstLineChars="200"/>
        <w:jc w:val="left"/>
        <w:rPr>
          <w:rFonts w:ascii="仿宋_GB2312" w:hAnsi="宋体" w:eastAsia="仿宋_GB2312" w:cs="宋体"/>
          <w:color w:val="000000"/>
          <w:kern w:val="0"/>
          <w:sz w:val="32"/>
          <w:szCs w:val="32"/>
        </w:rPr>
      </w:pPr>
      <w:r>
        <w:rPr>
          <w:rFonts w:hint="eastAsia" w:ascii="方正楷体_GBK" w:hAnsi="黑体" w:eastAsia="方正楷体_GBK" w:cs="宋体"/>
          <w:kern w:val="0"/>
          <w:sz w:val="32"/>
          <w:szCs w:val="32"/>
        </w:rPr>
        <w:t>第十一条</w:t>
      </w:r>
      <w:r>
        <w:rPr>
          <w:rFonts w:hint="eastAsia" w:ascii="Times New Roman" w:hAnsi="宋体" w:eastAsia="黑体" w:cs="宋体"/>
          <w:kern w:val="0"/>
          <w:sz w:val="32"/>
          <w:szCs w:val="32"/>
        </w:rPr>
        <w:t xml:space="preserve"> </w:t>
      </w:r>
      <w:r>
        <w:rPr>
          <w:rFonts w:hint="eastAsia" w:ascii="Times New Roman" w:hAnsi="宋体" w:eastAsia="黑体" w:cs="宋体"/>
          <w:color w:val="000000"/>
          <w:kern w:val="0"/>
          <w:sz w:val="32"/>
          <w:szCs w:val="32"/>
        </w:rPr>
        <w:t xml:space="preserve"> </w:t>
      </w:r>
      <w:r>
        <w:rPr>
          <w:rFonts w:hint="eastAsia" w:ascii="方正仿宋_GBK" w:hAnsi="Times New Roman" w:eastAsia="方正仿宋_GBK" w:cs="Times New Roman"/>
          <w:color w:val="000000"/>
          <w:kern w:val="0"/>
          <w:sz w:val="32"/>
          <w:szCs w:val="32"/>
        </w:rPr>
        <w:t>区经济信息委</w:t>
      </w:r>
      <w:r>
        <w:rPr>
          <w:rFonts w:hint="eastAsia" w:ascii="方正仿宋_GBK" w:hAnsi="Times New Roman" w:eastAsia="方正仿宋_GBK" w:cs="Times New Roman"/>
          <w:color w:val="000000"/>
          <w:kern w:val="0"/>
          <w:sz w:val="32"/>
          <w:szCs w:val="32"/>
          <w:lang w:eastAsia="zh-CN"/>
        </w:rPr>
        <w:t>员</w:t>
      </w:r>
      <w:r>
        <w:rPr>
          <w:rFonts w:hint="eastAsia" w:ascii="方正仿宋_GBK" w:hAnsi="Times New Roman" w:eastAsia="方正仿宋_GBK" w:cs="Times New Roman"/>
          <w:color w:val="000000"/>
          <w:kern w:val="0"/>
          <w:sz w:val="32"/>
          <w:szCs w:val="32"/>
        </w:rPr>
        <w:t>会组织专家对申请材料进行书面评审、答辩评审及现场核查。根据专家评审意见，择优确定重点实验室认定建议名单，并按程序予以公示。</w:t>
      </w:r>
    </w:p>
    <w:p>
      <w:pPr>
        <w:widowControl/>
        <w:shd w:val="clear" w:color="auto" w:fill="FFFFFF"/>
        <w:adjustRightInd w:val="0"/>
        <w:snapToGrid w:val="0"/>
        <w:spacing w:line="560" w:lineRule="exact"/>
        <w:ind w:firstLine="640" w:firstLineChars="200"/>
        <w:jc w:val="left"/>
        <w:rPr>
          <w:rFonts w:ascii="方正仿宋_GBK" w:hAnsi="Calibri" w:eastAsia="方正仿宋_GBK" w:cs="Calibri"/>
          <w:color w:val="000000"/>
          <w:kern w:val="0"/>
          <w:sz w:val="32"/>
          <w:szCs w:val="32"/>
        </w:rPr>
      </w:pPr>
      <w:r>
        <w:rPr>
          <w:rFonts w:hint="eastAsia" w:ascii="方正楷体_GBK" w:hAnsi="黑体" w:eastAsia="方正楷体_GBK" w:cs="宋体"/>
          <w:kern w:val="0"/>
          <w:sz w:val="32"/>
          <w:szCs w:val="32"/>
        </w:rPr>
        <w:t xml:space="preserve">第十二条 </w:t>
      </w:r>
      <w:r>
        <w:rPr>
          <w:rFonts w:hint="eastAsia" w:ascii="Times New Roman" w:hAnsi="宋体" w:eastAsia="黑体" w:cs="宋体"/>
          <w:kern w:val="0"/>
          <w:sz w:val="32"/>
          <w:szCs w:val="32"/>
        </w:rPr>
        <w:t xml:space="preserve"> </w:t>
      </w:r>
      <w:r>
        <w:rPr>
          <w:rFonts w:hint="eastAsia" w:ascii="方正仿宋_GBK" w:hAnsi="Times New Roman" w:eastAsia="方正仿宋_GBK" w:cs="Times New Roman"/>
          <w:color w:val="000000"/>
          <w:kern w:val="0"/>
          <w:sz w:val="32"/>
          <w:szCs w:val="32"/>
        </w:rPr>
        <w:t>对公示无异议或异议不成立的实验室，由区经济信息委审定后，行文予以公布并授牌。</w:t>
      </w:r>
    </w:p>
    <w:p>
      <w:pPr>
        <w:widowControl/>
        <w:shd w:val="clear" w:color="auto" w:fill="FFFFFF"/>
        <w:adjustRightInd w:val="0"/>
        <w:snapToGrid w:val="0"/>
        <w:spacing w:line="560" w:lineRule="exact"/>
        <w:ind w:firstLine="640" w:firstLineChars="200"/>
        <w:jc w:val="left"/>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重点实验室统一命名为“XXXX荣昌区工业和信息化重点实验室（依托单位）”，其中，XXXX为重点实验室研究方向。</w:t>
      </w:r>
    </w:p>
    <w:p>
      <w:pPr>
        <w:widowControl/>
        <w:shd w:val="clear" w:color="auto" w:fill="FFFFFF"/>
        <w:adjustRightInd w:val="0"/>
        <w:snapToGrid w:val="0"/>
        <w:spacing w:line="560" w:lineRule="exact"/>
        <w:jc w:val="center"/>
        <w:rPr>
          <w:rFonts w:ascii="方正黑体_GBK" w:hAnsi="宋体" w:eastAsia="方正黑体_GBK" w:cs="宋体"/>
          <w:kern w:val="0"/>
          <w:sz w:val="32"/>
          <w:szCs w:val="32"/>
        </w:rPr>
      </w:pPr>
      <w:r>
        <w:rPr>
          <w:rFonts w:hint="eastAsia" w:ascii="方正黑体_GBK" w:hAnsi="黑体" w:eastAsia="方正黑体_GBK" w:cs="宋体"/>
          <w:kern w:val="0"/>
          <w:sz w:val="32"/>
          <w:szCs w:val="32"/>
        </w:rPr>
        <w:t>第五章</w:t>
      </w:r>
      <w:r>
        <w:rPr>
          <w:rFonts w:hint="eastAsia" w:ascii="方正黑体_GBK" w:hAnsi="宋体" w:eastAsia="方正黑体_GBK" w:cs="Times New Roman"/>
          <w:kern w:val="0"/>
          <w:sz w:val="32"/>
          <w:szCs w:val="32"/>
        </w:rPr>
        <w:t xml:space="preserve"> </w:t>
      </w:r>
      <w:r>
        <w:rPr>
          <w:rFonts w:hint="eastAsia" w:ascii="方正黑体_GBK" w:hAnsi="黑体" w:eastAsia="方正黑体_GBK" w:cs="宋体"/>
          <w:kern w:val="0"/>
          <w:sz w:val="32"/>
          <w:szCs w:val="32"/>
        </w:rPr>
        <w:t>运行与管理</w:t>
      </w:r>
    </w:p>
    <w:p>
      <w:pPr>
        <w:widowControl/>
        <w:shd w:val="clear" w:color="auto" w:fill="FFFFFF"/>
        <w:adjustRightInd w:val="0"/>
        <w:snapToGrid w:val="0"/>
        <w:spacing w:line="560" w:lineRule="exact"/>
        <w:ind w:firstLine="640" w:firstLineChars="200"/>
        <w:jc w:val="left"/>
        <w:rPr>
          <w:rFonts w:ascii="方正仿宋_GBK" w:hAnsi="Calibri" w:eastAsia="方正仿宋_GBK" w:cs="Calibri"/>
          <w:color w:val="000000"/>
          <w:kern w:val="0"/>
          <w:sz w:val="32"/>
          <w:szCs w:val="32"/>
        </w:rPr>
      </w:pPr>
      <w:r>
        <w:rPr>
          <w:rFonts w:hint="eastAsia" w:ascii="方正楷体_GBK" w:hAnsi="黑体" w:eastAsia="方正楷体_GBK" w:cs="宋体"/>
          <w:color w:val="000000"/>
          <w:kern w:val="0"/>
          <w:sz w:val="32"/>
          <w:szCs w:val="32"/>
        </w:rPr>
        <w:t>第十三条</w:t>
      </w:r>
      <w:r>
        <w:rPr>
          <w:rFonts w:hint="eastAsia" w:ascii="Times New Roman" w:hAnsi="宋体" w:eastAsia="黑体" w:cs="宋体"/>
          <w:color w:val="000000"/>
          <w:kern w:val="0"/>
          <w:sz w:val="32"/>
          <w:szCs w:val="32"/>
        </w:rPr>
        <w:t xml:space="preserve">  </w:t>
      </w:r>
      <w:r>
        <w:rPr>
          <w:rFonts w:hint="eastAsia" w:ascii="方正仿宋_GBK" w:hAnsi="Times New Roman" w:eastAsia="方正仿宋_GBK" w:cs="Times New Roman"/>
          <w:color w:val="000000"/>
          <w:kern w:val="0"/>
          <w:sz w:val="32"/>
          <w:szCs w:val="32"/>
        </w:rPr>
        <w:t>重点实验室实行“开放、交流、合作、竞争”的运行机制。</w:t>
      </w:r>
    </w:p>
    <w:p>
      <w:pPr>
        <w:widowControl/>
        <w:shd w:val="clear" w:color="auto" w:fill="FFFFFF"/>
        <w:adjustRightInd w:val="0"/>
        <w:snapToGrid w:val="0"/>
        <w:spacing w:line="560" w:lineRule="exact"/>
        <w:ind w:firstLine="640" w:firstLineChars="200"/>
        <w:jc w:val="left"/>
        <w:rPr>
          <w:rFonts w:ascii="方正仿宋_GBK" w:hAnsi="Times New Roman" w:eastAsia="方正仿宋_GBK" w:cs="Times New Roman"/>
          <w:color w:val="000000"/>
          <w:kern w:val="0"/>
          <w:sz w:val="32"/>
          <w:szCs w:val="32"/>
        </w:rPr>
      </w:pPr>
      <w:r>
        <w:rPr>
          <w:rFonts w:hint="eastAsia" w:ascii="方正楷体_GBK" w:hAnsi="黑体" w:eastAsia="方正楷体_GBK" w:cs="宋体"/>
          <w:color w:val="000000"/>
          <w:kern w:val="0"/>
          <w:sz w:val="32"/>
          <w:szCs w:val="32"/>
        </w:rPr>
        <w:t>第十四条</w:t>
      </w:r>
      <w:r>
        <w:rPr>
          <w:rFonts w:hint="eastAsia" w:ascii="方正楷体_GBK" w:hAnsi="宋体" w:eastAsia="方正楷体_GBK" w:cs="宋体"/>
          <w:color w:val="000000"/>
          <w:kern w:val="0"/>
          <w:sz w:val="32"/>
          <w:szCs w:val="32"/>
        </w:rPr>
        <w:t xml:space="preserve"> </w:t>
      </w:r>
      <w:r>
        <w:rPr>
          <w:rFonts w:hint="eastAsia" w:ascii="Times New Roman" w:hAnsi="宋体" w:eastAsia="黑体" w:cs="宋体"/>
          <w:color w:val="000000"/>
          <w:kern w:val="0"/>
          <w:sz w:val="32"/>
          <w:szCs w:val="32"/>
        </w:rPr>
        <w:t xml:space="preserve"> </w:t>
      </w:r>
      <w:r>
        <w:rPr>
          <w:rFonts w:hint="eastAsia" w:ascii="方正仿宋_GBK" w:hAnsi="Times New Roman" w:eastAsia="方正仿宋_GBK" w:cs="Times New Roman"/>
          <w:color w:val="000000"/>
          <w:kern w:val="0"/>
          <w:sz w:val="32"/>
          <w:szCs w:val="32"/>
        </w:rPr>
        <w:t>重点实验室应由相同或相关专业领域的专家组成，人数不少于5人。一位专家不得同时担任三个以上重点实验室成员。重点实验室主任应在本领域内具有较高理论素养、专业技术水平和工程实践能力，较强的组织、管理能力。</w:t>
      </w:r>
    </w:p>
    <w:p>
      <w:pPr>
        <w:shd w:val="clear" w:color="auto" w:fill="FFFFFF"/>
        <w:adjustRightInd w:val="0"/>
        <w:snapToGrid w:val="0"/>
        <w:spacing w:line="560" w:lineRule="exact"/>
        <w:ind w:firstLine="640" w:firstLineChars="200"/>
        <w:jc w:val="left"/>
        <w:rPr>
          <w:rFonts w:ascii="方正仿宋_GBK" w:hAnsi="Times New Roman" w:eastAsia="方正仿宋_GBK" w:cs="Times New Roman"/>
          <w:color w:val="000000"/>
          <w:kern w:val="0"/>
          <w:sz w:val="32"/>
          <w:szCs w:val="32"/>
        </w:rPr>
      </w:pPr>
      <w:r>
        <w:rPr>
          <w:rFonts w:hint="eastAsia" w:ascii="方正楷体_GBK" w:hAnsi="黑体" w:eastAsia="方正楷体_GBK" w:cs="宋体"/>
          <w:color w:val="000000"/>
          <w:kern w:val="0"/>
          <w:sz w:val="32"/>
          <w:szCs w:val="32"/>
        </w:rPr>
        <w:t>第十五条</w:t>
      </w:r>
      <w:r>
        <w:rPr>
          <w:rFonts w:hint="eastAsia" w:ascii="Times New Roman" w:hAnsi="宋体" w:eastAsia="黑体" w:cs="宋体"/>
          <w:color w:val="000000"/>
          <w:kern w:val="0"/>
          <w:sz w:val="32"/>
          <w:szCs w:val="32"/>
        </w:rPr>
        <w:t xml:space="preserve">  </w:t>
      </w:r>
      <w:r>
        <w:rPr>
          <w:rFonts w:hint="eastAsia" w:ascii="方正仿宋_GBK" w:hAnsi="Times New Roman" w:eastAsia="方正仿宋_GBK" w:cs="Times New Roman"/>
          <w:color w:val="000000"/>
          <w:kern w:val="0"/>
          <w:sz w:val="32"/>
          <w:szCs w:val="32"/>
        </w:rPr>
        <w:t>重点实验室应实行固定研究人员与流动研究人员相结合的制度（固定研究人员所占比例不得少于50%），并大力引进国内外高端技术人才进入重点实验室工作。</w:t>
      </w:r>
    </w:p>
    <w:p>
      <w:pPr>
        <w:shd w:val="clear" w:color="auto" w:fill="FFFFFF"/>
        <w:adjustRightInd w:val="0"/>
        <w:snapToGrid w:val="0"/>
        <w:spacing w:line="560" w:lineRule="exact"/>
        <w:ind w:firstLine="640" w:firstLineChars="200"/>
        <w:jc w:val="left"/>
        <w:rPr>
          <w:rFonts w:ascii="方正仿宋_GBK" w:hAnsi="Times New Roman" w:eastAsia="方正仿宋_GBK" w:cs="Times New Roman"/>
          <w:color w:val="000000"/>
          <w:kern w:val="0"/>
          <w:sz w:val="32"/>
          <w:szCs w:val="32"/>
        </w:rPr>
      </w:pPr>
      <w:r>
        <w:rPr>
          <w:rFonts w:hint="eastAsia" w:ascii="方正楷体_GBK" w:hAnsi="黑体" w:eastAsia="方正楷体_GBK" w:cs="宋体"/>
          <w:color w:val="000000"/>
          <w:kern w:val="0"/>
          <w:sz w:val="32"/>
          <w:szCs w:val="32"/>
        </w:rPr>
        <w:t>第十六条</w:t>
      </w:r>
      <w:r>
        <w:rPr>
          <w:rFonts w:hint="eastAsia" w:ascii="Times New Roman" w:hAnsi="宋体" w:eastAsia="黑体" w:cs="宋体"/>
          <w:color w:val="000000"/>
          <w:kern w:val="0"/>
          <w:sz w:val="32"/>
          <w:szCs w:val="32"/>
        </w:rPr>
        <w:t xml:space="preserve">  </w:t>
      </w:r>
      <w:r>
        <w:rPr>
          <w:rFonts w:hint="eastAsia" w:ascii="方正仿宋_GBK" w:hAnsi="Times New Roman" w:eastAsia="方正仿宋_GBK" w:cs="Times New Roman"/>
          <w:color w:val="000000"/>
          <w:kern w:val="0"/>
          <w:sz w:val="32"/>
          <w:szCs w:val="32"/>
        </w:rPr>
        <w:t>重点实验室要建立健全规章制度，加强管理，加大对外开放力度，努力实现科技资源共享，提高实验室设备的利用率和使用效益。</w:t>
      </w:r>
    </w:p>
    <w:p>
      <w:pPr>
        <w:widowControl/>
        <w:shd w:val="clear" w:color="auto" w:fill="FFFFFF"/>
        <w:adjustRightInd w:val="0"/>
        <w:snapToGrid w:val="0"/>
        <w:spacing w:line="560" w:lineRule="exact"/>
        <w:ind w:firstLine="640" w:firstLineChars="200"/>
        <w:jc w:val="left"/>
        <w:rPr>
          <w:rFonts w:ascii="方正仿宋_GBK" w:hAnsi="Times New Roman" w:eastAsia="方正仿宋_GBK" w:cs="Times New Roman"/>
          <w:color w:val="000000"/>
          <w:kern w:val="0"/>
          <w:sz w:val="32"/>
          <w:szCs w:val="32"/>
        </w:rPr>
      </w:pPr>
      <w:r>
        <w:rPr>
          <w:rFonts w:hint="eastAsia" w:ascii="方正楷体_GBK" w:hAnsi="黑体" w:eastAsia="方正楷体_GBK" w:cs="宋体"/>
          <w:color w:val="000000"/>
          <w:kern w:val="0"/>
          <w:sz w:val="32"/>
          <w:szCs w:val="32"/>
        </w:rPr>
        <w:t>第十七条</w:t>
      </w:r>
      <w:r>
        <w:rPr>
          <w:rFonts w:hint="eastAsia" w:ascii="Times New Roman" w:hAnsi="宋体" w:eastAsia="黑体" w:cs="宋体"/>
          <w:color w:val="000000"/>
          <w:kern w:val="0"/>
          <w:sz w:val="32"/>
          <w:szCs w:val="32"/>
        </w:rPr>
        <w:t xml:space="preserve">  </w:t>
      </w:r>
      <w:r>
        <w:rPr>
          <w:rFonts w:hint="eastAsia" w:ascii="方正仿宋_GBK" w:hAnsi="Times New Roman" w:eastAsia="方正仿宋_GBK" w:cs="Times New Roman"/>
          <w:color w:val="000000"/>
          <w:kern w:val="0"/>
          <w:sz w:val="32"/>
          <w:szCs w:val="32"/>
        </w:rPr>
        <w:t>重点实验室经费由实验室、依托单位、联合组建单位自筹。鼓励社会力量投资重点实验室建设，多渠道筹措研究与管理经费。</w:t>
      </w:r>
    </w:p>
    <w:p>
      <w:pPr>
        <w:widowControl/>
        <w:shd w:val="clear" w:color="auto" w:fill="FFFFFF"/>
        <w:adjustRightInd w:val="0"/>
        <w:snapToGrid w:val="0"/>
        <w:spacing w:line="560" w:lineRule="exact"/>
        <w:ind w:firstLine="640" w:firstLineChars="200"/>
        <w:jc w:val="left"/>
        <w:rPr>
          <w:rFonts w:ascii="仿宋_GB2312" w:hAnsi="宋体" w:eastAsia="仿宋_GB2312" w:cs="宋体"/>
          <w:color w:val="000000"/>
          <w:kern w:val="0"/>
          <w:sz w:val="32"/>
          <w:szCs w:val="32"/>
        </w:rPr>
      </w:pPr>
      <w:r>
        <w:rPr>
          <w:rFonts w:hint="eastAsia" w:ascii="方正楷体_GBK" w:hAnsi="黑体" w:eastAsia="方正楷体_GBK" w:cs="宋体"/>
          <w:color w:val="000000"/>
          <w:kern w:val="0"/>
          <w:sz w:val="32"/>
          <w:szCs w:val="32"/>
        </w:rPr>
        <w:t>第十八条</w:t>
      </w:r>
      <w:r>
        <w:rPr>
          <w:rFonts w:hint="eastAsia" w:ascii="Times New Roman" w:hAnsi="宋体" w:eastAsia="黑体" w:cs="宋体"/>
          <w:color w:val="000000"/>
          <w:kern w:val="0"/>
          <w:sz w:val="32"/>
          <w:szCs w:val="32"/>
        </w:rPr>
        <w:t xml:space="preserve"> </w:t>
      </w:r>
      <w:r>
        <w:rPr>
          <w:rFonts w:hint="eastAsia" w:ascii="仿宋_GB2312" w:hAnsi="宋体" w:eastAsia="仿宋_GB2312" w:cs="宋体"/>
          <w:color w:val="000000"/>
          <w:kern w:val="0"/>
          <w:sz w:val="32"/>
          <w:szCs w:val="32"/>
        </w:rPr>
        <w:t xml:space="preserve"> </w:t>
      </w:r>
      <w:r>
        <w:rPr>
          <w:rFonts w:hint="eastAsia" w:ascii="方正仿宋_GBK" w:hAnsi="Times New Roman" w:eastAsia="方正仿宋_GBK" w:cs="Times New Roman"/>
          <w:color w:val="000000"/>
          <w:kern w:val="0"/>
          <w:sz w:val="32"/>
          <w:szCs w:val="32"/>
        </w:rPr>
        <w:t>因发展需要，对重点实验室名称或主要研究方向进行变更的，须由实验室主任提出书面申请，经重点实验室专家进行论证，提出论证报告，由依托单位报区经济信息委备案。</w:t>
      </w:r>
    </w:p>
    <w:p>
      <w:pPr>
        <w:widowControl/>
        <w:shd w:val="clear" w:color="auto" w:fill="FFFFFF"/>
        <w:adjustRightInd w:val="0"/>
        <w:snapToGrid w:val="0"/>
        <w:spacing w:line="560" w:lineRule="exact"/>
        <w:jc w:val="center"/>
        <w:rPr>
          <w:rFonts w:ascii="方正黑体_GBK" w:hAnsi="宋体" w:eastAsia="方正黑体_GBK" w:cs="宋体"/>
          <w:kern w:val="0"/>
          <w:sz w:val="32"/>
          <w:szCs w:val="32"/>
        </w:rPr>
      </w:pPr>
      <w:r>
        <w:rPr>
          <w:rFonts w:hint="eastAsia" w:ascii="方正黑体_GBK" w:hAnsi="黑体" w:eastAsia="方正黑体_GBK" w:cs="宋体"/>
          <w:kern w:val="0"/>
          <w:sz w:val="32"/>
          <w:szCs w:val="32"/>
        </w:rPr>
        <w:t>第六章</w:t>
      </w:r>
      <w:r>
        <w:rPr>
          <w:rFonts w:hint="eastAsia" w:ascii="方正黑体_GBK" w:hAnsi="宋体" w:eastAsia="方正黑体_GBK" w:cs="Times New Roman"/>
          <w:kern w:val="0"/>
          <w:sz w:val="32"/>
          <w:szCs w:val="32"/>
        </w:rPr>
        <w:t xml:space="preserve"> </w:t>
      </w:r>
      <w:r>
        <w:rPr>
          <w:rFonts w:hint="eastAsia" w:ascii="方正黑体_GBK" w:hAnsi="黑体" w:eastAsia="方正黑体_GBK" w:cs="宋体"/>
          <w:kern w:val="0"/>
          <w:sz w:val="32"/>
          <w:szCs w:val="32"/>
        </w:rPr>
        <w:t>考核与评估</w:t>
      </w:r>
    </w:p>
    <w:p>
      <w:pPr>
        <w:widowControl/>
        <w:shd w:val="clear" w:color="auto" w:fill="FFFFFF"/>
        <w:adjustRightInd w:val="0"/>
        <w:snapToGrid w:val="0"/>
        <w:spacing w:line="560" w:lineRule="exact"/>
        <w:ind w:firstLine="640" w:firstLineChars="200"/>
        <w:jc w:val="left"/>
        <w:rPr>
          <w:rFonts w:ascii="方正仿宋_GBK" w:hAnsi="Calibri" w:eastAsia="方正仿宋_GBK" w:cs="Calibri"/>
          <w:kern w:val="0"/>
          <w:sz w:val="32"/>
          <w:szCs w:val="32"/>
        </w:rPr>
      </w:pPr>
      <w:r>
        <w:rPr>
          <w:rFonts w:hint="eastAsia" w:ascii="方正楷体_GBK" w:hAnsi="黑体" w:eastAsia="方正楷体_GBK" w:cs="宋体"/>
          <w:kern w:val="0"/>
          <w:sz w:val="32"/>
          <w:szCs w:val="32"/>
        </w:rPr>
        <w:t>第十九条</w:t>
      </w:r>
      <w:r>
        <w:rPr>
          <w:rFonts w:hint="eastAsia" w:ascii="Times New Roman" w:hAnsi="宋体" w:eastAsia="黑体" w:cs="宋体"/>
          <w:kern w:val="0"/>
          <w:sz w:val="32"/>
          <w:szCs w:val="32"/>
        </w:rPr>
        <w:t xml:space="preserve"> </w:t>
      </w:r>
      <w:r>
        <w:rPr>
          <w:rFonts w:hint="eastAsia" w:ascii="Times New Roman" w:hAnsi="宋体" w:eastAsia="方正仿宋简体" w:cs="宋体"/>
          <w:color w:val="FF0000"/>
          <w:kern w:val="0"/>
          <w:sz w:val="32"/>
          <w:szCs w:val="32"/>
        </w:rPr>
        <w:t xml:space="preserve"> </w:t>
      </w:r>
      <w:r>
        <w:rPr>
          <w:rFonts w:hint="eastAsia" w:ascii="方正仿宋_GBK" w:hAnsi="Times New Roman" w:eastAsia="方正仿宋_GBK" w:cs="Times New Roman"/>
          <w:kern w:val="0"/>
          <w:sz w:val="32"/>
          <w:szCs w:val="32"/>
        </w:rPr>
        <w:t>依托单位应对重点实验室进行年度考核，并于每年12月底前将实验室年度工作总结及考</w:t>
      </w:r>
      <w:r>
        <w:rPr>
          <w:rFonts w:hint="eastAsia" w:ascii="方正仿宋_GBK" w:hAnsi="Times New Roman" w:eastAsia="方正仿宋_GBK" w:cs="Times New Roman"/>
          <w:color w:val="000000"/>
          <w:sz w:val="32"/>
          <w:szCs w:val="32"/>
        </w:rPr>
        <w:t>核情况报区经济</w:t>
      </w:r>
      <w:r>
        <w:rPr>
          <w:rFonts w:hint="eastAsia" w:ascii="方正仿宋_GBK" w:hAnsi="Times New Roman" w:eastAsia="方正仿宋_GBK" w:cs="Times New Roman"/>
          <w:kern w:val="0"/>
          <w:sz w:val="32"/>
          <w:szCs w:val="32"/>
        </w:rPr>
        <w:t>信息委备案。连续两年未按要求上报材料的，将视为自动放弃重点实验室资格。</w:t>
      </w:r>
    </w:p>
    <w:p>
      <w:pPr>
        <w:widowControl/>
        <w:shd w:val="clear" w:color="auto" w:fill="FFFFFF"/>
        <w:adjustRightInd w:val="0"/>
        <w:snapToGrid w:val="0"/>
        <w:spacing w:line="560" w:lineRule="exact"/>
        <w:ind w:firstLine="640" w:firstLineChars="200"/>
        <w:jc w:val="left"/>
        <w:rPr>
          <w:rFonts w:ascii="仿宋_GB2312" w:hAnsi="宋体" w:eastAsia="仿宋_GB2312" w:cs="宋体"/>
          <w:kern w:val="0"/>
          <w:sz w:val="32"/>
          <w:szCs w:val="32"/>
        </w:rPr>
      </w:pPr>
      <w:r>
        <w:rPr>
          <w:rFonts w:hint="eastAsia" w:ascii="方正楷体_GBK" w:hAnsi="黑体" w:eastAsia="方正楷体_GBK" w:cs="宋体"/>
          <w:kern w:val="0"/>
          <w:sz w:val="32"/>
          <w:szCs w:val="32"/>
        </w:rPr>
        <w:t>第二十条</w:t>
      </w:r>
      <w:r>
        <w:rPr>
          <w:rFonts w:hint="eastAsia" w:ascii="Times New Roman" w:hAnsi="宋体" w:eastAsia="黑体" w:cs="宋体"/>
          <w:color w:val="FF0000"/>
          <w:kern w:val="0"/>
          <w:sz w:val="32"/>
          <w:szCs w:val="32"/>
        </w:rPr>
        <w:t xml:space="preserve">  </w:t>
      </w:r>
      <w:r>
        <w:rPr>
          <w:rFonts w:hint="eastAsia" w:ascii="方正仿宋_GBK" w:hAnsi="Times New Roman" w:eastAsia="方正仿宋_GBK" w:cs="Times New Roman"/>
          <w:kern w:val="0"/>
          <w:sz w:val="32"/>
          <w:szCs w:val="32"/>
        </w:rPr>
        <w:t>根据年度考核情况，区</w:t>
      </w:r>
      <w:r>
        <w:rPr>
          <w:rFonts w:hint="eastAsia" w:ascii="方正仿宋_GBK" w:hAnsi="Times New Roman" w:eastAsia="方正仿宋_GBK" w:cs="Times New Roman"/>
          <w:color w:val="000000"/>
          <w:sz w:val="32"/>
          <w:szCs w:val="32"/>
        </w:rPr>
        <w:t>经济信息委</w:t>
      </w:r>
      <w:r>
        <w:rPr>
          <w:rFonts w:hint="eastAsia" w:ascii="方正仿宋_GBK" w:hAnsi="Times New Roman" w:eastAsia="方正仿宋_GBK" w:cs="Times New Roman"/>
          <w:kern w:val="0"/>
          <w:sz w:val="32"/>
          <w:szCs w:val="32"/>
        </w:rPr>
        <w:t>每年抽选部分重点</w:t>
      </w:r>
      <w:r>
        <w:rPr>
          <w:rFonts w:hint="eastAsia" w:ascii="方正仿宋_GBK" w:hAnsi="Times New Roman" w:eastAsia="方正仿宋_GBK" w:cs="Times New Roman"/>
          <w:kern w:val="0"/>
          <w:sz w:val="32"/>
          <w:szCs w:val="32"/>
          <w:lang w:eastAsia="zh-CN"/>
        </w:rPr>
        <w:t>实验</w:t>
      </w:r>
      <w:r>
        <w:rPr>
          <w:rFonts w:hint="eastAsia" w:ascii="方正仿宋_GBK" w:hAnsi="Times New Roman" w:eastAsia="方正仿宋_GBK" w:cs="Times New Roman"/>
          <w:kern w:val="0"/>
          <w:sz w:val="32"/>
          <w:szCs w:val="32"/>
        </w:rPr>
        <w:t>室进行现场检查，了解重点实验室建设和工作计划完成情况，帮助解决重点实验室存在的问题。</w:t>
      </w:r>
    </w:p>
    <w:p>
      <w:pPr>
        <w:autoSpaceDE w:val="0"/>
        <w:spacing w:line="560" w:lineRule="exact"/>
        <w:ind w:firstLine="640" w:firstLineChars="200"/>
        <w:rPr>
          <w:rFonts w:ascii="方正仿宋_GBK" w:hAnsi="Calibri" w:eastAsia="方正仿宋_GBK" w:cs="Calibri"/>
          <w:kern w:val="0"/>
          <w:sz w:val="32"/>
          <w:szCs w:val="32"/>
        </w:rPr>
      </w:pPr>
      <w:r>
        <w:rPr>
          <w:rFonts w:hint="eastAsia" w:ascii="方正楷体_GBK" w:hAnsi="黑体" w:eastAsia="方正楷体_GBK" w:cs="宋体"/>
          <w:kern w:val="0"/>
          <w:sz w:val="32"/>
          <w:szCs w:val="32"/>
        </w:rPr>
        <w:t>第二十一条</w:t>
      </w:r>
      <w:r>
        <w:rPr>
          <w:rFonts w:hint="eastAsia" w:ascii="Times New Roman" w:hAnsi="宋体" w:eastAsia="黑体" w:cs="宋体"/>
          <w:kern w:val="0"/>
          <w:sz w:val="32"/>
          <w:szCs w:val="32"/>
        </w:rPr>
        <w:t xml:space="preserve">  </w:t>
      </w:r>
      <w:r>
        <w:rPr>
          <w:rFonts w:hint="eastAsia" w:ascii="方正仿宋_GBK" w:hAnsi="Times New Roman" w:eastAsia="方正仿宋_GBK" w:cs="Times New Roman"/>
          <w:kern w:val="0"/>
          <w:sz w:val="32"/>
          <w:szCs w:val="32"/>
        </w:rPr>
        <w:t>原则上每3年对重点实验室整体运行情况进行一次评估，重点实验室的依托单位于评估年的8月10日前上报评估材料。已升级认定为重庆市工业和信息化重点实验室的，不再参与区级重点实验室评估。</w:t>
      </w:r>
    </w:p>
    <w:p>
      <w:pPr>
        <w:autoSpaceDE w:val="0"/>
        <w:spacing w:line="560" w:lineRule="exact"/>
        <w:ind w:firstLine="640" w:firstLineChars="200"/>
        <w:rPr>
          <w:rFonts w:ascii="方正仿宋_GBK" w:hAnsi="Times New Roman" w:eastAsia="方正仿宋_GBK" w:cs="Times New Roman"/>
          <w:kern w:val="0"/>
          <w:sz w:val="32"/>
          <w:szCs w:val="32"/>
        </w:rPr>
      </w:pPr>
      <w:r>
        <w:rPr>
          <w:rFonts w:hint="eastAsia" w:ascii="方正楷体_GBK" w:hAnsi="黑体" w:eastAsia="方正楷体_GBK" w:cs="宋体"/>
          <w:kern w:val="0"/>
          <w:sz w:val="32"/>
          <w:szCs w:val="32"/>
        </w:rPr>
        <w:t>第二十二条</w:t>
      </w:r>
      <w:r>
        <w:rPr>
          <w:rFonts w:hint="eastAsia" w:ascii="Times New Roman" w:hAnsi="宋体" w:eastAsia="黑体" w:cs="宋体"/>
          <w:kern w:val="0"/>
          <w:sz w:val="32"/>
          <w:szCs w:val="32"/>
        </w:rPr>
        <w:t xml:space="preserve"> </w:t>
      </w:r>
      <w:r>
        <w:rPr>
          <w:rFonts w:hint="eastAsia" w:ascii="Times New Roman" w:hAnsi="宋体" w:eastAsia="方正仿宋简体" w:cs="宋体"/>
          <w:kern w:val="0"/>
          <w:sz w:val="32"/>
          <w:szCs w:val="32"/>
        </w:rPr>
        <w:t xml:space="preserve"> </w:t>
      </w:r>
      <w:r>
        <w:rPr>
          <w:rFonts w:hint="eastAsia" w:ascii="方正仿宋_GBK" w:hAnsi="Times New Roman" w:eastAsia="方正仿宋_GBK" w:cs="Times New Roman"/>
          <w:kern w:val="0"/>
          <w:sz w:val="32"/>
          <w:szCs w:val="32"/>
        </w:rPr>
        <w:t>区经济信息委组织专家或委托有关单位对重点实验室上报的评估材料及相关情况进行核查，评估结果分为优秀、良好、合格、基本合格和不合格。</w:t>
      </w:r>
    </w:p>
    <w:p>
      <w:pPr>
        <w:autoSpaceDE w:val="0"/>
        <w:spacing w:line="560" w:lineRule="exact"/>
        <w:ind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 xml:space="preserve">1．评估得分90分及以上为优秀。 </w:t>
      </w:r>
      <w:bookmarkStart w:id="0" w:name="_GoBack"/>
      <w:bookmarkEnd w:id="0"/>
    </w:p>
    <w:p>
      <w:pPr>
        <w:autoSpaceDE w:val="0"/>
        <w:spacing w:line="560" w:lineRule="exact"/>
        <w:ind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2．评估得分80分（含80分）至90分之间为良好。</w:t>
      </w:r>
    </w:p>
    <w:p>
      <w:pPr>
        <w:autoSpaceDE w:val="0"/>
        <w:spacing w:line="560" w:lineRule="exact"/>
        <w:ind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3．评估得分65分（含65分）至80分之间为合格。</w:t>
      </w:r>
    </w:p>
    <w:p>
      <w:pPr>
        <w:autoSpaceDE w:val="0"/>
        <w:spacing w:line="560" w:lineRule="exact"/>
        <w:ind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4．评估得分60分（含60分）至65分之间为基本合格。</w:t>
      </w:r>
    </w:p>
    <w:p>
      <w:pPr>
        <w:widowControl/>
        <w:shd w:val="clear" w:color="auto" w:fill="FFFFFF"/>
        <w:adjustRightInd w:val="0"/>
        <w:snapToGrid w:val="0"/>
        <w:spacing w:line="560" w:lineRule="exact"/>
        <w:ind w:firstLine="640" w:firstLineChars="200"/>
        <w:jc w:val="left"/>
        <w:rPr>
          <w:rFonts w:ascii="方正仿宋_GBK" w:hAnsi="Times New Roman" w:eastAsia="方正仿宋_GBK" w:cs="Times New Roman"/>
          <w:kern w:val="0"/>
          <w:sz w:val="32"/>
          <w:szCs w:val="32"/>
        </w:rPr>
      </w:pPr>
      <w:r>
        <w:rPr>
          <w:rFonts w:hint="eastAsia" w:ascii="方正楷体_GBK" w:hAnsi="黑体" w:eastAsia="方正楷体_GBK" w:cs="宋体"/>
          <w:kern w:val="0"/>
          <w:sz w:val="32"/>
          <w:szCs w:val="32"/>
        </w:rPr>
        <w:t>第二十三条</w:t>
      </w:r>
      <w:r>
        <w:rPr>
          <w:rFonts w:hint="eastAsia" w:ascii="Times New Roman" w:hAnsi="宋体" w:eastAsia="黑体" w:cs="宋体"/>
          <w:kern w:val="0"/>
          <w:sz w:val="32"/>
          <w:szCs w:val="32"/>
        </w:rPr>
        <w:t xml:space="preserve"> </w:t>
      </w:r>
      <w:r>
        <w:rPr>
          <w:rFonts w:hint="eastAsia" w:ascii="Times New Roman" w:hAnsi="宋体" w:eastAsia="方正仿宋简体" w:cs="宋体"/>
          <w:kern w:val="0"/>
          <w:sz w:val="32"/>
          <w:szCs w:val="32"/>
        </w:rPr>
        <w:t xml:space="preserve"> </w:t>
      </w:r>
      <w:r>
        <w:rPr>
          <w:rFonts w:hint="eastAsia" w:ascii="方正仿宋_GBK" w:hAnsi="Times New Roman" w:eastAsia="方正仿宋_GBK" w:cs="Times New Roman"/>
          <w:kern w:val="0"/>
          <w:sz w:val="32"/>
          <w:szCs w:val="32"/>
        </w:rPr>
        <w:t>重点实验室评估结果有以下情况之一的，视为不合格：</w:t>
      </w:r>
    </w:p>
    <w:p>
      <w:pPr>
        <w:widowControl/>
        <w:shd w:val="clear" w:color="auto" w:fill="FFFFFF"/>
        <w:adjustRightInd w:val="0"/>
        <w:snapToGrid w:val="0"/>
        <w:spacing w:line="560" w:lineRule="exact"/>
        <w:ind w:firstLine="640" w:firstLineChars="20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（一）评估专家组认定评估材料不合格；</w:t>
      </w:r>
    </w:p>
    <w:p>
      <w:pPr>
        <w:widowControl/>
        <w:shd w:val="clear" w:color="auto" w:fill="FFFFFF"/>
        <w:adjustRightInd w:val="0"/>
        <w:snapToGrid w:val="0"/>
        <w:spacing w:line="560" w:lineRule="exact"/>
        <w:ind w:firstLine="640" w:firstLineChars="20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（二）无故不按时上报评估材料；</w:t>
      </w:r>
    </w:p>
    <w:p>
      <w:pPr>
        <w:widowControl/>
        <w:shd w:val="clear" w:color="auto" w:fill="FFFFFF"/>
        <w:adjustRightInd w:val="0"/>
        <w:snapToGrid w:val="0"/>
        <w:spacing w:line="560" w:lineRule="exact"/>
        <w:ind w:firstLine="640" w:firstLineChars="20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（三）上报材料内容严重不实或者数据存在虚假；</w:t>
      </w:r>
    </w:p>
    <w:p>
      <w:pPr>
        <w:widowControl/>
        <w:shd w:val="clear" w:color="auto" w:fill="FFFFFF"/>
        <w:adjustRightInd w:val="0"/>
        <w:snapToGrid w:val="0"/>
        <w:spacing w:line="560" w:lineRule="exact"/>
        <w:ind w:firstLine="640" w:firstLineChars="20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（四）有重大违规、违法行为。</w:t>
      </w:r>
    </w:p>
    <w:p>
      <w:pPr>
        <w:widowControl/>
        <w:shd w:val="clear" w:color="auto" w:fill="FFFFFF"/>
        <w:adjustRightInd w:val="0"/>
        <w:snapToGrid w:val="0"/>
        <w:spacing w:line="560" w:lineRule="exact"/>
        <w:ind w:firstLine="640" w:firstLineChars="200"/>
        <w:jc w:val="left"/>
        <w:rPr>
          <w:rFonts w:ascii="仿宋_GB2312" w:hAnsi="宋体" w:eastAsia="仿宋_GB2312" w:cs="宋体"/>
          <w:kern w:val="0"/>
          <w:sz w:val="32"/>
          <w:szCs w:val="32"/>
        </w:rPr>
      </w:pPr>
      <w:r>
        <w:rPr>
          <w:rFonts w:hint="eastAsia" w:ascii="方正楷体_GBK" w:hAnsi="黑体" w:eastAsia="方正楷体_GBK" w:cs="宋体"/>
          <w:kern w:val="0"/>
          <w:sz w:val="32"/>
          <w:szCs w:val="32"/>
        </w:rPr>
        <w:t>第二十四条</w:t>
      </w:r>
      <w:r>
        <w:rPr>
          <w:rFonts w:hint="eastAsia" w:ascii="Times New Roman" w:hAnsi="宋体" w:eastAsia="黑体" w:cs="宋体"/>
          <w:kern w:val="0"/>
          <w:sz w:val="32"/>
          <w:szCs w:val="32"/>
        </w:rPr>
        <w:t xml:space="preserve"> </w:t>
      </w:r>
      <w:r>
        <w:rPr>
          <w:rFonts w:hint="eastAsia" w:ascii="Times New Roman" w:hAnsi="宋体" w:eastAsia="方正仿宋简体" w:cs="宋体"/>
          <w:kern w:val="0"/>
          <w:sz w:val="32"/>
          <w:szCs w:val="32"/>
        </w:rPr>
        <w:t xml:space="preserve"> </w:t>
      </w:r>
      <w:r>
        <w:rPr>
          <w:rFonts w:hint="eastAsia" w:ascii="方正仿宋_GBK" w:hAnsi="Times New Roman" w:eastAsia="方正仿宋_GBK" w:cs="Times New Roman"/>
          <w:kern w:val="0"/>
          <w:sz w:val="32"/>
          <w:szCs w:val="32"/>
        </w:rPr>
        <w:t>区经济信息委对评估结果予以公布。</w:t>
      </w:r>
    </w:p>
    <w:p>
      <w:pPr>
        <w:widowControl/>
        <w:shd w:val="clear" w:color="auto" w:fill="FFFFFF"/>
        <w:adjustRightInd w:val="0"/>
        <w:snapToGrid w:val="0"/>
        <w:spacing w:line="560" w:lineRule="exact"/>
        <w:jc w:val="center"/>
        <w:rPr>
          <w:rFonts w:ascii="方正黑体_GBK" w:hAnsi="宋体" w:eastAsia="方正黑体_GBK" w:cs="宋体"/>
          <w:kern w:val="0"/>
          <w:sz w:val="32"/>
          <w:szCs w:val="32"/>
        </w:rPr>
      </w:pPr>
      <w:r>
        <w:rPr>
          <w:rFonts w:hint="eastAsia" w:ascii="方正黑体_GBK" w:hAnsi="Times New Roman" w:eastAsia="方正黑体_GBK" w:cs="Times New Roman"/>
          <w:sz w:val="32"/>
          <w:szCs w:val="32"/>
        </w:rPr>
        <w:t>第七章 调整与撤销</w:t>
      </w:r>
    </w:p>
    <w:p>
      <w:pPr>
        <w:widowControl/>
        <w:shd w:val="clear" w:color="auto" w:fill="FFFFFF"/>
        <w:adjustRightInd w:val="0"/>
        <w:snapToGrid w:val="0"/>
        <w:spacing w:line="560" w:lineRule="exact"/>
        <w:ind w:firstLine="640" w:firstLineChars="200"/>
        <w:jc w:val="left"/>
        <w:rPr>
          <w:rFonts w:ascii="方正仿宋_GBK" w:hAnsi="Calibri" w:eastAsia="方正仿宋_GBK" w:cs="Calibri"/>
          <w:color w:val="000000"/>
          <w:kern w:val="0"/>
          <w:sz w:val="32"/>
          <w:szCs w:val="32"/>
        </w:rPr>
      </w:pPr>
      <w:r>
        <w:rPr>
          <w:rFonts w:hint="eastAsia" w:ascii="方正楷体_GBK" w:hAnsi="黑体" w:eastAsia="方正楷体_GBK" w:cs="宋体"/>
          <w:kern w:val="0"/>
          <w:sz w:val="32"/>
          <w:szCs w:val="32"/>
        </w:rPr>
        <w:t>第二十五条</w:t>
      </w:r>
      <w:r>
        <w:rPr>
          <w:rFonts w:hint="eastAsia" w:ascii="宋体" w:hAnsi="宋体" w:eastAsia="方正仿宋_GBK" w:cs="Times New Roman"/>
          <w:sz w:val="32"/>
          <w:szCs w:val="20"/>
        </w:rPr>
        <w:t xml:space="preserve">  </w:t>
      </w:r>
      <w:r>
        <w:rPr>
          <w:rFonts w:hint="eastAsia" w:ascii="方正仿宋_GBK" w:hAnsi="Times New Roman" w:eastAsia="方正仿宋_GBK" w:cs="Times New Roman"/>
          <w:color w:val="000000"/>
          <w:kern w:val="0"/>
          <w:sz w:val="32"/>
          <w:szCs w:val="32"/>
        </w:rPr>
        <w:t>有下列情况之一的，撤销其重点实验室资格：</w:t>
      </w:r>
    </w:p>
    <w:p>
      <w:pPr>
        <w:widowControl/>
        <w:shd w:val="clear" w:color="auto" w:fill="FFFFFF"/>
        <w:adjustRightInd w:val="0"/>
        <w:snapToGrid w:val="0"/>
        <w:spacing w:line="560" w:lineRule="exact"/>
        <w:ind w:firstLine="640" w:firstLineChars="200"/>
        <w:jc w:val="left"/>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1．评估不合格；</w:t>
      </w:r>
    </w:p>
    <w:p>
      <w:pPr>
        <w:widowControl/>
        <w:shd w:val="clear" w:color="auto" w:fill="FFFFFF"/>
        <w:adjustRightInd w:val="0"/>
        <w:snapToGrid w:val="0"/>
        <w:spacing w:line="560" w:lineRule="exact"/>
        <w:ind w:firstLine="640" w:firstLineChars="200"/>
        <w:jc w:val="left"/>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2．逾期未报送评估材料或提供虚假材料和数据；</w:t>
      </w:r>
    </w:p>
    <w:p>
      <w:pPr>
        <w:widowControl/>
        <w:shd w:val="clear" w:color="auto" w:fill="FFFFFF"/>
        <w:adjustRightInd w:val="0"/>
        <w:snapToGrid w:val="0"/>
        <w:spacing w:line="560" w:lineRule="exact"/>
        <w:ind w:firstLine="640" w:firstLineChars="20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color w:val="000000"/>
          <w:kern w:val="0"/>
          <w:sz w:val="32"/>
          <w:szCs w:val="32"/>
        </w:rPr>
        <w:t>3．依托企业自行要求撤</w:t>
      </w:r>
      <w:r>
        <w:rPr>
          <w:rFonts w:hint="eastAsia" w:ascii="方正仿宋_GBK" w:hAnsi="Times New Roman" w:eastAsia="方正仿宋_GBK" w:cs="Times New Roman"/>
          <w:kern w:val="0"/>
          <w:sz w:val="32"/>
          <w:szCs w:val="32"/>
        </w:rPr>
        <w:t>销其重点实验室资格；</w:t>
      </w:r>
    </w:p>
    <w:p>
      <w:pPr>
        <w:widowControl/>
        <w:shd w:val="clear" w:color="auto" w:fill="FFFFFF"/>
        <w:adjustRightInd w:val="0"/>
        <w:snapToGrid w:val="0"/>
        <w:spacing w:line="560" w:lineRule="exact"/>
        <w:ind w:firstLine="640" w:firstLineChars="20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4．重点实验室依托企业被依法终止；</w:t>
      </w:r>
    </w:p>
    <w:p>
      <w:pPr>
        <w:widowControl/>
        <w:shd w:val="clear" w:color="auto" w:fill="FFFFFF"/>
        <w:adjustRightInd w:val="0"/>
        <w:snapToGrid w:val="0"/>
        <w:spacing w:line="560" w:lineRule="exact"/>
        <w:ind w:firstLine="640" w:firstLineChars="20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 xml:space="preserve">5．由于技术原因发生重大质量、安全事故的企业； </w:t>
      </w:r>
    </w:p>
    <w:p>
      <w:pPr>
        <w:widowControl/>
        <w:shd w:val="clear" w:color="auto" w:fill="FFFFFF"/>
        <w:adjustRightInd w:val="0"/>
        <w:snapToGrid w:val="0"/>
        <w:spacing w:line="560" w:lineRule="exact"/>
        <w:ind w:firstLine="640" w:firstLineChars="200"/>
        <w:jc w:val="left"/>
        <w:rPr>
          <w:rFonts w:ascii="仿宋_GB2312" w:hAnsi="宋体" w:eastAsia="仿宋_GB2312" w:cs="宋体"/>
          <w:kern w:val="0"/>
          <w:sz w:val="32"/>
          <w:szCs w:val="32"/>
        </w:rPr>
      </w:pPr>
      <w:r>
        <w:rPr>
          <w:rFonts w:hint="eastAsia" w:ascii="方正仿宋_GBK" w:hAnsi="Times New Roman" w:eastAsia="方正仿宋_GBK" w:cs="Times New Roman"/>
          <w:kern w:val="0"/>
          <w:sz w:val="32"/>
          <w:szCs w:val="32"/>
        </w:rPr>
        <w:t>6．有严重违法违规行为企业。</w:t>
      </w:r>
    </w:p>
    <w:p>
      <w:pPr>
        <w:shd w:val="clear" w:color="auto" w:fill="FFFFFF"/>
        <w:adjustRightInd w:val="0"/>
        <w:snapToGrid w:val="0"/>
        <w:spacing w:line="560" w:lineRule="exact"/>
        <w:ind w:firstLine="640" w:firstLineChars="200"/>
        <w:jc w:val="left"/>
        <w:rPr>
          <w:rFonts w:ascii="方正仿宋_GBK" w:hAnsi="Times New Roman" w:eastAsia="方正仿宋_GBK" w:cs="Times New Roman"/>
          <w:kern w:val="0"/>
          <w:sz w:val="32"/>
          <w:szCs w:val="32"/>
        </w:rPr>
      </w:pPr>
      <w:r>
        <w:rPr>
          <w:rFonts w:hint="eastAsia" w:ascii="方正楷体_GBK" w:hAnsi="黑体" w:eastAsia="方正楷体_GBK" w:cs="宋体"/>
          <w:kern w:val="0"/>
          <w:sz w:val="32"/>
          <w:szCs w:val="32"/>
        </w:rPr>
        <w:t>第二十六条</w:t>
      </w:r>
      <w:r>
        <w:rPr>
          <w:rFonts w:hint="eastAsia" w:ascii="黑体" w:hAnsi="黑体" w:eastAsia="黑体" w:cs="宋体"/>
          <w:kern w:val="0"/>
          <w:sz w:val="32"/>
          <w:szCs w:val="32"/>
        </w:rPr>
        <w:t xml:space="preserve">  </w:t>
      </w:r>
      <w:r>
        <w:rPr>
          <w:rFonts w:hint="eastAsia" w:ascii="方正仿宋_GBK" w:hAnsi="Times New Roman" w:eastAsia="方正仿宋_GBK" w:cs="Times New Roman"/>
          <w:kern w:val="0"/>
          <w:sz w:val="32"/>
          <w:szCs w:val="32"/>
        </w:rPr>
        <w:t>区经济信息委对重点实验室的调整、撤销和更名结果予以公布。</w:t>
      </w:r>
    </w:p>
    <w:p>
      <w:pPr>
        <w:shd w:val="clear" w:color="auto" w:fill="FFFFFF"/>
        <w:adjustRightInd w:val="0"/>
        <w:snapToGrid w:val="0"/>
        <w:spacing w:line="560" w:lineRule="exact"/>
        <w:ind w:firstLine="640" w:firstLineChars="200"/>
        <w:jc w:val="left"/>
        <w:rPr>
          <w:rFonts w:ascii="方正仿宋_GBK" w:hAnsi="Calibri" w:eastAsia="方正仿宋_GBK" w:cs="Calibri"/>
          <w:kern w:val="0"/>
          <w:sz w:val="32"/>
          <w:szCs w:val="32"/>
        </w:rPr>
      </w:pPr>
      <w:r>
        <w:rPr>
          <w:rFonts w:hint="eastAsia" w:ascii="方正楷体_GBK" w:hAnsi="黑体" w:eastAsia="方正楷体_GBK" w:cs="宋体"/>
          <w:kern w:val="0"/>
          <w:sz w:val="32"/>
          <w:szCs w:val="32"/>
        </w:rPr>
        <w:t>第二十七条</w:t>
      </w:r>
      <w:r>
        <w:rPr>
          <w:rFonts w:hint="eastAsia" w:ascii="黑体" w:hAnsi="黑体" w:eastAsia="黑体" w:cs="宋体"/>
          <w:kern w:val="0"/>
          <w:sz w:val="32"/>
          <w:szCs w:val="32"/>
        </w:rPr>
        <w:t xml:space="preserve">  </w:t>
      </w:r>
      <w:r>
        <w:rPr>
          <w:rFonts w:hint="eastAsia" w:ascii="方正仿宋_GBK" w:hAnsi="Times New Roman" w:eastAsia="方正仿宋_GBK" w:cs="Times New Roman"/>
          <w:kern w:val="0"/>
          <w:sz w:val="32"/>
          <w:szCs w:val="32"/>
        </w:rPr>
        <w:t>企业上报的申</w:t>
      </w:r>
      <w:r>
        <w:rPr>
          <w:rFonts w:hint="eastAsia" w:ascii="方正仿宋_GBK" w:hAnsi="Times New Roman" w:eastAsia="方正仿宋_GBK" w:cs="Times New Roman"/>
          <w:color w:val="000000"/>
          <w:kern w:val="0"/>
          <w:sz w:val="32"/>
          <w:szCs w:val="32"/>
        </w:rPr>
        <w:t>请材料、评估材料内容和数</w:t>
      </w:r>
      <w:r>
        <w:rPr>
          <w:rFonts w:hint="eastAsia" w:ascii="方正仿宋_GBK" w:hAnsi="Times New Roman" w:eastAsia="方正仿宋_GBK" w:cs="Times New Roman"/>
          <w:kern w:val="0"/>
          <w:sz w:val="32"/>
          <w:szCs w:val="32"/>
        </w:rPr>
        <w:t xml:space="preserve">据应真实可靠，提供虚假材料的企业，经核实后，两年内不得再申请认定重点实验室。 </w:t>
      </w:r>
    </w:p>
    <w:p>
      <w:pPr>
        <w:widowControl/>
        <w:shd w:val="clear" w:color="auto" w:fill="FFFFFF"/>
        <w:adjustRightInd w:val="0"/>
        <w:snapToGrid w:val="0"/>
        <w:spacing w:line="560" w:lineRule="exact"/>
        <w:ind w:firstLine="640" w:firstLineChars="200"/>
        <w:jc w:val="left"/>
        <w:rPr>
          <w:rFonts w:ascii="仿宋_GB2312" w:hAnsi="宋体" w:eastAsia="仿宋_GB2312" w:cs="宋体"/>
          <w:kern w:val="0"/>
          <w:sz w:val="32"/>
          <w:szCs w:val="32"/>
        </w:rPr>
      </w:pPr>
      <w:r>
        <w:rPr>
          <w:rFonts w:hint="eastAsia" w:ascii="方正楷体_GBK" w:hAnsi="黑体" w:eastAsia="方正楷体_GBK" w:cs="宋体"/>
          <w:kern w:val="0"/>
          <w:sz w:val="32"/>
          <w:szCs w:val="32"/>
        </w:rPr>
        <w:t>第二十八条</w:t>
      </w:r>
      <w:r>
        <w:rPr>
          <w:rFonts w:hint="eastAsia" w:ascii="仿宋_GB2312" w:hAnsi="宋体" w:eastAsia="仿宋_GB2312" w:cs="宋体"/>
          <w:kern w:val="0"/>
          <w:sz w:val="32"/>
          <w:szCs w:val="32"/>
        </w:rPr>
        <w:t xml:space="preserve">  </w:t>
      </w:r>
      <w:r>
        <w:rPr>
          <w:rFonts w:hint="eastAsia" w:ascii="方正仿宋_GBK" w:hAnsi="Times New Roman" w:eastAsia="方正仿宋_GBK" w:cs="Times New Roman"/>
          <w:kern w:val="0"/>
          <w:sz w:val="32"/>
          <w:szCs w:val="32"/>
        </w:rPr>
        <w:t>因第二十五条原因被撤销重点实验室资格的，两年内不得重新申报。</w:t>
      </w:r>
    </w:p>
    <w:p>
      <w:pPr>
        <w:widowControl/>
        <w:shd w:val="clear" w:color="auto" w:fill="FFFFFF"/>
        <w:adjustRightInd w:val="0"/>
        <w:snapToGrid w:val="0"/>
        <w:spacing w:line="560" w:lineRule="exact"/>
        <w:ind w:firstLine="640" w:firstLineChars="200"/>
        <w:jc w:val="left"/>
        <w:rPr>
          <w:rFonts w:ascii="方正仿宋_GBK" w:hAnsi="Calibri" w:eastAsia="方正仿宋_GBK" w:cs="Calibri"/>
          <w:kern w:val="0"/>
          <w:sz w:val="32"/>
          <w:szCs w:val="32"/>
        </w:rPr>
      </w:pPr>
      <w:r>
        <w:rPr>
          <w:rFonts w:hint="eastAsia" w:ascii="方正楷体_GBK" w:hAnsi="黑体" w:eastAsia="方正楷体_GBK" w:cs="宋体"/>
          <w:kern w:val="0"/>
          <w:sz w:val="32"/>
          <w:szCs w:val="32"/>
        </w:rPr>
        <w:t>第二十九条</w:t>
      </w:r>
      <w:r>
        <w:rPr>
          <w:rFonts w:hint="eastAsia" w:ascii="黑体" w:hAnsi="黑体" w:eastAsia="黑体" w:cs="宋体"/>
          <w:kern w:val="0"/>
          <w:sz w:val="32"/>
          <w:szCs w:val="32"/>
        </w:rPr>
        <w:t xml:space="preserve">  </w:t>
      </w:r>
      <w:r>
        <w:rPr>
          <w:rFonts w:hint="eastAsia" w:ascii="方正仿宋_GBK" w:hAnsi="Times New Roman" w:eastAsia="方正仿宋_GBK" w:cs="Times New Roman"/>
          <w:kern w:val="0"/>
          <w:sz w:val="32"/>
          <w:szCs w:val="32"/>
        </w:rPr>
        <w:t>对于评估得分60分至65分的，限期整改。</w:t>
      </w:r>
    </w:p>
    <w:p>
      <w:pPr>
        <w:widowControl/>
        <w:shd w:val="clear" w:color="auto" w:fill="FFFFFF"/>
        <w:adjustRightInd w:val="0"/>
        <w:snapToGrid w:val="0"/>
        <w:spacing w:line="560" w:lineRule="exact"/>
        <w:ind w:firstLine="640" w:firstLineChars="200"/>
        <w:jc w:val="left"/>
        <w:rPr>
          <w:rFonts w:ascii="方正仿宋_GBK" w:hAnsi="Times New Roman" w:eastAsia="方正仿宋_GBK" w:cs="Times New Roman"/>
          <w:kern w:val="0"/>
          <w:sz w:val="32"/>
          <w:szCs w:val="32"/>
        </w:rPr>
      </w:pPr>
      <w:r>
        <w:rPr>
          <w:rFonts w:hint="eastAsia" w:ascii="方正楷体_GBK" w:hAnsi="黑体" w:eastAsia="方正楷体_GBK" w:cs="宋体"/>
          <w:kern w:val="0"/>
          <w:sz w:val="32"/>
          <w:szCs w:val="32"/>
        </w:rPr>
        <w:t xml:space="preserve">第三十条 </w:t>
      </w:r>
      <w:r>
        <w:rPr>
          <w:rFonts w:hint="eastAsia" w:ascii="黑体" w:hAnsi="黑体" w:eastAsia="黑体" w:cs="宋体"/>
          <w:kern w:val="0"/>
          <w:sz w:val="32"/>
          <w:szCs w:val="32"/>
        </w:rPr>
        <w:t xml:space="preserve"> </w:t>
      </w:r>
      <w:r>
        <w:rPr>
          <w:rFonts w:hint="eastAsia" w:ascii="方正仿宋_GBK" w:hAnsi="Times New Roman" w:eastAsia="方正仿宋_GBK" w:cs="Times New Roman"/>
          <w:kern w:val="0"/>
          <w:sz w:val="32"/>
          <w:szCs w:val="32"/>
        </w:rPr>
        <w:t>重点实验室依托企业发生更名、重组等重大调整的，应在办理相关手续后30个工作日内将有关情况报告区经济信息委。</w:t>
      </w:r>
    </w:p>
    <w:p>
      <w:pPr>
        <w:widowControl/>
        <w:shd w:val="clear" w:color="auto" w:fill="FFFFFF"/>
        <w:adjustRightInd w:val="0"/>
        <w:snapToGrid w:val="0"/>
        <w:spacing w:line="560" w:lineRule="exact"/>
        <w:ind w:firstLine="640" w:firstLineChars="200"/>
        <w:jc w:val="left"/>
        <w:rPr>
          <w:rFonts w:ascii="仿宋_GB2312" w:hAnsi="宋体" w:eastAsia="仿宋_GB2312" w:cs="宋体"/>
          <w:color w:val="000000"/>
          <w:kern w:val="0"/>
          <w:sz w:val="32"/>
          <w:szCs w:val="32"/>
        </w:rPr>
      </w:pPr>
      <w:r>
        <w:rPr>
          <w:rFonts w:hint="eastAsia" w:ascii="方正楷体_GBK" w:hAnsi="黑体" w:eastAsia="方正楷体_GBK" w:cs="宋体"/>
          <w:kern w:val="0"/>
          <w:sz w:val="32"/>
          <w:szCs w:val="32"/>
        </w:rPr>
        <w:t>第三十一条</w:t>
      </w:r>
      <w:r>
        <w:rPr>
          <w:rFonts w:hint="eastAsia" w:ascii="仿宋_GB2312" w:hAnsi="宋体" w:eastAsia="仿宋_GB2312" w:cs="宋体"/>
          <w:kern w:val="0"/>
          <w:sz w:val="32"/>
          <w:szCs w:val="32"/>
        </w:rPr>
        <w:t xml:space="preserve">  </w:t>
      </w:r>
      <w:r>
        <w:rPr>
          <w:rFonts w:hint="eastAsia" w:ascii="方正仿宋_GBK" w:hAnsi="Times New Roman" w:eastAsia="方正仿宋_GBK" w:cs="Times New Roman"/>
          <w:kern w:val="0"/>
          <w:sz w:val="32"/>
          <w:szCs w:val="32"/>
        </w:rPr>
        <w:t>重点实验室依托企业负责对重点实验室进行日常管理，并按要求报送相</w:t>
      </w:r>
      <w:r>
        <w:rPr>
          <w:rFonts w:hint="eastAsia" w:ascii="方正仿宋_GBK" w:hAnsi="Times New Roman" w:eastAsia="方正仿宋_GBK" w:cs="Times New Roman"/>
          <w:color w:val="000000"/>
          <w:kern w:val="0"/>
          <w:sz w:val="32"/>
          <w:szCs w:val="32"/>
        </w:rPr>
        <w:t>关报表及评估材料。</w:t>
      </w:r>
    </w:p>
    <w:p>
      <w:pPr>
        <w:widowControl/>
        <w:shd w:val="clear" w:color="auto" w:fill="FFFFFF"/>
        <w:adjustRightInd w:val="0"/>
        <w:snapToGrid w:val="0"/>
        <w:spacing w:line="560" w:lineRule="exact"/>
        <w:jc w:val="center"/>
        <w:rPr>
          <w:rFonts w:ascii="方正黑体_GBK" w:hAnsi="宋体" w:eastAsia="方正黑体_GBK" w:cs="宋体"/>
          <w:kern w:val="0"/>
          <w:sz w:val="32"/>
          <w:szCs w:val="32"/>
        </w:rPr>
      </w:pPr>
      <w:r>
        <w:rPr>
          <w:rFonts w:hint="eastAsia" w:ascii="方正黑体_GBK" w:hAnsi="黑体" w:eastAsia="方正黑体_GBK" w:cs="宋体"/>
          <w:kern w:val="0"/>
          <w:sz w:val="32"/>
          <w:szCs w:val="32"/>
        </w:rPr>
        <w:t>第八章</w:t>
      </w:r>
      <w:r>
        <w:rPr>
          <w:rFonts w:hint="eastAsia" w:ascii="方正黑体_GBK" w:hAnsi="宋体" w:eastAsia="方正黑体_GBK" w:cs="Times New Roman"/>
          <w:kern w:val="0"/>
          <w:sz w:val="32"/>
          <w:szCs w:val="32"/>
        </w:rPr>
        <w:t xml:space="preserve"> </w:t>
      </w:r>
      <w:r>
        <w:rPr>
          <w:rFonts w:hint="eastAsia" w:ascii="方正黑体_GBK" w:hAnsi="黑体" w:eastAsia="方正黑体_GBK" w:cs="宋体"/>
          <w:kern w:val="0"/>
          <w:sz w:val="32"/>
          <w:szCs w:val="32"/>
        </w:rPr>
        <w:t>附</w:t>
      </w:r>
      <w:r>
        <w:rPr>
          <w:rFonts w:hint="eastAsia" w:ascii="方正黑体_GBK" w:hAnsi="宋体" w:eastAsia="方正黑体_GBK" w:cs="宋体"/>
          <w:kern w:val="0"/>
          <w:sz w:val="32"/>
          <w:szCs w:val="32"/>
        </w:rPr>
        <w:t xml:space="preserve">  </w:t>
      </w:r>
      <w:r>
        <w:rPr>
          <w:rFonts w:hint="eastAsia" w:ascii="方正黑体_GBK" w:hAnsi="黑体" w:eastAsia="方正黑体_GBK" w:cs="宋体"/>
          <w:kern w:val="0"/>
          <w:sz w:val="32"/>
          <w:szCs w:val="32"/>
        </w:rPr>
        <w:t>则</w:t>
      </w:r>
    </w:p>
    <w:p>
      <w:pPr>
        <w:widowControl/>
        <w:adjustRightInd w:val="0"/>
        <w:snapToGrid w:val="0"/>
        <w:spacing w:line="600" w:lineRule="atLeast"/>
        <w:ind w:firstLine="640" w:firstLineChars="200"/>
        <w:rPr>
          <w:rFonts w:ascii="方正仿宋_GBK" w:hAnsi="仿宋" w:eastAsia="方正仿宋_GBK" w:cs="宋体"/>
          <w:kern w:val="0"/>
          <w:sz w:val="32"/>
          <w:szCs w:val="32"/>
        </w:rPr>
      </w:pPr>
      <w:r>
        <w:rPr>
          <w:rFonts w:hint="eastAsia" w:ascii="方正楷体_GBK" w:hAnsi="黑体" w:eastAsia="方正楷体_GBK" w:cs="宋体"/>
          <w:kern w:val="0"/>
          <w:sz w:val="32"/>
          <w:szCs w:val="32"/>
        </w:rPr>
        <w:t>第三十二条</w:t>
      </w:r>
      <w:r>
        <w:rPr>
          <w:rFonts w:hint="eastAsia" w:ascii="Times New Roman" w:hAnsi="宋体" w:eastAsia="黑体" w:cs="宋体"/>
          <w:kern w:val="0"/>
          <w:sz w:val="32"/>
          <w:szCs w:val="32"/>
        </w:rPr>
        <w:t xml:space="preserve">  </w:t>
      </w:r>
      <w:r>
        <w:rPr>
          <w:rFonts w:hint="eastAsia" w:ascii="方正仿宋_GBK" w:hAnsi="Times New Roman" w:eastAsia="方正仿宋_GBK" w:cs="Times New Roman"/>
          <w:kern w:val="0"/>
          <w:sz w:val="32"/>
          <w:szCs w:val="32"/>
        </w:rPr>
        <w:t>本办法自颁布之日起实施。</w:t>
      </w:r>
      <w:r>
        <w:rPr>
          <w:rFonts w:hint="eastAsia" w:ascii="方正仿宋_GBK" w:hAnsi="仿宋" w:eastAsia="方正仿宋_GBK" w:cs="宋体"/>
          <w:kern w:val="0"/>
          <w:sz w:val="32"/>
          <w:szCs w:val="32"/>
        </w:rPr>
        <w:t>原《荣昌区工业和信息化重点实验室管理暂行办法》（荣经信发〔2020〕43号）同时废止。</w:t>
      </w:r>
    </w:p>
    <w:p>
      <w:pPr>
        <w:widowControl/>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楷体_GBK" w:hAnsi="黑体" w:eastAsia="方正楷体_GBK" w:cs="宋体"/>
          <w:kern w:val="0"/>
          <w:sz w:val="32"/>
          <w:szCs w:val="32"/>
        </w:rPr>
        <w:t>第三十三条</w:t>
      </w:r>
      <w:r>
        <w:rPr>
          <w:rFonts w:hint="eastAsia" w:ascii="Times New Roman" w:hAnsi="宋体" w:eastAsia="黑体" w:cs="宋体"/>
          <w:kern w:val="0"/>
          <w:sz w:val="32"/>
          <w:szCs w:val="32"/>
        </w:rPr>
        <w:t xml:space="preserve">  </w:t>
      </w:r>
      <w:r>
        <w:rPr>
          <w:rFonts w:hint="eastAsia" w:ascii="方正仿宋_GBK" w:hAnsi="Times New Roman" w:eastAsia="方正仿宋_GBK" w:cs="Times New Roman"/>
          <w:kern w:val="0"/>
          <w:sz w:val="32"/>
          <w:szCs w:val="32"/>
        </w:rPr>
        <w:t>本办法由区经济信息委负责解释。</w:t>
      </w: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3118" w:leftChars="1485" w:firstLine="8064" w:firstLineChars="252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lang w:eastAsia="zh-Hans"/>
      </w:rPr>
      <w:t>重</w:t>
    </w:r>
    <w:r>
      <w:rPr>
        <w:rFonts w:hint="eastAsia" w:ascii="宋体" w:hAnsi="宋体" w:eastAsia="宋体" w:cs="宋体"/>
        <w:b/>
        <w:bCs/>
        <w:color w:val="005192"/>
        <w:sz w:val="28"/>
        <w:szCs w:val="44"/>
      </w:rPr>
      <w:t xml:space="preserve">重庆市荣昌区经济和信息化委员会发布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荣昌区经济和信息化委员会</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3Yzk5YzdmM2JmN2Y2ZGFjOWYwMTdiNjEyM2JlZDMifQ=="/>
  </w:docVars>
  <w:rsids>
    <w:rsidRoot w:val="00172A27"/>
    <w:rsid w:val="00047E8E"/>
    <w:rsid w:val="00172A27"/>
    <w:rsid w:val="0026284F"/>
    <w:rsid w:val="00302E00"/>
    <w:rsid w:val="003D2A80"/>
    <w:rsid w:val="003F531C"/>
    <w:rsid w:val="00524890"/>
    <w:rsid w:val="00634F9A"/>
    <w:rsid w:val="00681E7C"/>
    <w:rsid w:val="006862F0"/>
    <w:rsid w:val="007F31BB"/>
    <w:rsid w:val="00B17F1B"/>
    <w:rsid w:val="00C60A70"/>
    <w:rsid w:val="00DC766F"/>
    <w:rsid w:val="00DE6C64"/>
    <w:rsid w:val="00ED2738"/>
    <w:rsid w:val="00F522B1"/>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A34BE9"/>
    <w:rsid w:val="1CF734C9"/>
    <w:rsid w:val="1DEC284C"/>
    <w:rsid w:val="1E6523AC"/>
    <w:rsid w:val="202A535B"/>
    <w:rsid w:val="22440422"/>
    <w:rsid w:val="22BB4BBB"/>
    <w:rsid w:val="2AEB3417"/>
    <w:rsid w:val="31A15F24"/>
    <w:rsid w:val="324A1681"/>
    <w:rsid w:val="36FB1DF0"/>
    <w:rsid w:val="395347B5"/>
    <w:rsid w:val="39A232A0"/>
    <w:rsid w:val="39E745AA"/>
    <w:rsid w:val="3B5A6BBB"/>
    <w:rsid w:val="3EAFF950"/>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5FFF3F72"/>
    <w:rsid w:val="608816D1"/>
    <w:rsid w:val="60EF4E7F"/>
    <w:rsid w:val="648B0A32"/>
    <w:rsid w:val="665233C1"/>
    <w:rsid w:val="69AC0D42"/>
    <w:rsid w:val="6AD9688B"/>
    <w:rsid w:val="6D0E3F22"/>
    <w:rsid w:val="744E4660"/>
    <w:rsid w:val="753355A2"/>
    <w:rsid w:val="759F1C61"/>
    <w:rsid w:val="769F2DE8"/>
    <w:rsid w:val="76FDEB7C"/>
    <w:rsid w:val="77F783D4"/>
    <w:rsid w:val="78F68940"/>
    <w:rsid w:val="79C65162"/>
    <w:rsid w:val="7C9011D9"/>
    <w:rsid w:val="7DC651C5"/>
    <w:rsid w:val="7DF350ED"/>
    <w:rsid w:val="7F9DA0E8"/>
    <w:rsid w:val="7FB87DA4"/>
    <w:rsid w:val="7FCC2834"/>
    <w:rsid w:val="7FF6A4EF"/>
    <w:rsid w:val="92DD1CEF"/>
    <w:rsid w:val="9FFFD341"/>
    <w:rsid w:val="B6DD7548"/>
    <w:rsid w:val="C8B3B2A2"/>
    <w:rsid w:val="ED6E8D52"/>
    <w:rsid w:val="F05B4F69"/>
    <w:rsid w:val="F3DFAE4C"/>
    <w:rsid w:val="F97D9566"/>
    <w:rsid w:val="FDFF411C"/>
    <w:rsid w:val="FFE5B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8"/>
    <w:uiPriority w:val="0"/>
    <w:rPr>
      <w:rFonts w:ascii="Times New Roman" w:hAnsi="Times New Roman" w:eastAsia="仿宋_GB2312" w:cs="Times New Roman"/>
      <w:sz w:val="28"/>
      <w:szCs w:val="20"/>
    </w:rPr>
  </w:style>
  <w:style w:type="paragraph" w:styleId="5">
    <w:name w:val="Balloon Text"/>
    <w:basedOn w:val="1"/>
    <w:link w:val="16"/>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page number"/>
    <w:basedOn w:val="9"/>
    <w:qFormat/>
    <w:uiPriority w:val="0"/>
  </w:style>
  <w:style w:type="character" w:styleId="12">
    <w:name w:val="FollowedHyperlink"/>
    <w:basedOn w:val="9"/>
    <w:qFormat/>
    <w:uiPriority w:val="0"/>
    <w:rPr>
      <w:color w:val="954F72" w:themeColor="followedHyperlink"/>
      <w:u w:val="single"/>
      <w14:textFill>
        <w14:solidFill>
          <w14:schemeClr w14:val="folHlink"/>
        </w14:solidFill>
      </w14:textFill>
    </w:rPr>
  </w:style>
  <w:style w:type="character" w:styleId="13">
    <w:name w:val="Hyperlink"/>
    <w:basedOn w:val="9"/>
    <w:qFormat/>
    <w:uiPriority w:val="0"/>
    <w:rPr>
      <w:color w:val="000000"/>
      <w:u w:val="none"/>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批注框文本 Char"/>
    <w:basedOn w:val="9"/>
    <w:link w:val="5"/>
    <w:uiPriority w:val="0"/>
    <w:rPr>
      <w:rFonts w:asciiTheme="minorHAnsi" w:hAnsiTheme="minorHAnsi" w:eastAsiaTheme="minorEastAsia" w:cstheme="minorBidi"/>
      <w:kern w:val="2"/>
      <w:sz w:val="18"/>
      <w:szCs w:val="18"/>
    </w:rPr>
  </w:style>
  <w:style w:type="character" w:customStyle="1" w:styleId="17">
    <w:name w:val="页脚 Char"/>
    <w:link w:val="6"/>
    <w:qFormat/>
    <w:uiPriority w:val="99"/>
    <w:rPr>
      <w:rFonts w:asciiTheme="minorHAnsi" w:hAnsiTheme="minorHAnsi" w:eastAsiaTheme="minorEastAsia" w:cstheme="minorBidi"/>
      <w:kern w:val="2"/>
      <w:sz w:val="18"/>
      <w:szCs w:val="24"/>
    </w:rPr>
  </w:style>
  <w:style w:type="character" w:customStyle="1" w:styleId="18">
    <w:name w:val="正文文本 Char"/>
    <w:basedOn w:val="9"/>
    <w:link w:val="4"/>
    <w:qFormat/>
    <w:uiPriority w:val="0"/>
    <w:rPr>
      <w:rFonts w:eastAsia="仿宋_GB2312"/>
      <w:kern w:val="2"/>
      <w:sz w:val="28"/>
    </w:rPr>
  </w:style>
  <w:style w:type="paragraph" w:customStyle="1" w:styleId="19">
    <w:name w:val="Char1 Char Char Char"/>
    <w:basedOn w:val="1"/>
    <w:uiPriority w:val="0"/>
    <w:pPr>
      <w:widowControl/>
      <w:spacing w:after="160" w:line="240" w:lineRule="exact"/>
      <w:jc w:val="left"/>
    </w:pPr>
    <w:rPr>
      <w:rFonts w:ascii="Times New Roman" w:hAnsi="Times New Roman" w:eastAsia="方正仿宋_GBK" w:cs="Times New Roman"/>
      <w:sz w:val="32"/>
      <w:szCs w:val="20"/>
    </w:rPr>
  </w:style>
  <w:style w:type="paragraph" w:customStyle="1" w:styleId="20">
    <w:name w:val="_Style 18"/>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1">
    <w:name w:val="1"/>
    <w:basedOn w:val="1"/>
    <w:qFormat/>
    <w:uiPriority w:val="0"/>
    <w:pPr>
      <w:widowControl/>
      <w:spacing w:before="100" w:beforeAutospacing="1" w:after="100" w:afterAutospacing="1"/>
      <w:jc w:val="left"/>
    </w:pPr>
    <w:rPr>
      <w:rFonts w:hint="eastAsia" w:ascii="宋体" w:hAnsi="宋体" w:eastAsia="宋体" w:cs="Times New Roman"/>
      <w:sz w:val="32"/>
      <w:szCs w:val="20"/>
    </w:rPr>
  </w:style>
  <w:style w:type="paragraph" w:customStyle="1" w:styleId="22">
    <w:name w:val="普通(网站)1"/>
    <w:basedOn w:val="1"/>
    <w:qFormat/>
    <w:uiPriority w:val="0"/>
    <w:pPr>
      <w:widowControl/>
      <w:spacing w:before="100" w:beforeAutospacing="1" w:after="100" w:afterAutospacing="1"/>
      <w:jc w:val="left"/>
    </w:pPr>
    <w:rPr>
      <w:rFonts w:hint="eastAsia" w:ascii="宋体" w:hAnsi="宋体" w:eastAsia="宋体" w:cs="Times New Roman"/>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526</Words>
  <Characters>3003</Characters>
  <Lines>25</Lines>
  <Paragraphs>7</Paragraphs>
  <TotalTime>49</TotalTime>
  <ScaleCrop>false</ScaleCrop>
  <LinksUpToDate>false</LinksUpToDate>
  <CharactersWithSpaces>3522</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Administrator</cp:lastModifiedBy>
  <cp:lastPrinted>2023-06-26T11:20:00Z</cp:lastPrinted>
  <dcterms:modified xsi:type="dcterms:W3CDTF">2023-11-02T08:47:48Z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