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4100" w:type="dxa"/>
        <w:tblInd w:w="0" w:type="dxa"/>
        <w:tblLayout w:type="fixed"/>
        <w:tblCellMar>
          <w:top w:w="0" w:type="dxa"/>
          <w:left w:w="0" w:type="dxa"/>
          <w:bottom w:w="0" w:type="dxa"/>
          <w:right w:w="0" w:type="dxa"/>
        </w:tblCellMar>
      </w:tblPr>
      <w:tblGrid>
        <w:gridCol w:w="1485"/>
        <w:gridCol w:w="3150"/>
        <w:gridCol w:w="6498"/>
        <w:gridCol w:w="1677"/>
        <w:gridCol w:w="1290"/>
      </w:tblGrid>
      <w:tr>
        <w:tblPrEx>
          <w:tblLayout w:type="fixed"/>
          <w:tblCellMar>
            <w:top w:w="0" w:type="dxa"/>
            <w:left w:w="0" w:type="dxa"/>
            <w:bottom w:w="0" w:type="dxa"/>
            <w:right w:w="0" w:type="dxa"/>
          </w:tblCellMar>
        </w:tblPrEx>
        <w:trPr>
          <w:trHeight w:val="930" w:hRule="atLeast"/>
        </w:trPr>
        <w:tc>
          <w:tcPr>
            <w:tcW w:w="14100" w:type="dxa"/>
            <w:gridSpan w:val="5"/>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48"/>
                <w:szCs w:val="48"/>
              </w:rPr>
            </w:pPr>
            <w:r>
              <w:rPr>
                <w:rFonts w:hint="eastAsia" w:ascii="方正小标宋_GBK" w:hAnsi="方正小标宋_GBK" w:eastAsia="方正小标宋_GBK" w:cs="方正小标宋_GBK"/>
                <w:sz w:val="44"/>
                <w:szCs w:val="44"/>
              </w:rPr>
              <w:t>荣昌区创建义务教育优质均衡发展区督导评估指标任务分解表</w:t>
            </w:r>
          </w:p>
        </w:tc>
      </w:tr>
      <w:tr>
        <w:tblPrEx>
          <w:tblLayout w:type="fixed"/>
          <w:tblCellMar>
            <w:top w:w="0" w:type="dxa"/>
            <w:left w:w="0" w:type="dxa"/>
            <w:bottom w:w="0" w:type="dxa"/>
            <w:right w:w="0" w:type="dxa"/>
          </w:tblCellMar>
        </w:tblPrEx>
        <w:trPr>
          <w:trHeight w:val="507" w:hRule="exact"/>
        </w:trPr>
        <w:tc>
          <w:tcPr>
            <w:tcW w:w="14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仿宋_GBK" w:eastAsia="方正黑体_GBK" w:cs="方正仿宋_GBK"/>
                <w:color w:val="000000"/>
                <w:sz w:val="24"/>
              </w:rPr>
            </w:pPr>
            <w:r>
              <w:rPr>
                <w:rFonts w:hint="eastAsia" w:ascii="方正黑体_GBK" w:hAnsi="方正仿宋_GBK" w:eastAsia="方正黑体_GBK" w:cs="方正仿宋_GBK"/>
                <w:color w:val="000000"/>
                <w:kern w:val="0"/>
                <w:sz w:val="24"/>
                <w:lang w:bidi="ar"/>
              </w:rPr>
              <w:t>类别</w:t>
            </w:r>
          </w:p>
        </w:tc>
        <w:tc>
          <w:tcPr>
            <w:tcW w:w="31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仿宋_GBK" w:eastAsia="方正黑体_GBK" w:cs="方正仿宋_GBK"/>
                <w:color w:val="000000"/>
                <w:sz w:val="24"/>
              </w:rPr>
            </w:pPr>
            <w:r>
              <w:rPr>
                <w:rFonts w:hint="eastAsia" w:ascii="方正黑体_GBK" w:hAnsi="方正仿宋_GBK" w:eastAsia="方正黑体_GBK" w:cs="方正仿宋_GBK"/>
                <w:color w:val="000000"/>
                <w:kern w:val="0"/>
                <w:sz w:val="24"/>
                <w:lang w:bidi="ar"/>
              </w:rPr>
              <w:t>指 标</w:t>
            </w:r>
          </w:p>
        </w:tc>
        <w:tc>
          <w:tcPr>
            <w:tcW w:w="649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方正黑体_GBK" w:hAnsi="方正仿宋_GBK" w:eastAsia="方正黑体_GBK" w:cs="方正仿宋_GBK"/>
                <w:color w:val="000000"/>
                <w:sz w:val="24"/>
              </w:rPr>
            </w:pPr>
            <w:r>
              <w:rPr>
                <w:rFonts w:hint="eastAsia" w:ascii="方正黑体_GBK" w:hAnsi="方正仿宋_GBK" w:eastAsia="方正黑体_GBK" w:cs="方正仿宋_GBK"/>
                <w:color w:val="000000"/>
                <w:kern w:val="0"/>
                <w:sz w:val="24"/>
                <w:lang w:bidi="ar"/>
              </w:rPr>
              <w:t>标 准</w:t>
            </w:r>
          </w:p>
        </w:tc>
        <w:tc>
          <w:tcPr>
            <w:tcW w:w="16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方正黑体_GBK" w:hAnsi="方正仿宋_GBK" w:eastAsia="方正黑体_GBK" w:cs="方正仿宋_GBK"/>
                <w:color w:val="000000"/>
                <w:sz w:val="24"/>
              </w:rPr>
            </w:pPr>
            <w:r>
              <w:rPr>
                <w:rFonts w:hint="eastAsia" w:ascii="方正黑体_GBK" w:hAnsi="方正仿宋_GBK" w:eastAsia="方正黑体_GBK" w:cs="方正仿宋_GBK"/>
                <w:color w:val="000000"/>
                <w:kern w:val="0"/>
                <w:sz w:val="24"/>
                <w:lang w:bidi="ar"/>
              </w:rPr>
              <w:t>责任科室</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方正黑体_GBK" w:hAnsi="方正仿宋_GBK" w:eastAsia="方正黑体_GBK" w:cs="方正仿宋_GBK"/>
                <w:color w:val="000000"/>
                <w:sz w:val="24"/>
              </w:rPr>
            </w:pPr>
            <w:r>
              <w:rPr>
                <w:rFonts w:hint="eastAsia" w:ascii="方正黑体_GBK" w:hAnsi="方正仿宋_GBK" w:eastAsia="方正黑体_GBK" w:cs="方正仿宋_GBK"/>
                <w:color w:val="000000"/>
                <w:kern w:val="0"/>
                <w:sz w:val="24"/>
                <w:lang w:bidi="ar"/>
              </w:rPr>
              <w:t>要 求</w:t>
            </w:r>
          </w:p>
        </w:tc>
      </w:tr>
      <w:tr>
        <w:tblPrEx>
          <w:tblLayout w:type="fixed"/>
          <w:tblCellMar>
            <w:top w:w="0" w:type="dxa"/>
            <w:left w:w="0" w:type="dxa"/>
            <w:bottom w:w="0" w:type="dxa"/>
            <w:right w:w="0" w:type="dxa"/>
          </w:tblCellMar>
        </w:tblPrEx>
        <w:trPr>
          <w:trHeight w:val="660" w:hRule="atLeast"/>
        </w:trPr>
        <w:tc>
          <w:tcPr>
            <w:tcW w:w="14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kern w:val="0"/>
                <w:sz w:val="24"/>
                <w:lang w:bidi="ar"/>
              </w:rPr>
              <w:t>一、资源配置</w:t>
            </w:r>
          </w:p>
        </w:tc>
        <w:tc>
          <w:tcPr>
            <w:tcW w:w="3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1.每百名学生拥有高于规定学历教师数</w:t>
            </w:r>
          </w:p>
        </w:tc>
        <w:tc>
          <w:tcPr>
            <w:tcW w:w="6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小学 4.2 人（3.57 人），初中 5.3 人（4.51人）</w:t>
            </w:r>
          </w:p>
        </w:tc>
        <w:tc>
          <w:tcPr>
            <w:tcW w:w="167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kern w:val="0"/>
                <w:sz w:val="24"/>
                <w:lang w:bidi="ar"/>
              </w:rPr>
            </w:pPr>
          </w:p>
          <w:p>
            <w:pPr>
              <w:pStyle w:val="2"/>
            </w:pP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组织人事科</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kern w:val="0"/>
                <w:sz w:val="24"/>
                <w:lang w:bidi="ar"/>
              </w:rPr>
            </w:pPr>
          </w:p>
          <w:p>
            <w:pPr>
              <w:widowControl/>
              <w:jc w:val="center"/>
              <w:textAlignment w:val="center"/>
              <w:rPr>
                <w:rFonts w:ascii="方正仿宋_GBK" w:hAnsi="方正仿宋_GBK" w:eastAsia="方正仿宋_GBK" w:cs="方正仿宋_GBK"/>
                <w:color w:val="FF0000"/>
                <w:kern w:val="0"/>
                <w:sz w:val="24"/>
                <w:u w:val="single"/>
                <w:lang w:bidi="ar"/>
              </w:rPr>
            </w:pPr>
            <w:r>
              <w:rPr>
                <w:rFonts w:hint="eastAsia" w:ascii="方正仿宋_GBK" w:hAnsi="方正仿宋_GBK" w:eastAsia="方正仿宋_GBK" w:cs="方正仿宋_GBK"/>
                <w:color w:val="FF0000"/>
                <w:kern w:val="0"/>
                <w:sz w:val="24"/>
                <w:u w:val="single"/>
                <w:lang w:bidi="ar"/>
              </w:rPr>
              <w:t>（1-7项）</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（1）7 项指标每所学校至少6 项达标， 余项不低于要求的85%；（2）所有指标校际差异系数小学均不高于0.5、初中均不高于0.45</w:t>
            </w:r>
          </w:p>
        </w:tc>
      </w:tr>
      <w:tr>
        <w:tblPrEx>
          <w:tblLayout w:type="fixed"/>
          <w:tblCellMar>
            <w:top w:w="0" w:type="dxa"/>
            <w:left w:w="0" w:type="dxa"/>
            <w:bottom w:w="0" w:type="dxa"/>
            <w:right w:w="0" w:type="dxa"/>
          </w:tblCellMar>
        </w:tblPrEx>
        <w:trPr>
          <w:trHeight w:val="480"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 每百名学生拥有县级以上骨干教师数</w:t>
            </w:r>
          </w:p>
        </w:tc>
        <w:tc>
          <w:tcPr>
            <w:tcW w:w="649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Style w:val="9"/>
                <w:rFonts w:hint="default"/>
                <w:lang w:bidi="ar"/>
              </w:rPr>
              <w:t>小学 1 人（0.85 人），初中 1 人（0.85 人）</w:t>
            </w:r>
          </w:p>
        </w:tc>
        <w:tc>
          <w:tcPr>
            <w:tcW w:w="16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319"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color w:val="000000"/>
                <w:sz w:val="24"/>
              </w:rPr>
            </w:pPr>
          </w:p>
        </w:tc>
        <w:tc>
          <w:tcPr>
            <w:tcW w:w="649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color w:val="000000"/>
                <w:sz w:val="24"/>
              </w:rPr>
            </w:pPr>
          </w:p>
        </w:tc>
        <w:tc>
          <w:tcPr>
            <w:tcW w:w="16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920"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 每百名学生拥有体育、艺术（美术、音乐）专任教师数</w:t>
            </w:r>
          </w:p>
        </w:tc>
        <w:tc>
          <w:tcPr>
            <w:tcW w:w="649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小学 0.9 人（0.77 人），初中 0.9 人（0.77 人）</w:t>
            </w:r>
          </w:p>
        </w:tc>
        <w:tc>
          <w:tcPr>
            <w:tcW w:w="16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319"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color w:val="000000"/>
                <w:sz w:val="24"/>
              </w:rPr>
            </w:pPr>
          </w:p>
        </w:tc>
        <w:tc>
          <w:tcPr>
            <w:tcW w:w="649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color w:val="000000"/>
                <w:sz w:val="24"/>
              </w:rPr>
            </w:pPr>
          </w:p>
        </w:tc>
        <w:tc>
          <w:tcPr>
            <w:tcW w:w="16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480"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4.生均教学及辅助用房面积</w:t>
            </w:r>
          </w:p>
        </w:tc>
        <w:tc>
          <w:tcPr>
            <w:tcW w:w="649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小学 4.5 平方米（3.83 平方米），初中 5.8平方米（4.93 平方米）</w:t>
            </w:r>
          </w:p>
        </w:tc>
        <w:tc>
          <w:tcPr>
            <w:tcW w:w="167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规建科</w:t>
            </w: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319"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color w:val="000000"/>
                <w:sz w:val="24"/>
              </w:rPr>
            </w:pPr>
          </w:p>
        </w:tc>
        <w:tc>
          <w:tcPr>
            <w:tcW w:w="649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color w:val="000000"/>
                <w:sz w:val="24"/>
              </w:rPr>
            </w:pPr>
          </w:p>
        </w:tc>
        <w:tc>
          <w:tcPr>
            <w:tcW w:w="16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720"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5. 生均体育运动场馆面积</w:t>
            </w:r>
          </w:p>
        </w:tc>
        <w:tc>
          <w:tcPr>
            <w:tcW w:w="6498"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小学 7.5 平方米（6.38 平方米），初中 10.2平方米（8.67 平方米）</w:t>
            </w:r>
          </w:p>
        </w:tc>
        <w:tc>
          <w:tcPr>
            <w:tcW w:w="16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基教科</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规建科</w:t>
            </w: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640"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6. 生均教学仪器设备值</w:t>
            </w:r>
          </w:p>
        </w:tc>
        <w:tc>
          <w:tcPr>
            <w:tcW w:w="649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小学 2000 元（1700 元），初中 2500 元（2125元）</w:t>
            </w:r>
          </w:p>
        </w:tc>
        <w:tc>
          <w:tcPr>
            <w:tcW w:w="1677" w:type="dxa"/>
            <w:vMerge w:val="restart"/>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技装中心</w:t>
            </w: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660"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7. 每百名学生拥有网络多媒体教室数</w:t>
            </w:r>
          </w:p>
        </w:tc>
        <w:tc>
          <w:tcPr>
            <w:tcW w:w="649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小学 2.3 间（1.96 间），初中 2.4 间（2.04间）</w:t>
            </w:r>
          </w:p>
        </w:tc>
        <w:tc>
          <w:tcPr>
            <w:tcW w:w="1677"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90" w:hRule="atLeast"/>
        </w:trPr>
        <w:tc>
          <w:tcPr>
            <w:tcW w:w="14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kern w:val="0"/>
                <w:sz w:val="24"/>
                <w:lang w:bidi="ar"/>
              </w:rPr>
              <w:t>二、政府保障</w:t>
            </w:r>
          </w:p>
        </w:tc>
        <w:tc>
          <w:tcPr>
            <w:tcW w:w="3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8.学校规划布局</w:t>
            </w:r>
          </w:p>
        </w:tc>
        <w:tc>
          <w:tcPr>
            <w:tcW w:w="6498" w:type="dxa"/>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义务教育学校规划布局合理，符合国家规定要求</w:t>
            </w:r>
          </w:p>
        </w:tc>
        <w:tc>
          <w:tcPr>
            <w:tcW w:w="167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规建科</w:t>
            </w:r>
          </w:p>
        </w:tc>
        <w:tc>
          <w:tcPr>
            <w:tcW w:w="1290" w:type="dxa"/>
            <w:vMerge w:val="restart"/>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kern w:val="0"/>
                <w:sz w:val="24"/>
                <w:u w:val="single"/>
                <w:lang w:bidi="ar"/>
              </w:rPr>
            </w:pPr>
            <w:r>
              <w:rPr>
                <w:rFonts w:hint="eastAsia" w:ascii="方正仿宋_GBK" w:hAnsi="方正仿宋_GBK" w:eastAsia="方正仿宋_GBK" w:cs="方正仿宋_GBK"/>
                <w:color w:val="FF0000"/>
                <w:kern w:val="0"/>
                <w:sz w:val="24"/>
                <w:u w:val="single"/>
                <w:lang w:bidi="ar"/>
              </w:rPr>
              <w:t>（8-22项）</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15 项指标必须项项达标</w:t>
            </w:r>
          </w:p>
        </w:tc>
      </w:tr>
      <w:tr>
        <w:tblPrEx>
          <w:tblLayout w:type="fixed"/>
          <w:tblCellMar>
            <w:top w:w="0" w:type="dxa"/>
            <w:left w:w="0" w:type="dxa"/>
            <w:bottom w:w="0" w:type="dxa"/>
            <w:right w:w="0" w:type="dxa"/>
          </w:tblCellMar>
        </w:tblPrEx>
        <w:trPr>
          <w:trHeight w:val="1540" w:hRule="atLeast"/>
        </w:trPr>
        <w:tc>
          <w:tcPr>
            <w:tcW w:w="14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auto" w:sz="4" w:space="0"/>
              <w:left w:val="nil"/>
              <w:bottom w:val="nil"/>
              <w:right w:val="nil"/>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9. 城乡义务教育学校建设标准、教师编制标准、生均公用经费基准定额、基本装备配置标准“四统一”</w:t>
            </w:r>
          </w:p>
        </w:tc>
        <w:tc>
          <w:tcPr>
            <w:tcW w:w="64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（1）城乡义务教育学校达标《重庆市义务教育学校办学条件基本标准（试行）》；（2）城乡义务教育学校师生比小学 1:19、初中1:13.5；（3）生均公用经费基准定额小学 700元、初中 900 元</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规建科</w:t>
            </w:r>
          </w:p>
          <w:p>
            <w:pPr>
              <w:widowControl/>
              <w:jc w:val="center"/>
              <w:textAlignment w:val="center"/>
              <w:rPr>
                <w:rFonts w:hint="eastAsia"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组织人事科</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财审科</w:t>
            </w: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1140" w:hRule="atLeast"/>
        </w:trPr>
        <w:tc>
          <w:tcPr>
            <w:tcW w:w="148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10.音乐、美术专用教室</w:t>
            </w:r>
          </w:p>
        </w:tc>
        <w:tc>
          <w:tcPr>
            <w:tcW w:w="6498"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（1）所有小学、初中每 12 个班级配备音乐、美术专用教室 1 间以上；（2）每间音乐专用教室不小于 96 平方米，每间美术专用教室不小于 90 平方米</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技装中心</w:t>
            </w: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319" w:hRule="atLeast"/>
        </w:trPr>
        <w:tc>
          <w:tcPr>
            <w:tcW w:w="148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color w:val="000000"/>
                <w:sz w:val="24"/>
              </w:rPr>
            </w:pPr>
          </w:p>
        </w:tc>
        <w:tc>
          <w:tcPr>
            <w:tcW w:w="6498"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ascii="方正仿宋_GBK" w:hAnsi="方正仿宋_GBK" w:eastAsia="方正仿宋_GBK" w:cs="方正仿宋_GBK"/>
                <w:color w:val="000000"/>
                <w:sz w:val="24"/>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90" w:hRule="atLeast"/>
        </w:trPr>
        <w:tc>
          <w:tcPr>
            <w:tcW w:w="148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11.规模</w:t>
            </w:r>
          </w:p>
        </w:tc>
        <w:tc>
          <w:tcPr>
            <w:tcW w:w="64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所有小学、初中规模不超过 2000 人，九年一贯制学校、十二年一贯制学校义务教育阶段规模不超过 2500 人</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规建科</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基教科</w:t>
            </w: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500" w:hRule="atLeast"/>
        </w:trPr>
        <w:tc>
          <w:tcPr>
            <w:tcW w:w="148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12.班额</w:t>
            </w:r>
          </w:p>
        </w:tc>
        <w:tc>
          <w:tcPr>
            <w:tcW w:w="64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所有班级学生数小学不超过 45 人、初中不超过 50 人</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基教科</w:t>
            </w: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560" w:hRule="atLeast"/>
        </w:trPr>
        <w:tc>
          <w:tcPr>
            <w:tcW w:w="148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13.小规模学校公用经费</w:t>
            </w:r>
          </w:p>
        </w:tc>
        <w:tc>
          <w:tcPr>
            <w:tcW w:w="64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不足100 名学生村小学和教学点按100 名学生核定公用经费</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财审科</w:t>
            </w: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480" w:hRule="atLeast"/>
        </w:trPr>
        <w:tc>
          <w:tcPr>
            <w:tcW w:w="148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14.特殊教育公用经费</w:t>
            </w:r>
          </w:p>
        </w:tc>
        <w:tc>
          <w:tcPr>
            <w:tcW w:w="64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特殊教育学校生均公用经费不低于 6000 元</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1800" w:hRule="atLeast"/>
        </w:trPr>
        <w:tc>
          <w:tcPr>
            <w:tcW w:w="148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15.教师工资待遇</w:t>
            </w:r>
          </w:p>
        </w:tc>
        <w:tc>
          <w:tcPr>
            <w:tcW w:w="64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（1）落实《国务院办公厅关于进一步保障义务教育教师工资待遇的通知》（国办发〔2018〕89 号）精神，全区县义务教育学校教师平均工资收入水平不低于当地公务员平均工资收入水平；（2）按规定足额核定教师绩效工资总量</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组织人事科</w:t>
            </w:r>
          </w:p>
          <w:p>
            <w:pPr>
              <w:widowControl/>
              <w:jc w:val="center"/>
              <w:textAlignment w:val="top"/>
              <w:rPr>
                <w:rFonts w:ascii="方正仿宋_GBK" w:hAnsi="方正仿宋_GBK" w:eastAsia="方正仿宋_GBK" w:cs="方正仿宋_GBK"/>
                <w:color w:val="000000"/>
                <w:kern w:val="0"/>
                <w:sz w:val="24"/>
                <w:lang w:bidi="ar"/>
              </w:rPr>
            </w:pPr>
          </w:p>
          <w:p>
            <w:pPr>
              <w:widowControl/>
              <w:jc w:val="center"/>
              <w:textAlignment w:val="top"/>
              <w:rPr>
                <w:rFonts w:ascii="方正仿宋_GBK" w:hAnsi="方正仿宋_GBK" w:eastAsia="方正仿宋_GBK" w:cs="方正仿宋_GBK"/>
                <w:color w:val="000000"/>
                <w:kern w:val="0"/>
                <w:sz w:val="24"/>
                <w:lang w:bidi="ar"/>
              </w:rPr>
            </w:pPr>
          </w:p>
          <w:p>
            <w:pPr>
              <w:widowControl/>
              <w:jc w:val="center"/>
              <w:textAlignment w:val="top"/>
              <w:rPr>
                <w:rFonts w:ascii="方正仿宋_GBK" w:hAnsi="方正仿宋_GBK" w:eastAsia="方正仿宋_GBK" w:cs="方正仿宋_GBK"/>
                <w:color w:val="000000"/>
                <w:kern w:val="0"/>
                <w:sz w:val="24"/>
                <w:lang w:bidi="ar"/>
              </w:rPr>
            </w:pPr>
          </w:p>
          <w:p>
            <w:pPr>
              <w:widowControl/>
              <w:jc w:val="center"/>
              <w:textAlignment w:val="top"/>
              <w:rPr>
                <w:rFonts w:ascii="方正仿宋_GBK" w:hAnsi="方正仿宋_GBK" w:eastAsia="方正仿宋_GBK" w:cs="方正仿宋_GBK"/>
                <w:color w:val="000000"/>
                <w:kern w:val="0"/>
                <w:sz w:val="24"/>
                <w:lang w:bidi="ar"/>
              </w:rPr>
            </w:pPr>
          </w:p>
          <w:p>
            <w:pPr>
              <w:widowControl/>
              <w:jc w:val="center"/>
              <w:textAlignment w:val="top"/>
              <w:rPr>
                <w:rFonts w:ascii="方正仿宋_GBK" w:hAnsi="方正仿宋_GBK" w:eastAsia="方正仿宋_GBK" w:cs="方正仿宋_GBK"/>
                <w:color w:val="000000"/>
                <w:kern w:val="0"/>
                <w:sz w:val="24"/>
                <w:lang w:bidi="ar"/>
              </w:rPr>
            </w:pPr>
          </w:p>
          <w:p>
            <w:pPr>
              <w:widowControl/>
              <w:jc w:val="center"/>
              <w:textAlignment w:val="top"/>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组织人事科</w:t>
            </w: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757" w:hRule="atLeast"/>
        </w:trPr>
        <w:tc>
          <w:tcPr>
            <w:tcW w:w="148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16.教师培训率</w:t>
            </w:r>
          </w:p>
        </w:tc>
        <w:tc>
          <w:tcPr>
            <w:tcW w:w="64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教师 5 年 360 学时培训完成率 100%</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1101" w:hRule="atLeast"/>
        </w:trPr>
        <w:tc>
          <w:tcPr>
            <w:tcW w:w="148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小标宋_GBK" w:hAnsi="方正小标宋_GBK" w:eastAsia="方正小标宋_GBK" w:cs="方正小标宋_GBK"/>
                <w:color w:val="000000"/>
                <w:sz w:val="18"/>
                <w:szCs w:val="18"/>
              </w:rPr>
            </w:pPr>
            <w:r>
              <w:rPr>
                <w:rFonts w:hint="eastAsia" w:ascii="方正仿宋_GBK" w:hAnsi="方正仿宋_GBK" w:eastAsia="方正仿宋_GBK" w:cs="方正仿宋_GBK"/>
                <w:color w:val="000000"/>
                <w:kern w:val="0"/>
                <w:sz w:val="24"/>
                <w:lang w:bidi="ar"/>
              </w:rPr>
              <w:t>17.教职工编制</w:t>
            </w:r>
          </w:p>
        </w:tc>
        <w:tc>
          <w:tcPr>
            <w:tcW w:w="64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区县教育行政部门在核定的教职工编制总额和岗位总量内，统筹分配各校教职工编制和岗位数量</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319" w:hRule="atLeast"/>
        </w:trPr>
        <w:tc>
          <w:tcPr>
            <w:tcW w:w="148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kern w:val="0"/>
                <w:sz w:val="24"/>
                <w:lang w:bidi="ar"/>
              </w:rPr>
            </w:pPr>
          </w:p>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18.教师交流轮岗率</w:t>
            </w:r>
          </w:p>
        </w:tc>
        <w:tc>
          <w:tcPr>
            <w:tcW w:w="6498"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kern w:val="0"/>
                <w:sz w:val="24"/>
                <w:lang w:bidi="ar"/>
              </w:rPr>
            </w:pPr>
          </w:p>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（1）全区县每年交流轮岗教师不低于符合交流条件教师总数的 10%；（2）骨干教师不低于交流轮岗教师总数的 20%</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1888" w:hRule="atLeast"/>
        </w:trPr>
        <w:tc>
          <w:tcPr>
            <w:tcW w:w="148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color w:val="000000"/>
                <w:sz w:val="24"/>
              </w:rPr>
            </w:pPr>
          </w:p>
        </w:tc>
        <w:tc>
          <w:tcPr>
            <w:tcW w:w="6498"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tcPr>
          <w:p>
            <w:pPr>
              <w:jc w:val="left"/>
              <w:rPr>
                <w:rFonts w:ascii="方正仿宋_GBK" w:hAnsi="方正仿宋_GBK" w:eastAsia="方正仿宋_GBK" w:cs="方正仿宋_GBK"/>
                <w:color w:val="000000"/>
                <w:sz w:val="24"/>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1101" w:hRule="atLeast"/>
        </w:trPr>
        <w:tc>
          <w:tcPr>
            <w:tcW w:w="148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19.专任教师持证率</w:t>
            </w:r>
          </w:p>
        </w:tc>
        <w:tc>
          <w:tcPr>
            <w:tcW w:w="649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专任教师持有教师资格证上岗率 100%</w:t>
            </w:r>
          </w:p>
        </w:tc>
        <w:tc>
          <w:tcPr>
            <w:tcW w:w="167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824" w:hRule="atLeast"/>
        </w:trPr>
        <w:tc>
          <w:tcPr>
            <w:tcW w:w="148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20.就近入学率</w:t>
            </w:r>
          </w:p>
        </w:tc>
        <w:tc>
          <w:tcPr>
            <w:tcW w:w="649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城区和镇区公办小学、初中（均不含寄宿制学校）就近划片入学率分别达到 100%、95%以上</w:t>
            </w:r>
          </w:p>
        </w:tc>
        <w:tc>
          <w:tcPr>
            <w:tcW w:w="167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textAlignment w:val="top"/>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基教科</w:t>
            </w:r>
          </w:p>
          <w:p>
            <w:pPr>
              <w:jc w:val="center"/>
              <w:textAlignment w:val="top"/>
              <w:rPr>
                <w:rFonts w:ascii="方正仿宋_GBK" w:hAnsi="方正仿宋_GBK" w:eastAsia="方正仿宋_GBK" w:cs="方正仿宋_GBK"/>
                <w:color w:val="000000"/>
                <w:kern w:val="0"/>
                <w:sz w:val="24"/>
                <w:lang w:bidi="ar"/>
              </w:rPr>
            </w:pPr>
          </w:p>
          <w:p>
            <w:pPr>
              <w:jc w:val="center"/>
              <w:textAlignment w:val="top"/>
              <w:rPr>
                <w:rFonts w:ascii="方正仿宋_GBK" w:hAnsi="方正仿宋_GBK" w:eastAsia="方正仿宋_GBK" w:cs="方正仿宋_GBK"/>
                <w:color w:val="000000"/>
                <w:kern w:val="0"/>
                <w:sz w:val="24"/>
                <w:lang w:bidi="ar"/>
              </w:rPr>
            </w:pPr>
          </w:p>
          <w:p>
            <w:pPr>
              <w:textAlignment w:val="top"/>
              <w:rPr>
                <w:rFonts w:ascii="方正仿宋_GBK" w:hAnsi="方正仿宋_GBK" w:eastAsia="方正仿宋_GBK" w:cs="方正仿宋_GBK"/>
                <w:color w:val="000000"/>
                <w:kern w:val="0"/>
                <w:sz w:val="24"/>
                <w:lang w:bidi="ar"/>
              </w:rPr>
            </w:pPr>
          </w:p>
          <w:p>
            <w:pPr>
              <w:jc w:val="center"/>
              <w:textAlignment w:val="top"/>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基教科</w:t>
            </w: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966" w:hRule="atLeast"/>
        </w:trPr>
        <w:tc>
          <w:tcPr>
            <w:tcW w:w="148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21.优质高中招生名额分配</w:t>
            </w:r>
          </w:p>
        </w:tc>
        <w:tc>
          <w:tcPr>
            <w:tcW w:w="649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全区县优质高中招生名额分配比例不低于50%，并向农村初中倾斜</w:t>
            </w:r>
          </w:p>
        </w:tc>
        <w:tc>
          <w:tcPr>
            <w:tcW w:w="16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idowControl/>
              <w:jc w:val="center"/>
              <w:textAlignment w:val="top"/>
              <w:rPr>
                <w:rFonts w:ascii="方正仿宋_GBK" w:hAnsi="方正仿宋_GBK" w:eastAsia="方正仿宋_GBK" w:cs="方正仿宋_GBK"/>
                <w:color w:val="000000"/>
                <w:sz w:val="24"/>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1074" w:hRule="atLeast"/>
        </w:trPr>
        <w:tc>
          <w:tcPr>
            <w:tcW w:w="1485" w:type="dxa"/>
            <w:vMerge w:val="continue"/>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22.留守儿童和随迁子女入学</w:t>
            </w:r>
          </w:p>
        </w:tc>
        <w:tc>
          <w:tcPr>
            <w:tcW w:w="649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（1）留守儿童关爱体系健全；（2）全区县符合条件的随迁子女在公办学校和政府购买服务的民办学校就读的比例不低于 85%</w:t>
            </w:r>
          </w:p>
        </w:tc>
        <w:tc>
          <w:tcPr>
            <w:tcW w:w="16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330" w:hRule="atLeast"/>
        </w:trPr>
        <w:tc>
          <w:tcPr>
            <w:tcW w:w="148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kern w:val="0"/>
                <w:sz w:val="24"/>
                <w:lang w:bidi="ar"/>
              </w:rPr>
              <w:t>三、教育质量</w:t>
            </w:r>
          </w:p>
        </w:tc>
        <w:tc>
          <w:tcPr>
            <w:tcW w:w="3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23.初中三年巩固率</w:t>
            </w:r>
          </w:p>
        </w:tc>
        <w:tc>
          <w:tcPr>
            <w:tcW w:w="6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全区县初中三年巩固率 95%以上</w:t>
            </w:r>
          </w:p>
        </w:tc>
        <w:tc>
          <w:tcPr>
            <w:tcW w:w="16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4"/>
              </w:rPr>
            </w:pP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kern w:val="0"/>
                <w:sz w:val="24"/>
                <w:lang w:bidi="ar"/>
              </w:rPr>
            </w:pPr>
          </w:p>
          <w:p>
            <w:pPr>
              <w:widowControl/>
              <w:jc w:val="center"/>
              <w:textAlignment w:val="center"/>
              <w:rPr>
                <w:rFonts w:ascii="方正仿宋_GBK" w:hAnsi="方正仿宋_GBK" w:eastAsia="方正仿宋_GBK" w:cs="方正仿宋_GBK"/>
                <w:color w:val="000000"/>
                <w:kern w:val="0"/>
                <w:sz w:val="24"/>
                <w:lang w:bidi="ar"/>
              </w:rPr>
            </w:pPr>
          </w:p>
          <w:p>
            <w:pPr>
              <w:widowControl/>
              <w:jc w:val="center"/>
              <w:textAlignment w:val="center"/>
              <w:rPr>
                <w:rFonts w:ascii="方正仿宋_GBK" w:hAnsi="方正仿宋_GBK" w:eastAsia="方正仿宋_GBK" w:cs="方正仿宋_GBK"/>
                <w:color w:val="000000"/>
                <w:kern w:val="0"/>
                <w:sz w:val="24"/>
                <w:lang w:bidi="ar"/>
              </w:rPr>
            </w:pPr>
          </w:p>
          <w:p>
            <w:pPr>
              <w:widowControl/>
              <w:jc w:val="center"/>
              <w:textAlignment w:val="center"/>
              <w:rPr>
                <w:rFonts w:ascii="方正仿宋_GBK" w:hAnsi="方正仿宋_GBK" w:eastAsia="方正仿宋_GBK" w:cs="方正仿宋_GBK"/>
                <w:color w:val="FF0000"/>
                <w:kern w:val="0"/>
                <w:sz w:val="24"/>
                <w:u w:val="single"/>
                <w:lang w:bidi="ar"/>
              </w:rPr>
            </w:pPr>
            <w:r>
              <w:rPr>
                <w:rFonts w:hint="eastAsia" w:ascii="方正仿宋_GBK" w:hAnsi="方正仿宋_GBK" w:eastAsia="方正仿宋_GBK" w:cs="方正仿宋_GBK"/>
                <w:color w:val="FF0000"/>
                <w:kern w:val="0"/>
                <w:sz w:val="24"/>
                <w:u w:val="single"/>
                <w:lang w:bidi="ar"/>
              </w:rPr>
              <w:t>（23-31项）</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9 项指标必须项项达标</w:t>
            </w:r>
          </w:p>
        </w:tc>
      </w:tr>
      <w:tr>
        <w:tblPrEx>
          <w:tblLayout w:type="fixed"/>
          <w:tblCellMar>
            <w:top w:w="0" w:type="dxa"/>
            <w:left w:w="0" w:type="dxa"/>
            <w:bottom w:w="0" w:type="dxa"/>
            <w:right w:w="0" w:type="dxa"/>
          </w:tblCellMar>
        </w:tblPrEx>
        <w:trPr>
          <w:trHeight w:val="1356"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24.残疾儿童少年入学率</w:t>
            </w:r>
          </w:p>
        </w:tc>
        <w:tc>
          <w:tcPr>
            <w:tcW w:w="6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全区县残疾儿童少年入学率 95%以上</w:t>
            </w:r>
          </w:p>
        </w:tc>
        <w:tc>
          <w:tcPr>
            <w:tcW w:w="1677"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498"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25.学校治理</w:t>
            </w:r>
          </w:p>
        </w:tc>
        <w:tc>
          <w:tcPr>
            <w:tcW w:w="6498" w:type="dxa"/>
            <w:vMerge w:val="restar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（1）所有学校制定章程；（2）所有学校实现管理与教学信息化</w:t>
            </w:r>
          </w:p>
        </w:tc>
        <w:tc>
          <w:tcPr>
            <w:tcW w:w="1677"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val="en-US" w:eastAsia="zh-CN" w:bidi="ar"/>
              </w:rPr>
              <w:t>综合</w:t>
            </w:r>
            <w:r>
              <w:rPr>
                <w:rFonts w:hint="eastAsia" w:ascii="方正仿宋_GBK" w:hAnsi="方正仿宋_GBK" w:eastAsia="方正仿宋_GBK" w:cs="方正仿宋_GBK"/>
                <w:color w:val="000000"/>
                <w:kern w:val="0"/>
                <w:sz w:val="24"/>
                <w:lang w:bidi="ar"/>
              </w:rPr>
              <w:t>科</w:t>
            </w:r>
          </w:p>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技装中心</w:t>
            </w: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1259"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 w:val="24"/>
              </w:rPr>
            </w:pPr>
          </w:p>
        </w:tc>
        <w:tc>
          <w:tcPr>
            <w:tcW w:w="6498" w:type="dxa"/>
            <w:vMerge w:val="continue"/>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left"/>
              <w:rPr>
                <w:rFonts w:ascii="方正仿宋_GBK" w:hAnsi="方正仿宋_GBK" w:eastAsia="方正仿宋_GBK" w:cs="方正仿宋_GBK"/>
                <w:color w:val="000000"/>
                <w:sz w:val="24"/>
              </w:rPr>
            </w:pPr>
          </w:p>
        </w:tc>
        <w:tc>
          <w:tcPr>
            <w:tcW w:w="167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319"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26.教师培训经费</w:t>
            </w:r>
          </w:p>
        </w:tc>
        <w:tc>
          <w:tcPr>
            <w:tcW w:w="6498" w:type="dxa"/>
            <w:vMerge w:val="restart"/>
            <w:tcBorders>
              <w:top w:val="single" w:color="auto" w:sz="4" w:space="0"/>
              <w:left w:val="single" w:color="auto" w:sz="4" w:space="0"/>
              <w:bottom w:val="single" w:color="auto" w:sz="4" w:space="0"/>
              <w:right w:val="nil"/>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全区县所有学校按照不低于学校年度公用经费预算总额的 5%落实教师培训经费</w:t>
            </w:r>
          </w:p>
        </w:tc>
        <w:tc>
          <w:tcPr>
            <w:tcW w:w="1677"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tcPr>
          <w:p>
            <w:pPr>
              <w:widowControl/>
              <w:jc w:val="center"/>
              <w:textAlignment w:val="top"/>
              <w:rPr>
                <w:rFonts w:hint="eastAsia"/>
                <w:b w:val="0"/>
                <w:bCs w:val="0"/>
              </w:rPr>
            </w:pPr>
            <w:r>
              <w:rPr>
                <w:rFonts w:hint="eastAsia"/>
              </w:rPr>
              <w:br w:type="textWrapping"/>
            </w:r>
            <w:bookmarkStart w:id="0" w:name="_GoBack"/>
            <w:r>
              <w:rPr>
                <w:rFonts w:hint="eastAsia"/>
                <w:b w:val="0"/>
                <w:bCs w:val="0"/>
              </w:rPr>
              <w:t>组织人事科</w:t>
            </w:r>
          </w:p>
          <w:p>
            <w:pPr>
              <w:pStyle w:val="2"/>
              <w:jc w:val="center"/>
              <w:rPr>
                <w:rFonts w:hint="eastAsia" w:eastAsia="方正仿宋_GBK"/>
                <w:lang w:eastAsia="zh-CN"/>
              </w:rPr>
            </w:pPr>
            <w:r>
              <w:rPr>
                <w:rFonts w:hint="eastAsia" w:ascii="方正仿宋_GBK" w:hAnsi="方正仿宋_GBK" w:eastAsia="方正仿宋_GBK" w:cs="方正仿宋_GBK"/>
                <w:b w:val="0"/>
                <w:bCs w:val="0"/>
                <w:color w:val="000000"/>
                <w:kern w:val="0"/>
                <w:sz w:val="24"/>
                <w:lang w:eastAsia="zh-CN" w:bidi="ar"/>
              </w:rPr>
              <w:t>财审科</w:t>
            </w:r>
            <w:bookmarkEnd w:id="0"/>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460"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left"/>
              <w:rPr>
                <w:rFonts w:ascii="方正仿宋_GBK" w:hAnsi="方正仿宋_GBK" w:eastAsia="方正仿宋_GBK" w:cs="方正仿宋_GBK"/>
                <w:color w:val="000000"/>
                <w:sz w:val="24"/>
              </w:rPr>
            </w:pPr>
          </w:p>
        </w:tc>
        <w:tc>
          <w:tcPr>
            <w:tcW w:w="6498" w:type="dxa"/>
            <w:vMerge w:val="continue"/>
            <w:tcBorders>
              <w:top w:val="single" w:color="auto" w:sz="4" w:space="0"/>
              <w:left w:val="single" w:color="auto" w:sz="4" w:space="0"/>
              <w:bottom w:val="single" w:color="auto" w:sz="4" w:space="0"/>
              <w:right w:val="nil"/>
            </w:tcBorders>
            <w:shd w:val="clear" w:color="auto" w:fill="auto"/>
            <w:tcMar>
              <w:top w:w="15" w:type="dxa"/>
              <w:left w:w="15" w:type="dxa"/>
              <w:right w:w="15" w:type="dxa"/>
            </w:tcMar>
          </w:tcPr>
          <w:p>
            <w:pPr>
              <w:jc w:val="left"/>
              <w:rPr>
                <w:rFonts w:ascii="方正仿宋_GBK" w:hAnsi="方正仿宋_GBK" w:eastAsia="方正仿宋_GBK" w:cs="方正仿宋_GBK"/>
                <w:color w:val="000000"/>
                <w:sz w:val="24"/>
              </w:rPr>
            </w:pPr>
          </w:p>
        </w:tc>
        <w:tc>
          <w:tcPr>
            <w:tcW w:w="167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330"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27.设施设备利用率</w:t>
            </w:r>
          </w:p>
        </w:tc>
        <w:tc>
          <w:tcPr>
            <w:tcW w:w="6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2"/>
                <w:szCs w:val="22"/>
              </w:rPr>
            </w:pPr>
            <w:r>
              <w:rPr>
                <w:rStyle w:val="10"/>
                <w:rFonts w:hint="default"/>
                <w:lang w:bidi="ar"/>
              </w:rPr>
              <w:t xml:space="preserve">（1） </w:t>
            </w:r>
            <w:r>
              <w:rPr>
                <w:rStyle w:val="9"/>
                <w:rFonts w:hint="default"/>
                <w:lang w:bidi="ar"/>
              </w:rPr>
              <w:t>教师能熟练运用信息化手段组织教学；</w:t>
            </w:r>
          </w:p>
        </w:tc>
        <w:tc>
          <w:tcPr>
            <w:tcW w:w="1677" w:type="dxa"/>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tcPr>
          <w:p>
            <w:pPr>
              <w:widowControl/>
              <w:textAlignment w:val="top"/>
              <w:rPr>
                <w:rFonts w:ascii="方正仿宋_GBK" w:hAnsi="方正仿宋_GBK" w:eastAsia="方正仿宋_GBK" w:cs="方正仿宋_GBK"/>
                <w:color w:val="000000"/>
                <w:kern w:val="0"/>
                <w:sz w:val="22"/>
                <w:szCs w:val="22"/>
                <w:lang w:bidi="ar"/>
              </w:rPr>
            </w:pPr>
          </w:p>
          <w:p>
            <w:pPr>
              <w:widowControl/>
              <w:jc w:val="center"/>
              <w:textAlignment w:val="top"/>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技装中心</w:t>
            </w: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330"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left"/>
              <w:rPr>
                <w:rFonts w:ascii="方正仿宋_GBK" w:hAnsi="方正仿宋_GBK" w:eastAsia="方正仿宋_GBK" w:cs="方正仿宋_GBK"/>
                <w:color w:val="000000"/>
                <w:sz w:val="24"/>
              </w:rPr>
            </w:pPr>
          </w:p>
        </w:tc>
        <w:tc>
          <w:tcPr>
            <w:tcW w:w="6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2"/>
                <w:szCs w:val="22"/>
              </w:rPr>
            </w:pPr>
            <w:r>
              <w:rPr>
                <w:rStyle w:val="10"/>
                <w:rFonts w:hint="default"/>
                <w:lang w:bidi="ar"/>
              </w:rPr>
              <w:t xml:space="preserve">（2） </w:t>
            </w:r>
            <w:r>
              <w:rPr>
                <w:rStyle w:val="9"/>
                <w:rFonts w:hint="default"/>
                <w:lang w:bidi="ar"/>
              </w:rPr>
              <w:t>设施设备利用率水平较高</w:t>
            </w:r>
          </w:p>
        </w:tc>
        <w:tc>
          <w:tcPr>
            <w:tcW w:w="1677"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2"/>
                <w:szCs w:val="22"/>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660"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28.五育并举</w:t>
            </w:r>
          </w:p>
        </w:tc>
        <w:tc>
          <w:tcPr>
            <w:tcW w:w="6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2"/>
                <w:szCs w:val="22"/>
              </w:rPr>
            </w:pPr>
            <w:r>
              <w:rPr>
                <w:rStyle w:val="10"/>
                <w:rFonts w:hint="default"/>
                <w:lang w:bidi="ar"/>
              </w:rPr>
              <w:t xml:space="preserve">（1） </w:t>
            </w:r>
            <w:r>
              <w:rPr>
                <w:rStyle w:val="9"/>
                <w:rFonts w:hint="default"/>
                <w:lang w:bidi="ar"/>
              </w:rPr>
              <w:t>突出德育实效，提升智育水平，强化体育锻炼，增强美育熏陶，加强劳动教育；</w:t>
            </w:r>
          </w:p>
        </w:tc>
        <w:tc>
          <w:tcPr>
            <w:tcW w:w="1677" w:type="dxa"/>
            <w:vMerge w:val="restar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tcPr>
          <w:p>
            <w:pPr>
              <w:widowControl/>
              <w:jc w:val="center"/>
              <w:textAlignment w:val="top"/>
              <w:rPr>
                <w:rFonts w:hint="eastAsia" w:ascii="方正仿宋_GBK" w:hAnsi="方正仿宋_GBK" w:eastAsia="方正仿宋_GBK" w:cs="方正仿宋_GBK"/>
                <w:color w:val="000000"/>
                <w:kern w:val="0"/>
                <w:sz w:val="22"/>
                <w:szCs w:val="22"/>
                <w:lang w:bidi="ar"/>
              </w:rPr>
            </w:pPr>
          </w:p>
          <w:p>
            <w:pPr>
              <w:widowControl/>
              <w:jc w:val="center"/>
              <w:textAlignment w:val="top"/>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基教科</w:t>
            </w:r>
            <w:r>
              <w:rPr>
                <w:rFonts w:hint="eastAsia" w:ascii="方正仿宋_GBK" w:hAnsi="方正仿宋_GBK" w:eastAsia="方正仿宋_GBK" w:cs="方正仿宋_GBK"/>
                <w:color w:val="000000"/>
                <w:kern w:val="0"/>
                <w:sz w:val="22"/>
                <w:szCs w:val="22"/>
                <w:lang w:bidi="ar"/>
              </w:rPr>
              <w:br w:type="textWrapping"/>
            </w:r>
            <w:r>
              <w:rPr>
                <w:rFonts w:hint="eastAsia" w:ascii="方正仿宋_GBK" w:hAnsi="方正仿宋_GBK" w:eastAsia="方正仿宋_GBK" w:cs="方正仿宋_GBK"/>
                <w:color w:val="000000"/>
                <w:kern w:val="0"/>
                <w:sz w:val="22"/>
                <w:szCs w:val="22"/>
                <w:lang w:bidi="ar"/>
              </w:rPr>
              <w:br w:type="textWrapping"/>
            </w:r>
            <w:r>
              <w:rPr>
                <w:rFonts w:hint="eastAsia" w:ascii="方正仿宋_GBK" w:hAnsi="方正仿宋_GBK" w:eastAsia="方正仿宋_GBK" w:cs="方正仿宋_GBK"/>
                <w:color w:val="000000"/>
                <w:kern w:val="0"/>
                <w:sz w:val="22"/>
                <w:szCs w:val="22"/>
                <w:lang w:bidi="ar"/>
              </w:rPr>
              <w:br w:type="textWrapping"/>
            </w:r>
            <w:r>
              <w:rPr>
                <w:rFonts w:hint="eastAsia" w:ascii="方正仿宋_GBK" w:hAnsi="方正仿宋_GBK" w:eastAsia="方正仿宋_GBK" w:cs="方正仿宋_GBK"/>
                <w:color w:val="000000"/>
                <w:kern w:val="0"/>
                <w:sz w:val="22"/>
                <w:szCs w:val="22"/>
                <w:lang w:bidi="ar"/>
              </w:rPr>
              <w:br w:type="textWrapping"/>
            </w:r>
            <w:r>
              <w:rPr>
                <w:rFonts w:hint="eastAsia" w:ascii="方正仿宋_GBK" w:hAnsi="方正仿宋_GBK" w:eastAsia="方正仿宋_GBK" w:cs="方正仿宋_GBK"/>
                <w:color w:val="000000"/>
                <w:kern w:val="0"/>
                <w:sz w:val="22"/>
                <w:szCs w:val="22"/>
                <w:lang w:bidi="ar"/>
              </w:rPr>
              <w:t>基教科</w:t>
            </w: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781" w:hRule="atLeast"/>
        </w:trPr>
        <w:tc>
          <w:tcPr>
            <w:tcW w:w="1485" w:type="dxa"/>
            <w:vMerge w:val="continue"/>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color w:val="000000"/>
                <w:sz w:val="24"/>
              </w:rPr>
            </w:pPr>
          </w:p>
        </w:tc>
        <w:tc>
          <w:tcPr>
            <w:tcW w:w="64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idowControl/>
              <w:jc w:val="left"/>
              <w:textAlignment w:val="top"/>
              <w:rPr>
                <w:rStyle w:val="9"/>
                <w:rFonts w:hint="default"/>
                <w:lang w:bidi="ar"/>
              </w:rPr>
            </w:pPr>
            <w:r>
              <w:rPr>
                <w:rStyle w:val="10"/>
                <w:rFonts w:hint="default"/>
                <w:lang w:bidi="ar"/>
              </w:rPr>
              <w:t xml:space="preserve">（2） </w:t>
            </w:r>
            <w:r>
              <w:rPr>
                <w:rStyle w:val="9"/>
                <w:rFonts w:hint="default"/>
                <w:lang w:bidi="ar"/>
              </w:rPr>
              <w:t>所有学校德育工作、校园文化建设水平达到良好以上</w:t>
            </w:r>
          </w:p>
        </w:tc>
        <w:tc>
          <w:tcPr>
            <w:tcW w:w="1677"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2"/>
                <w:szCs w:val="22"/>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319" w:hRule="atLeast"/>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29.课程开设</w:t>
            </w:r>
          </w:p>
        </w:tc>
        <w:tc>
          <w:tcPr>
            <w:tcW w:w="649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课程开齐开足，教学秩序规范，综合实践活动有效开展；（2）配备专兼职相结合的劳动教育教师；（3）有满足劳动教育需要的实践基地和场所；（4）全面开设劳动课，且劳动实践时间不少于综合实践活动课时的 50%</w:t>
            </w:r>
          </w:p>
        </w:tc>
        <w:tc>
          <w:tcPr>
            <w:tcW w:w="16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2"/>
                <w:szCs w:val="22"/>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765" w:hRule="atLeast"/>
        </w:trPr>
        <w:tc>
          <w:tcPr>
            <w:tcW w:w="1485" w:type="dxa"/>
            <w:vMerge w:val="continue"/>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color w:val="000000"/>
                <w:sz w:val="24"/>
              </w:rPr>
            </w:pPr>
          </w:p>
        </w:tc>
        <w:tc>
          <w:tcPr>
            <w:tcW w:w="649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tcPr>
          <w:p>
            <w:pPr>
              <w:jc w:val="left"/>
              <w:rPr>
                <w:rFonts w:ascii="方正仿宋_GBK" w:hAnsi="方正仿宋_GBK" w:eastAsia="方正仿宋_GBK" w:cs="方正仿宋_GBK"/>
                <w:color w:val="000000"/>
                <w:sz w:val="24"/>
              </w:rPr>
            </w:pPr>
          </w:p>
        </w:tc>
        <w:tc>
          <w:tcPr>
            <w:tcW w:w="167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2"/>
                <w:szCs w:val="22"/>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990" w:hRule="atLeast"/>
        </w:trPr>
        <w:tc>
          <w:tcPr>
            <w:tcW w:w="1485" w:type="dxa"/>
            <w:vMerge w:val="continue"/>
            <w:tcBorders>
              <w:top w:val="single" w:color="auto" w:sz="4" w:space="0"/>
              <w:left w:val="single" w:color="auto" w:sz="4" w:space="0"/>
              <w:bottom w:val="nil"/>
              <w:right w:val="nil"/>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30.课业负担</w:t>
            </w:r>
          </w:p>
        </w:tc>
        <w:tc>
          <w:tcPr>
            <w:tcW w:w="649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落实教育部等九部门《关于印发中小学生减负措施的通知》（教基〔2018〕26 号）精神，学生无过重课业负担</w:t>
            </w:r>
          </w:p>
        </w:tc>
        <w:tc>
          <w:tcPr>
            <w:tcW w:w="167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2"/>
                <w:szCs w:val="22"/>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319" w:hRule="atLeast"/>
        </w:trPr>
        <w:tc>
          <w:tcPr>
            <w:tcW w:w="1485" w:type="dxa"/>
            <w:vMerge w:val="continue"/>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31.学业水平</w:t>
            </w:r>
          </w:p>
        </w:tc>
        <w:tc>
          <w:tcPr>
            <w:tcW w:w="64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在国家或市级义务教育质量监测中，相关科目学生学业水平达到 III 级以上，且校际差异率低于 0.15</w:t>
            </w:r>
          </w:p>
        </w:tc>
        <w:tc>
          <w:tcPr>
            <w:tcW w:w="1677"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tcPr>
          <w:p>
            <w:pPr>
              <w:widowControl/>
              <w:jc w:val="center"/>
              <w:textAlignment w:val="top"/>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kern w:val="0"/>
                <w:sz w:val="22"/>
                <w:szCs w:val="22"/>
                <w:lang w:bidi="ar"/>
              </w:rPr>
              <w:t>质量评估与干部人事档案中心</w:t>
            </w: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560" w:hRule="atLeast"/>
        </w:trPr>
        <w:tc>
          <w:tcPr>
            <w:tcW w:w="1485" w:type="dxa"/>
            <w:vMerge w:val="continue"/>
            <w:tcBorders>
              <w:top w:val="single" w:color="000000" w:sz="4" w:space="0"/>
              <w:left w:val="single" w:color="auto" w:sz="4" w:space="0"/>
              <w:bottom w:val="nil"/>
              <w:right w:val="nil"/>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color w:val="000000"/>
                <w:sz w:val="24"/>
              </w:rPr>
            </w:pPr>
          </w:p>
        </w:tc>
        <w:tc>
          <w:tcPr>
            <w:tcW w:w="6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方正仿宋_GBK" w:hAnsi="方正仿宋_GBK" w:eastAsia="方正仿宋_GBK" w:cs="方正仿宋_GBK"/>
                <w:color w:val="000000"/>
                <w:sz w:val="24"/>
              </w:rPr>
            </w:pPr>
          </w:p>
        </w:tc>
        <w:tc>
          <w:tcPr>
            <w:tcW w:w="167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4"/>
              </w:rPr>
            </w:pPr>
          </w:p>
        </w:tc>
        <w:tc>
          <w:tcPr>
            <w:tcW w:w="129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319"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kern w:val="0"/>
                <w:sz w:val="24"/>
                <w:lang w:bidi="ar"/>
              </w:rPr>
              <w:t>四、社会认可度</w:t>
            </w:r>
          </w:p>
        </w:tc>
        <w:tc>
          <w:tcPr>
            <w:tcW w:w="96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32.社会认可度达到 85%以上。调查对象包括家长、教师、校长、人大代表、政协委员、学生及其他群众。抽样调查数量按申报区县常住人口的 1.5‰确定，家长比例原则上不低于 50%，其他各类调查对象数量大体相当。</w:t>
            </w:r>
          </w:p>
        </w:tc>
        <w:tc>
          <w:tcPr>
            <w:tcW w:w="1677"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br w:type="textWrapping"/>
            </w:r>
            <w:r>
              <w:rPr>
                <w:rFonts w:hint="eastAsia" w:ascii="方正仿宋_GBK" w:hAnsi="方正仿宋_GBK" w:eastAsia="方正仿宋_GBK" w:cs="方正仿宋_GBK"/>
                <w:color w:val="000000"/>
                <w:kern w:val="0"/>
                <w:sz w:val="24"/>
                <w:lang w:bidi="ar"/>
              </w:rPr>
              <w:t>综合科</w:t>
            </w:r>
          </w:p>
        </w:tc>
        <w:tc>
          <w:tcPr>
            <w:tcW w:w="1290"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社会认可度达到 85%以上。</w:t>
            </w:r>
          </w:p>
        </w:tc>
      </w:tr>
      <w:tr>
        <w:tblPrEx>
          <w:tblLayout w:type="fixed"/>
          <w:tblCellMar>
            <w:top w:w="0" w:type="dxa"/>
            <w:left w:w="0" w:type="dxa"/>
            <w:bottom w:w="0" w:type="dxa"/>
            <w:right w:w="0" w:type="dxa"/>
          </w:tblCellMar>
        </w:tblPrEx>
        <w:trPr>
          <w:trHeight w:val="96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96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4"/>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方正仿宋_GBK" w:hAnsi="方正仿宋_GBK" w:eastAsia="方正仿宋_GBK" w:cs="方正仿宋_GBK"/>
                <w:color w:val="000000"/>
                <w:sz w:val="24"/>
              </w:rPr>
            </w:pPr>
          </w:p>
        </w:tc>
      </w:tr>
      <w:tr>
        <w:tblPrEx>
          <w:tblLayout w:type="fixed"/>
          <w:tblCellMar>
            <w:top w:w="0" w:type="dxa"/>
            <w:left w:w="0" w:type="dxa"/>
            <w:bottom w:w="0" w:type="dxa"/>
            <w:right w:w="0" w:type="dxa"/>
          </w:tblCellMar>
        </w:tblPrEx>
        <w:trPr>
          <w:trHeight w:val="380"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kern w:val="0"/>
                <w:sz w:val="24"/>
                <w:lang w:bidi="ar"/>
              </w:rPr>
              <w:t>五、一票否决</w:t>
            </w:r>
          </w:p>
        </w:tc>
        <w:tc>
          <w:tcPr>
            <w:tcW w:w="126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1.存在以考试方式招生；</w:t>
            </w:r>
          </w:p>
        </w:tc>
      </w:tr>
      <w:tr>
        <w:tblPrEx>
          <w:tblLayout w:type="fixed"/>
          <w:tblCellMar>
            <w:top w:w="0" w:type="dxa"/>
            <w:left w:w="0" w:type="dxa"/>
            <w:bottom w:w="0" w:type="dxa"/>
            <w:right w:w="0" w:type="dxa"/>
          </w:tblCellMar>
        </w:tblPrEx>
        <w:trPr>
          <w:trHeight w:val="38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126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2. 存在违规择校行为；</w:t>
            </w:r>
          </w:p>
        </w:tc>
      </w:tr>
      <w:tr>
        <w:tblPrEx>
          <w:tblLayout w:type="fixed"/>
          <w:tblCellMar>
            <w:top w:w="0" w:type="dxa"/>
            <w:left w:w="0" w:type="dxa"/>
            <w:bottom w:w="0" w:type="dxa"/>
            <w:right w:w="0" w:type="dxa"/>
          </w:tblCellMar>
        </w:tblPrEx>
        <w:trPr>
          <w:trHeight w:val="38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126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3. 存在重点学校或重点班；</w:t>
            </w:r>
          </w:p>
        </w:tc>
      </w:tr>
      <w:tr>
        <w:tblPrEx>
          <w:tblLayout w:type="fixed"/>
          <w:tblCellMar>
            <w:top w:w="0" w:type="dxa"/>
            <w:left w:w="0" w:type="dxa"/>
            <w:bottom w:w="0" w:type="dxa"/>
            <w:right w:w="0" w:type="dxa"/>
          </w:tblCellMar>
        </w:tblPrEx>
        <w:trPr>
          <w:trHeight w:val="38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126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4. 存在“有编不补”或长期聘用编外教师的情况；</w:t>
            </w:r>
          </w:p>
        </w:tc>
      </w:tr>
      <w:tr>
        <w:tblPrEx>
          <w:tblLayout w:type="fixed"/>
          <w:tblCellMar>
            <w:top w:w="0" w:type="dxa"/>
            <w:left w:w="0" w:type="dxa"/>
            <w:bottom w:w="0" w:type="dxa"/>
            <w:right w:w="0" w:type="dxa"/>
          </w:tblCellMar>
        </w:tblPrEx>
        <w:trPr>
          <w:trHeight w:val="38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126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kern w:val="0"/>
                <w:sz w:val="22"/>
                <w:szCs w:val="22"/>
                <w:lang w:bidi="ar"/>
              </w:rPr>
              <w:t>5. 教育系统存在重大安全责任事故和严重违纪违规事件；</w:t>
            </w:r>
          </w:p>
        </w:tc>
      </w:tr>
      <w:tr>
        <w:tblPrEx>
          <w:tblLayout w:type="fixed"/>
          <w:tblCellMar>
            <w:top w:w="0" w:type="dxa"/>
            <w:left w:w="0" w:type="dxa"/>
            <w:bottom w:w="0" w:type="dxa"/>
            <w:right w:w="0" w:type="dxa"/>
          </w:tblCellMar>
        </w:tblPrEx>
        <w:trPr>
          <w:trHeight w:val="38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b/>
                <w:color w:val="000000"/>
                <w:sz w:val="24"/>
              </w:rPr>
            </w:pPr>
          </w:p>
        </w:tc>
        <w:tc>
          <w:tcPr>
            <w:tcW w:w="1261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6.有弄虚作假行为。</w:t>
            </w:r>
          </w:p>
        </w:tc>
      </w:tr>
      <w:tr>
        <w:tblPrEx>
          <w:tblLayout w:type="fixed"/>
          <w:tblCellMar>
            <w:top w:w="0" w:type="dxa"/>
            <w:left w:w="0" w:type="dxa"/>
            <w:bottom w:w="0" w:type="dxa"/>
            <w:right w:w="0" w:type="dxa"/>
          </w:tblCellMar>
        </w:tblPrEx>
        <w:trPr>
          <w:trHeight w:val="270" w:hRule="atLeast"/>
        </w:trPr>
        <w:tc>
          <w:tcPr>
            <w:tcW w:w="14100" w:type="dxa"/>
            <w:gridSpan w:val="5"/>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Layout w:type="fixed"/>
          <w:tblCellMar>
            <w:top w:w="0" w:type="dxa"/>
            <w:left w:w="0" w:type="dxa"/>
            <w:bottom w:w="0" w:type="dxa"/>
            <w:right w:w="0" w:type="dxa"/>
          </w:tblCellMar>
        </w:tblPrEx>
        <w:trPr>
          <w:trHeight w:val="7200" w:hRule="atLeast"/>
        </w:trPr>
        <w:tc>
          <w:tcPr>
            <w:tcW w:w="14100" w:type="dxa"/>
            <w:gridSpan w:val="5"/>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说明：</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1.对于一个独立代码、一个独立法人、但有多个校区的“学校”，以独立校区为统计单位。其中，对于教师在多校区上课的，记入其人事档案管理所在校区。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2.除“平均工资收入水平”、“县级教育行政部门在核定的教职工编制总额和岗位总量内，统筹分配各校教职工编制和岗位数量”、“教师交流轮岗比例”外， 其他指标均包含县域内民办学校。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3.职业学校不得附设普通小学班、初中班。</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4.统计体育、艺术（美术、音乐）专任教师数时，对 50 人及以上但不足 100 人的农村小规模学校和教学点，可包含交流轮岗、兼职、走教的体育和艺术（美术、音乐）教师。</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近三年评估中，对于人口密度过高的大城市中心城区的学校，体育运动场馆面积可包括经改造（改建）后，能够满足学生运动需要的、专用的、安全的活动空间，如校园内部的地下、楼顶等区域设立的专用运动场地，由当地政府或教育部门与之签订了租赁合同、保障学校上课时间专用的校外周边体育场馆（可步行10分钟内到达，且有安全的交通保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6.近三年评估中，对于在2016年及之前规划并建成的学校，其音乐、美术专用教室单间使用面积按分别不低于 73、67 平方米评估；对于最大班额低于30人的农村小规模学校，按照小学音乐、美术教室单间使用面积均不低于 54 平方米、初中均不低于 61 平方米评估。同时要求各地做出建设规划，评估后持续跟踪复查，认定后三年之内达到规定标准要求。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7.近三年评估中，对于2010年及之前规划并建成的学校，以及进城务工人员随迁子女占比超过 50%的学校，其学校规模按小学、初中均不超过 2400 人，九年一贯制学校不超过3000人评估。同时要求各地做出建设规划，评估后持续跟踪复查，认定后三年之内达到规定标准要求。</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8.对全区县义务教育学校教师平均工资收入水平和当地公务员平均工资收入水平，按《国务院办公厅关于进一步保障义务教育教师工资待遇的通知》（国办发〔2018〕89 号）文件规定口径测算。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9.高于规定学历教师数：小学专任教师中具有大专及以上学历的教师，初中专任教师中具有大学本科及以上学历的教师。</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10.教学及辅助用房面积：教学及辅助用房面积是指学校中教室、实验室、图书室、微机室、语音室面积之和。</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11.一贯制学校和完全中学的教学及辅助用房面积、体育运动场馆面积、教学仪器设备值、网络多媒体教室数等四项指标需要做拆分处理。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九年一贯制学校，需根据小学、初中各自规模，按照“一个小学生：一个初中生＝1：1.1”的比例进行拆分，将其小学部、初中部占有部分分别作为单独小学、初中数据。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完全中学，需根据初中、高中各自规模，按照“一个初中生：一个高中生＝1： 1.2”的比例进行拆分，将其初中部占有部分作为单独初中学校数据。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十二年一贯制学校，需根据小学、初中、高中各自规模，按照“一个小学生： 一个初中生：一个高中生＝1：1.1：1.32”的比例进行拆分，将其小学部、初中部占有部分分别作为单独小学、初中数据。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对于少数地区存在的小学附设幼儿班、初中附设小学班、高中或中职附设初中班的情况，可按照上述办法做相应比例的拆分。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12.对于因新建或即将撤消原因造成的年级建制不全的学校，在计算差异系数时可按现有年级数与当地相应小学和初中学制年数的比例，对各项指标数据进行折算。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13.对资源配置评估时，不含特殊教育学校、职业学校及不足 50 人的教学点。</w:t>
            </w:r>
          </w:p>
        </w:tc>
      </w:tr>
    </w:tbl>
    <w:p>
      <w:pPr>
        <w:widowControl/>
        <w:spacing w:line="560" w:lineRule="exact"/>
        <w:jc w:val="left"/>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584"/>
    <w:rsid w:val="000F63C4"/>
    <w:rsid w:val="00345715"/>
    <w:rsid w:val="004C2E04"/>
    <w:rsid w:val="005219CA"/>
    <w:rsid w:val="005E1AE2"/>
    <w:rsid w:val="0078291D"/>
    <w:rsid w:val="00885609"/>
    <w:rsid w:val="008A48A2"/>
    <w:rsid w:val="009F5901"/>
    <w:rsid w:val="00A119A7"/>
    <w:rsid w:val="00B37A28"/>
    <w:rsid w:val="00B77BFA"/>
    <w:rsid w:val="00D50584"/>
    <w:rsid w:val="00DD0D30"/>
    <w:rsid w:val="00F33568"/>
    <w:rsid w:val="038D18E3"/>
    <w:rsid w:val="081B46B5"/>
    <w:rsid w:val="089142F6"/>
    <w:rsid w:val="0CD56805"/>
    <w:rsid w:val="107E69C8"/>
    <w:rsid w:val="12EB2FC3"/>
    <w:rsid w:val="1373062E"/>
    <w:rsid w:val="17A561F6"/>
    <w:rsid w:val="198D7811"/>
    <w:rsid w:val="19B16A8C"/>
    <w:rsid w:val="1B2C41D7"/>
    <w:rsid w:val="1D7F7199"/>
    <w:rsid w:val="1FD40515"/>
    <w:rsid w:val="28975ED5"/>
    <w:rsid w:val="2E5C77AE"/>
    <w:rsid w:val="2FBB4537"/>
    <w:rsid w:val="335848B0"/>
    <w:rsid w:val="353B7372"/>
    <w:rsid w:val="386A62B3"/>
    <w:rsid w:val="38EE4D34"/>
    <w:rsid w:val="3CB401F8"/>
    <w:rsid w:val="3D6C11E8"/>
    <w:rsid w:val="3F460287"/>
    <w:rsid w:val="3FED3E93"/>
    <w:rsid w:val="409C49B5"/>
    <w:rsid w:val="40A163C9"/>
    <w:rsid w:val="42B941B3"/>
    <w:rsid w:val="44FF397F"/>
    <w:rsid w:val="46CD1D83"/>
    <w:rsid w:val="49F34F73"/>
    <w:rsid w:val="4A5269C5"/>
    <w:rsid w:val="4C776A9E"/>
    <w:rsid w:val="54A55836"/>
    <w:rsid w:val="5A3139A8"/>
    <w:rsid w:val="5A7C1984"/>
    <w:rsid w:val="5AEF3A62"/>
    <w:rsid w:val="61C41349"/>
    <w:rsid w:val="638239CA"/>
    <w:rsid w:val="69E86CCE"/>
    <w:rsid w:val="6D2B6738"/>
    <w:rsid w:val="70B019AA"/>
    <w:rsid w:val="7125241A"/>
    <w:rsid w:val="791E11CD"/>
    <w:rsid w:val="7B9D5E8A"/>
    <w:rsid w:val="7FF4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Cambria" w:hAnsi="Cambria" w:cs="宋体"/>
      <w:b/>
      <w:bCs/>
      <w:sz w:val="32"/>
      <w:szCs w:val="32"/>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002366"/>
      <w:u w:val="none"/>
    </w:rPr>
  </w:style>
  <w:style w:type="character" w:styleId="7">
    <w:name w:val="Hyperlink"/>
    <w:basedOn w:val="5"/>
    <w:qFormat/>
    <w:uiPriority w:val="0"/>
    <w:rPr>
      <w:color w:val="002366"/>
      <w:u w:val="none"/>
    </w:rPr>
  </w:style>
  <w:style w:type="character" w:customStyle="1" w:styleId="9">
    <w:name w:val="font31"/>
    <w:basedOn w:val="5"/>
    <w:qFormat/>
    <w:uiPriority w:val="0"/>
    <w:rPr>
      <w:rFonts w:hint="eastAsia" w:ascii="方正仿宋_GBK" w:hAnsi="方正仿宋_GBK" w:eastAsia="方正仿宋_GBK" w:cs="方正仿宋_GBK"/>
      <w:color w:val="000000"/>
      <w:sz w:val="24"/>
      <w:szCs w:val="24"/>
      <w:u w:val="none"/>
    </w:rPr>
  </w:style>
  <w:style w:type="character" w:customStyle="1" w:styleId="10">
    <w:name w:val="font01"/>
    <w:basedOn w:val="5"/>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7263</Words>
  <Characters>41404</Characters>
  <Lines>345</Lines>
  <Paragraphs>97</Paragraphs>
  <ScaleCrop>false</ScaleCrop>
  <LinksUpToDate>false</LinksUpToDate>
  <CharactersWithSpaces>48570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2020-03-24T08:24:00Z</dcterms:created>
  <dc:creator>Administrator.USER-20190819RJ</dc:creator>
  <cp:lastModifiedBy>荣昌教委</cp:lastModifiedBy>
  <cp:lastPrinted>2020-05-11T08:00:00Z</cp:lastPrinted>
  <dcterms:modified xsi:type="dcterms:W3CDTF">2020-05-12T03:38:07Z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