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750" w:lineRule="atLeast"/>
        <w:ind w:left="0" w:right="0"/>
        <w:jc w:val="center"/>
        <w:rPr>
          <w:rFonts w:hint="eastAsia" w:ascii="方正小标宋_GBK" w:hAnsi="方正小标宋_GBK" w:eastAsia="方正小标宋_GBK" w:cs="方正小标宋_GBK"/>
          <w:color w:val="333333"/>
          <w:kern w:val="0"/>
          <w:sz w:val="44"/>
          <w:szCs w:val="44"/>
          <w:lang w:val="en-US" w:eastAsia="zh-CN" w:bidi="ar"/>
        </w:rPr>
      </w:pPr>
      <w:r>
        <w:rPr>
          <w:rFonts w:hint="eastAsia" w:ascii="方正小标宋_GBK" w:hAnsi="方正小标宋_GBK" w:eastAsia="方正小标宋_GBK" w:cs="方正小标宋_GBK"/>
          <w:color w:val="333333"/>
          <w:kern w:val="0"/>
          <w:sz w:val="44"/>
          <w:szCs w:val="44"/>
          <w:lang w:val="en-US" w:eastAsia="zh-CN" w:bidi="ar"/>
        </w:rPr>
        <w:t>重庆市荣昌区林业局</w:t>
      </w:r>
    </w:p>
    <w:p>
      <w:pPr>
        <w:pStyle w:val="2"/>
        <w:keepNext w:val="0"/>
        <w:keepLines w:val="0"/>
        <w:widowControl/>
        <w:suppressLineNumbers w:val="0"/>
        <w:spacing w:before="0" w:beforeAutospacing="0" w:after="0" w:afterAutospacing="0" w:line="750" w:lineRule="atLeast"/>
        <w:ind w:left="0" w:right="0"/>
        <w:jc w:val="center"/>
        <w:rPr>
          <w:rFonts w:hint="eastAsia" w:ascii="方正小标宋_GBK" w:hAnsi="方正小标宋_GBK" w:eastAsia="方正小标宋_GBK" w:cs="方正小标宋_GBK"/>
          <w:color w:val="333333"/>
          <w:kern w:val="0"/>
          <w:sz w:val="44"/>
          <w:szCs w:val="44"/>
          <w:lang w:val="en-US" w:eastAsia="zh-CN" w:bidi="ar"/>
        </w:rPr>
      </w:pPr>
      <w:r>
        <w:rPr>
          <w:rFonts w:hint="eastAsia" w:ascii="方正小标宋_GBK" w:hAnsi="方正小标宋_GBK" w:eastAsia="方正小标宋_GBK" w:cs="方正小标宋_GBK"/>
          <w:color w:val="333333"/>
          <w:kern w:val="0"/>
          <w:sz w:val="44"/>
          <w:szCs w:val="44"/>
          <w:lang w:val="en-US" w:eastAsia="zh-CN" w:bidi="ar"/>
        </w:rPr>
        <w:t>2019年部门预算情况说明</w:t>
      </w:r>
      <w:bookmarkStart w:id="0" w:name="_GoBack"/>
      <w:bookmarkEnd w:id="0"/>
    </w:p>
    <w:p>
      <w:pPr>
        <w:pStyle w:val="2"/>
        <w:keepNext w:val="0"/>
        <w:keepLines w:val="0"/>
        <w:widowControl/>
        <w:suppressLineNumbers w:val="0"/>
        <w:spacing w:before="0" w:beforeAutospacing="0" w:after="180" w:afterAutospacing="0" w:line="600" w:lineRule="atLeast"/>
        <w:ind w:left="0" w:right="0" w:firstLine="645"/>
      </w:pPr>
      <w:r>
        <w:rPr>
          <w:rFonts w:ascii="方正黑体_GBK" w:hAnsi="方正黑体_GBK" w:eastAsia="方正黑体_GBK" w:cs="方正黑体_GBK"/>
          <w:color w:val="333333"/>
          <w:sz w:val="31"/>
          <w:szCs w:val="31"/>
        </w:rPr>
        <w:t>一、</w:t>
      </w:r>
      <w:r>
        <w:rPr>
          <w:rFonts w:hint="eastAsia" w:ascii="方正黑体_GBK" w:hAnsi="方正黑体_GBK" w:eastAsia="方正黑体_GBK" w:cs="方正黑体_GBK"/>
          <w:color w:val="333333"/>
          <w:sz w:val="31"/>
          <w:szCs w:val="31"/>
        </w:rPr>
        <w:t>单位基本情况</w:t>
      </w:r>
    </w:p>
    <w:p>
      <w:pPr>
        <w:pStyle w:val="2"/>
        <w:keepNext w:val="0"/>
        <w:keepLines w:val="0"/>
        <w:widowControl/>
        <w:suppressLineNumbers w:val="0"/>
        <w:spacing w:before="0" w:beforeAutospacing="0" w:after="180" w:afterAutospacing="0" w:line="600" w:lineRule="atLeast"/>
        <w:ind w:left="0" w:right="0" w:firstLine="645"/>
      </w:pPr>
      <w:r>
        <w:rPr>
          <w:rStyle w:val="5"/>
          <w:rFonts w:ascii="方正楷体_GBK" w:hAnsi="方正楷体_GBK" w:eastAsia="方正楷体_GBK" w:cs="方正楷体_GBK"/>
          <w:b/>
          <w:color w:val="000000"/>
          <w:sz w:val="31"/>
          <w:szCs w:val="31"/>
        </w:rPr>
        <w:t>（一）职能职责。</w:t>
      </w:r>
    </w:p>
    <w:p>
      <w:pPr>
        <w:pStyle w:val="2"/>
        <w:keepNext w:val="0"/>
        <w:keepLines w:val="0"/>
        <w:widowControl/>
        <w:suppressLineNumbers w:val="0"/>
        <w:spacing w:before="0" w:beforeAutospacing="0" w:after="180" w:afterAutospacing="0" w:line="525" w:lineRule="atLeast"/>
        <w:ind w:left="0" w:right="0" w:firstLine="645"/>
      </w:pPr>
      <w:r>
        <w:rPr>
          <w:rFonts w:ascii="方正仿宋_GBK" w:hAnsi="方正仿宋_GBK" w:eastAsia="方正仿宋_GBK" w:cs="方正仿宋_GBK"/>
          <w:color w:val="000000"/>
          <w:sz w:val="31"/>
          <w:szCs w:val="31"/>
        </w:rPr>
        <w:t>负责林业及其生态建设的监督管理；组织、协调、指导和监督造林绿化工作；承担全区森林资源保护发展监督管理责任；组织、协调、指导和监督湿地保护工作；承担全区陆生野生动植物资源保护管理和合理开发利用的责任；指导全区林业产业基地及林业产业加工链条的发展；监督检查林业产业对森林、湿地、石漠和陆生野生动植物资源的开发利用；指导森林公安工作，管理森林公安队伍；负责侦破查处破坏森林和野生动植物资源、湿地资源等涉林案件；组织、协调、指导、监督森林防火和林业有害生物防治工作；负责林业及其生态建设项目、资金的管理监督；组织指导林业及其生态建设的科技推广、宣传、对外合作与交流；承担林业系统队伍建设工作责任；承办区委区政府交办的其他工作事项。</w:t>
      </w:r>
    </w:p>
    <w:p>
      <w:pPr>
        <w:pStyle w:val="2"/>
        <w:keepNext w:val="0"/>
        <w:keepLines w:val="0"/>
        <w:widowControl/>
        <w:suppressLineNumbers w:val="0"/>
        <w:spacing w:before="0" w:beforeAutospacing="0" w:after="180" w:afterAutospacing="0" w:line="600" w:lineRule="atLeast"/>
        <w:ind w:left="0" w:right="0" w:firstLine="645"/>
      </w:pPr>
      <w:r>
        <w:rPr>
          <w:rStyle w:val="5"/>
          <w:rFonts w:hint="eastAsia" w:ascii="方正楷体_GBK" w:hAnsi="方正楷体_GBK" w:eastAsia="方正楷体_GBK" w:cs="方正楷体_GBK"/>
          <w:b/>
          <w:color w:val="000000"/>
          <w:sz w:val="31"/>
          <w:szCs w:val="31"/>
        </w:rPr>
        <w:t>（二）单位构成。</w:t>
      </w:r>
    </w:p>
    <w:p>
      <w:pPr>
        <w:pStyle w:val="2"/>
        <w:keepNext w:val="0"/>
        <w:keepLines w:val="0"/>
        <w:widowControl/>
        <w:suppressLineNumbers w:val="0"/>
        <w:spacing w:before="0" w:beforeAutospacing="0" w:after="180" w:afterAutospacing="0" w:line="525" w:lineRule="atLeast"/>
        <w:ind w:left="0" w:right="0" w:firstLine="645"/>
      </w:pPr>
      <w:r>
        <w:rPr>
          <w:rFonts w:hint="eastAsia" w:ascii="方正仿宋_GBK" w:hAnsi="方正仿宋_GBK" w:eastAsia="方正仿宋_GBK" w:cs="方正仿宋_GBK"/>
          <w:color w:val="000000"/>
          <w:sz w:val="31"/>
          <w:szCs w:val="31"/>
        </w:rPr>
        <w:t>荣昌区林业局为区政府直属机构，行政机关内设5个科室，其中：办公室，计划财务科，森林资源林政管理科（行政审批服务科），造林绿化管理科，森林防火科。纳入2019年部门预算的二级单位有5个：1、森林警察大队（政法机关）；2、荣昌区森林病虫防治检疫站（参公）；3、荣昌区林业苗木种苗站（参公）；4、荣昌区林业科学技术推广站；5、荣昌区岚峰林场。会计独立核算单位2个，其中：林业局行政机关（区森林警察大队、区森林病虫防治检疫站、区林业苗木种苗站和区林业科学技术推广站纳入行政机关统一核算）和荣昌区岚峰林场。</w:t>
      </w:r>
    </w:p>
    <w:p>
      <w:pPr>
        <w:pStyle w:val="2"/>
        <w:keepNext w:val="0"/>
        <w:keepLines w:val="0"/>
        <w:widowControl/>
        <w:suppressLineNumbers w:val="0"/>
        <w:spacing w:before="0" w:beforeAutospacing="0" w:after="0" w:afterAutospacing="0" w:line="450" w:lineRule="atLeast"/>
        <w:ind w:left="646" w:right="0"/>
      </w:pPr>
      <w:r>
        <w:rPr>
          <w:rFonts w:ascii="黑体" w:hAnsi="宋体" w:eastAsia="黑体" w:cs="黑体"/>
          <w:color w:val="333333"/>
          <w:sz w:val="31"/>
          <w:szCs w:val="31"/>
        </w:rPr>
        <w:t>二、</w:t>
      </w:r>
      <w:r>
        <w:rPr>
          <w:rFonts w:hint="eastAsia" w:ascii="黑体" w:hAnsi="宋体" w:eastAsia="黑体" w:cs="黑体"/>
          <w:color w:val="333333"/>
          <w:sz w:val="31"/>
          <w:szCs w:val="31"/>
        </w:rPr>
        <w:t>部门预算情况说明</w:t>
      </w:r>
    </w:p>
    <w:p>
      <w:pPr>
        <w:pStyle w:val="2"/>
        <w:keepNext w:val="0"/>
        <w:keepLines w:val="0"/>
        <w:widowControl/>
        <w:suppressLineNumbers w:val="0"/>
        <w:spacing w:before="0" w:beforeAutospacing="0" w:after="180" w:afterAutospacing="0" w:line="525" w:lineRule="atLeast"/>
        <w:ind w:left="0" w:right="0" w:firstLine="645"/>
      </w:pPr>
      <w:r>
        <w:rPr>
          <w:rFonts w:hint="eastAsia" w:ascii="方正仿宋_GBK" w:hAnsi="方正仿宋_GBK" w:eastAsia="方正仿宋_GBK" w:cs="方正仿宋_GBK"/>
          <w:color w:val="000000"/>
          <w:sz w:val="31"/>
          <w:szCs w:val="31"/>
        </w:rPr>
        <w:t>2019年一般公共预算财政拨款收入2064.64万元，一般公共预算财政拨款支出2064.64万元，比2018年增加468.6万元。其中：基本支出1722.3万元，比2018年增加176.26万元，主要原因是2019年人员经费及公用经费与去年相比增加支出176.26万元，其中：人员经费增加153.78万元，公用经费增加22.49万元，主要用于保障在职人员工资福利及社会保险缴费，离退休人员离退休费及生活补助，保障部门正常运转的各项商品服务支出。项目支出342.33万元，比2018年增加292.34万元，主要原因：一是增加因公负伤伤残保健金53.91万元；二是增加2019年农业大厦办公楼租金111.93万元；三是增加松材线虫病防控除治经费35万元；四是增加森林生态效益补偿及森林管护项目91.5万元。主要用于开展国家森林城市续建及义务植树、森林防火、林业有害生物防治，森林资源管理、林改、种苗和植物新品种保护执法，松材线虫病防控除治等重点工作。</w:t>
      </w:r>
    </w:p>
    <w:p>
      <w:pPr>
        <w:pStyle w:val="2"/>
        <w:keepNext w:val="0"/>
        <w:keepLines w:val="0"/>
        <w:widowControl/>
        <w:suppressLineNumbers w:val="0"/>
        <w:spacing w:before="0" w:beforeAutospacing="0" w:after="180" w:afterAutospacing="0" w:line="525" w:lineRule="atLeast"/>
        <w:ind w:left="0" w:right="0" w:firstLine="645"/>
      </w:pPr>
      <w:r>
        <w:rPr>
          <w:rFonts w:hint="eastAsia" w:ascii="方正仿宋_GBK" w:hAnsi="方正仿宋_GBK" w:eastAsia="方正仿宋_GBK" w:cs="方正仿宋_GBK"/>
          <w:color w:val="000000"/>
          <w:sz w:val="31"/>
          <w:szCs w:val="31"/>
        </w:rPr>
        <w:t>区林业局2019年和2018年都没有使用政府性基金预算拨款安排的支出。</w:t>
      </w:r>
    </w:p>
    <w:p>
      <w:pPr>
        <w:pStyle w:val="2"/>
        <w:keepNext w:val="0"/>
        <w:keepLines w:val="0"/>
        <w:widowControl/>
        <w:suppressLineNumbers w:val="0"/>
        <w:spacing w:before="0" w:beforeAutospacing="0" w:after="180" w:afterAutospacing="0" w:line="600" w:lineRule="atLeast"/>
        <w:ind w:left="0" w:right="0" w:firstLine="645"/>
      </w:pPr>
      <w:r>
        <w:rPr>
          <w:rFonts w:hint="eastAsia" w:ascii="黑体" w:hAnsi="宋体" w:eastAsia="黑体" w:cs="黑体"/>
          <w:color w:val="333333"/>
          <w:sz w:val="31"/>
          <w:szCs w:val="31"/>
        </w:rPr>
        <w:t>三、“三公”经费情况说明</w:t>
      </w:r>
    </w:p>
    <w:p>
      <w:pPr>
        <w:pStyle w:val="2"/>
        <w:keepNext w:val="0"/>
        <w:keepLines w:val="0"/>
        <w:widowControl/>
        <w:suppressLineNumbers w:val="0"/>
        <w:spacing w:before="0" w:beforeAutospacing="0" w:after="180" w:afterAutospacing="0" w:line="600" w:lineRule="atLeast"/>
        <w:ind w:left="0" w:right="0"/>
      </w:pPr>
      <w:r>
        <w:rPr>
          <w:rFonts w:hint="eastAsia" w:ascii="方正仿宋_GBK" w:hAnsi="方正仿宋_GBK" w:eastAsia="方正仿宋_GBK" w:cs="方正仿宋_GBK"/>
          <w:color w:val="333333"/>
          <w:sz w:val="31"/>
          <w:szCs w:val="31"/>
        </w:rPr>
        <w:t>   </w:t>
      </w:r>
      <w:r>
        <w:rPr>
          <w:rFonts w:ascii="仿宋_GB2312" w:hAnsi="微软雅黑" w:eastAsia="仿宋_GB2312" w:cs="仿宋_GB2312"/>
          <w:color w:val="333333"/>
          <w:sz w:val="31"/>
          <w:szCs w:val="31"/>
        </w:rPr>
        <w:t> </w:t>
      </w:r>
      <w:r>
        <w:rPr>
          <w:rFonts w:hint="eastAsia" w:ascii="方正仿宋_GBK" w:hAnsi="方正仿宋_GBK" w:eastAsia="方正仿宋_GBK" w:cs="方正仿宋_GBK"/>
          <w:color w:val="000000"/>
          <w:sz w:val="31"/>
          <w:szCs w:val="31"/>
        </w:rPr>
        <w:t>2019年“三公”经费预算31万元，比2018年减少17.5万元。其中：因公出国（境）费用0万元，比2018年减少0万元；公务接待费12万元，比2018年减少8.5万元；公务用车运行维护费19万元，比2018年减少9万元；公务用车购置费0万元，比2018年减少0万元；主要原因是我局严格按照有关节俭厉行规定进行公务接待，加强公务用车的管理。</w:t>
      </w:r>
    </w:p>
    <w:p>
      <w:pPr>
        <w:pStyle w:val="2"/>
        <w:keepNext w:val="0"/>
        <w:keepLines w:val="0"/>
        <w:widowControl/>
        <w:suppressLineNumbers w:val="0"/>
        <w:spacing w:before="0" w:beforeAutospacing="0" w:after="180" w:afterAutospacing="0" w:line="600" w:lineRule="atLeast"/>
        <w:ind w:left="0" w:right="0" w:firstLine="645"/>
      </w:pPr>
      <w:r>
        <w:rPr>
          <w:rFonts w:hint="eastAsia" w:ascii="黑体" w:hAnsi="宋体" w:eastAsia="黑体" w:cs="黑体"/>
          <w:color w:val="333333"/>
          <w:sz w:val="31"/>
          <w:szCs w:val="31"/>
        </w:rPr>
        <w:t>四、其他重要事项的情况说明</w:t>
      </w:r>
    </w:p>
    <w:p>
      <w:pPr>
        <w:pStyle w:val="2"/>
        <w:keepNext w:val="0"/>
        <w:keepLines w:val="0"/>
        <w:widowControl/>
        <w:suppressLineNumbers w:val="0"/>
        <w:spacing w:before="0" w:beforeAutospacing="0" w:after="180" w:afterAutospacing="0" w:line="600" w:lineRule="atLeast"/>
        <w:ind w:left="0" w:right="0" w:firstLine="645"/>
      </w:pPr>
      <w:r>
        <w:rPr>
          <w:rFonts w:hint="eastAsia" w:ascii="方正仿宋_GBK" w:hAnsi="方正仿宋_GBK" w:eastAsia="方正仿宋_GBK" w:cs="方正仿宋_GBK"/>
          <w:color w:val="000000"/>
          <w:sz w:val="31"/>
          <w:szCs w:val="31"/>
        </w:rPr>
        <w:t>1、部门运行经费（即公用经费）。林业局和下属单位岚峰林场等2个预算单位，2019年机关和事业单位运行经费财政拨款预算358.08万元，比2018年预算增加22.49万元，增长6.28 %。主要用于：办公费及印刷费、邮电费、维修费、培训费、公务用车运行维护费及其他商品和服务等支出。</w:t>
      </w:r>
    </w:p>
    <w:p>
      <w:pPr>
        <w:pStyle w:val="2"/>
        <w:keepNext w:val="0"/>
        <w:keepLines w:val="0"/>
        <w:widowControl/>
        <w:suppressLineNumbers w:val="0"/>
        <w:spacing w:before="0" w:beforeAutospacing="0" w:after="180" w:afterAutospacing="0" w:line="600" w:lineRule="atLeast"/>
        <w:ind w:left="0" w:right="0" w:firstLine="645"/>
      </w:pPr>
      <w:r>
        <w:rPr>
          <w:rFonts w:hint="eastAsia" w:ascii="方正仿宋_GBK" w:hAnsi="方正仿宋_GBK" w:eastAsia="方正仿宋_GBK" w:cs="方正仿宋_GBK"/>
          <w:color w:val="000000"/>
          <w:sz w:val="31"/>
          <w:szCs w:val="31"/>
        </w:rPr>
        <w:t>2、政府采购情况。所属各预算单位政府采购预总额56万元，其中：政府采购货物预算50万元、政府采购工程预算0万元、政府采购服务预算6万元。</w:t>
      </w:r>
    </w:p>
    <w:p>
      <w:pPr>
        <w:pStyle w:val="2"/>
        <w:keepNext w:val="0"/>
        <w:keepLines w:val="0"/>
        <w:widowControl/>
        <w:suppressLineNumbers w:val="0"/>
        <w:spacing w:before="0" w:beforeAutospacing="0" w:after="180" w:afterAutospacing="0" w:line="600" w:lineRule="atLeast"/>
        <w:ind w:left="0" w:right="0" w:firstLine="645"/>
      </w:pPr>
      <w:r>
        <w:rPr>
          <w:rFonts w:hint="eastAsia" w:ascii="方正仿宋_GBK" w:hAnsi="方正仿宋_GBK" w:eastAsia="方正仿宋_GBK" w:cs="方正仿宋_GBK"/>
          <w:color w:val="000000"/>
          <w:sz w:val="31"/>
          <w:szCs w:val="31"/>
        </w:rPr>
        <w:t>3、绩效目标设置情况。2019年项目支出实行了绩效目标管理，涉及一般公共预算当年财政拨款     126.5万元。</w:t>
      </w:r>
    </w:p>
    <w:p>
      <w:pPr>
        <w:pStyle w:val="2"/>
        <w:keepNext w:val="0"/>
        <w:keepLines w:val="0"/>
        <w:widowControl/>
        <w:suppressLineNumbers w:val="0"/>
        <w:spacing w:before="0" w:beforeAutospacing="0" w:after="180" w:afterAutospacing="0" w:line="600" w:lineRule="atLeast"/>
        <w:ind w:left="0" w:right="0" w:firstLine="645"/>
      </w:pPr>
      <w:r>
        <w:rPr>
          <w:rFonts w:hint="eastAsia" w:ascii="方正仿宋_GBK" w:hAnsi="方正仿宋_GBK" w:eastAsia="方正仿宋_GBK" w:cs="方正仿宋_GBK"/>
          <w:color w:val="000000"/>
          <w:sz w:val="31"/>
          <w:szCs w:val="31"/>
        </w:rPr>
        <w:t>4、国有资产占用情况说明。2019年1月1日，本部门共有车辆8辆，其中，部级领导干部用车0辆、一般公务用车0辆、机要通信用车1辆、应急保障用车2辆、执法执勤用车2辆、特种专业技术用车3辆。单价50万元以上通用设备0台（套），单价100万元以上专用设备0台（套）。2019年一般公共预算安排购置车辆0辆。</w:t>
      </w:r>
    </w:p>
    <w:p>
      <w:pPr>
        <w:pStyle w:val="2"/>
        <w:keepNext w:val="0"/>
        <w:keepLines w:val="0"/>
        <w:widowControl/>
        <w:suppressLineNumbers w:val="0"/>
        <w:spacing w:before="0" w:beforeAutospacing="0" w:after="180" w:afterAutospacing="0" w:line="600" w:lineRule="atLeast"/>
        <w:ind w:left="0" w:right="0" w:firstLine="645"/>
      </w:pPr>
      <w:r>
        <w:rPr>
          <w:rFonts w:hint="eastAsia" w:ascii="黑体" w:hAnsi="宋体" w:eastAsia="黑体" w:cs="黑体"/>
          <w:color w:val="333333"/>
          <w:sz w:val="31"/>
          <w:szCs w:val="31"/>
        </w:rPr>
        <w:t>五、专业性名词解释（纳入公开范围的部门必须编制填写）</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（一）财政拨款收入：指本年度从本级财政部门取得的财政拨款，包括一般公共预算财政拨款和政府性基金预算财政拨款。</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（二）其他收入：指单位取得的除“财政拨款收入”、“事业收入”、“经营收入”等以外的收入。</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（三）基本支出：指为保障机构正常运转、完成日常工作任务而发生的人员经费和公用经费。</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（四）项目支出：指在基本支出之外为完成特定行政任务和事业发展目标所发生的支出。</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widowControl/>
        <w:suppressLineNumbers w:val="0"/>
        <w:spacing w:before="0" w:beforeAutospacing="0" w:after="180" w:afterAutospacing="0" w:line="450" w:lineRule="atLeast"/>
        <w:ind w:left="0" w:right="0" w:firstLine="645"/>
      </w:pPr>
      <w:r>
        <w:rPr>
          <w:rFonts w:hint="eastAsia" w:ascii="方正黑体_GBK" w:hAnsi="方正黑体_GBK" w:eastAsia="方正黑体_GBK" w:cs="方正黑体_GBK"/>
          <w:b w:val="0"/>
          <w:color w:val="333333"/>
          <w:sz w:val="31"/>
          <w:szCs w:val="31"/>
        </w:rPr>
        <w:t>六、部门预算公开联系人</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联系人：向元琼      联系方式：13883101090</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附表：1、部门收支总体情况表</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      2、部门收入总体情况表</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      3、部门支出总体情况表</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      4、财政拨款收支总体情况表</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      5、一般公共预算支出情况表</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      6、一般公共预算基本支出情况表</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      7、一般公共预算“三公”经费支出情况表</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      8、政府性基金预算支出表</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      9、国有资本经营收支预算表</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      10、联系人名单</w:t>
      </w:r>
    </w:p>
    <w:p>
      <w:pPr>
        <w:pStyle w:val="2"/>
        <w:keepNext w:val="0"/>
        <w:keepLines w:val="0"/>
        <w:widowControl/>
        <w:suppressLineNumbers w:val="0"/>
        <w:spacing w:before="210" w:beforeAutospacing="0" w:after="210" w:afterAutospacing="0" w:line="600" w:lineRule="atLeast"/>
        <w:ind w:left="0" w:right="0" w:firstLine="645"/>
        <w:jc w:val="left"/>
      </w:pPr>
      <w:r>
        <w:rPr>
          <w:rFonts w:hint="eastAsia" w:ascii="方正仿宋_GBK" w:hAnsi="方正仿宋_GBK" w:eastAsia="方正仿宋_GBK" w:cs="方正仿宋_GBK"/>
          <w:color w:val="000000"/>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tbl>
      <w:tblPr>
        <w:tblpPr w:leftFromText="180" w:rightFromText="180" w:vertAnchor="text" w:horzAnchor="page" w:tblpX="189" w:tblpY="4088"/>
        <w:tblOverlap w:val="never"/>
        <w:tblW w:w="11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915"/>
        <w:gridCol w:w="1605"/>
        <w:gridCol w:w="3075"/>
        <w:gridCol w:w="3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10" w:hRule="atLeast"/>
        </w:trPr>
        <w:tc>
          <w:tcPr>
            <w:tcW w:w="3915" w:type="dxa"/>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left"/>
              <w:textAlignment w:val="bottom"/>
            </w:pPr>
            <w:r>
              <w:rPr>
                <w:rFonts w:hint="eastAsia" w:ascii="宋体" w:hAnsi="宋体" w:eastAsia="宋体" w:cs="宋体"/>
                <w:i w:val="0"/>
                <w:color w:val="000000"/>
                <w:sz w:val="24"/>
                <w:szCs w:val="24"/>
              </w:rPr>
              <w:t>表1</w:t>
            </w:r>
          </w:p>
        </w:tc>
        <w:tc>
          <w:tcPr>
            <w:tcW w:w="160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307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312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65" w:hRule="atLeast"/>
        </w:trPr>
        <w:tc>
          <w:tcPr>
            <w:tcW w:w="11715" w:type="dxa"/>
            <w:gridSpan w:val="4"/>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center"/>
              <w:textAlignment w:val="bottom"/>
            </w:pPr>
            <w:r>
              <w:rPr>
                <w:rFonts w:ascii="方正小标宋_GBK" w:hAnsi="方正小标宋_GBK" w:eastAsia="方正小标宋_GBK" w:cs="方正小标宋_GBK"/>
                <w:b w:val="0"/>
                <w:i w:val="0"/>
                <w:color w:val="000000"/>
                <w:sz w:val="43"/>
                <w:szCs w:val="43"/>
              </w:rPr>
              <w:t>重庆市荣昌区林业局2019年部门收支总体情况表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trPr>
        <w:tc>
          <w:tcPr>
            <w:tcW w:w="3915"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605"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3075"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3120" w:type="dxa"/>
            <w:tcBorders>
              <w:top w:val="nil"/>
              <w:left w:val="nil"/>
              <w:bottom w:val="single" w:color="000000" w:sz="6" w:space="0"/>
              <w:right w:val="nil"/>
            </w:tcBorders>
            <w:shd w:val="clear"/>
            <w:vAlign w:val="bottom"/>
          </w:tcPr>
          <w:p>
            <w:pPr>
              <w:pStyle w:val="2"/>
              <w:keepNext w:val="0"/>
              <w:keepLines w:val="0"/>
              <w:widowControl/>
              <w:suppressLineNumbers w:val="0"/>
              <w:spacing w:after="180" w:afterAutospacing="0"/>
              <w:jc w:val="right"/>
              <w:textAlignment w:val="bottom"/>
            </w:pPr>
            <w:r>
              <w:rPr>
                <w:rFonts w:hint="eastAsia" w:ascii="宋体" w:hAnsi="宋体" w:eastAsia="宋体" w:cs="宋体"/>
                <w:i w:val="0"/>
                <w:color w:val="00000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5520" w:type="dxa"/>
            <w:gridSpan w:val="2"/>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收入</w:t>
            </w:r>
          </w:p>
        </w:tc>
        <w:tc>
          <w:tcPr>
            <w:tcW w:w="6195" w:type="dxa"/>
            <w:gridSpan w:val="2"/>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项目</w:t>
            </w:r>
          </w:p>
        </w:tc>
        <w:tc>
          <w:tcPr>
            <w:tcW w:w="1605" w:type="dxa"/>
            <w:tcBorders>
              <w:top w:val="nil"/>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预算数</w:t>
            </w:r>
          </w:p>
        </w:tc>
        <w:tc>
          <w:tcPr>
            <w:tcW w:w="3075"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项目</w:t>
            </w:r>
          </w:p>
        </w:tc>
        <w:tc>
          <w:tcPr>
            <w:tcW w:w="3120"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一般公共预算拨款收入</w:t>
            </w:r>
          </w:p>
        </w:tc>
        <w:tc>
          <w:tcPr>
            <w:tcW w:w="1605" w:type="dxa"/>
            <w:tcBorders>
              <w:top w:val="single" w:color="000000" w:sz="6" w:space="0"/>
              <w:left w:val="single" w:color="000000" w:sz="6" w:space="0"/>
              <w:bottom w:val="nil"/>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3075"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合计</w:t>
            </w:r>
          </w:p>
        </w:tc>
        <w:tc>
          <w:tcPr>
            <w:tcW w:w="3120"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政府性基金预算拨款收入</w:t>
            </w:r>
          </w:p>
        </w:tc>
        <w:tc>
          <w:tcPr>
            <w:tcW w:w="1605" w:type="dxa"/>
            <w:tcBorders>
              <w:top w:val="single" w:color="000000" w:sz="6" w:space="0"/>
              <w:left w:val="single" w:color="000000" w:sz="6" w:space="0"/>
              <w:bottom w:val="nil"/>
              <w:right w:val="nil"/>
            </w:tcBorders>
            <w:shd w:val="clear"/>
            <w:vAlign w:val="center"/>
          </w:tcPr>
          <w:p>
            <w:pPr>
              <w:rPr>
                <w:rFonts w:hint="eastAsia" w:ascii="微软雅黑" w:hAnsi="微软雅黑" w:eastAsia="微软雅黑" w:cs="微软雅黑"/>
                <w:color w:val="333333"/>
                <w:sz w:val="24"/>
                <w:szCs w:val="24"/>
              </w:rPr>
            </w:pPr>
          </w:p>
        </w:tc>
        <w:tc>
          <w:tcPr>
            <w:tcW w:w="307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卫生健康支出</w:t>
            </w:r>
          </w:p>
        </w:tc>
        <w:tc>
          <w:tcPr>
            <w:tcW w:w="31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国有资本经营预算拨款收入</w:t>
            </w:r>
          </w:p>
        </w:tc>
        <w:tc>
          <w:tcPr>
            <w:tcW w:w="1605" w:type="dxa"/>
            <w:tcBorders>
              <w:top w:val="single" w:color="000000" w:sz="6" w:space="0"/>
              <w:left w:val="single" w:color="000000" w:sz="6" w:space="0"/>
              <w:bottom w:val="nil"/>
              <w:right w:val="nil"/>
            </w:tcBorders>
            <w:shd w:val="clear"/>
            <w:vAlign w:val="center"/>
          </w:tcPr>
          <w:p>
            <w:pPr>
              <w:rPr>
                <w:rFonts w:hint="eastAsia" w:ascii="微软雅黑" w:hAnsi="微软雅黑" w:eastAsia="微软雅黑" w:cs="微软雅黑"/>
                <w:color w:val="333333"/>
                <w:sz w:val="24"/>
                <w:szCs w:val="24"/>
              </w:rPr>
            </w:pPr>
          </w:p>
        </w:tc>
        <w:tc>
          <w:tcPr>
            <w:tcW w:w="307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社会保障和就业支出</w:t>
            </w:r>
          </w:p>
        </w:tc>
        <w:tc>
          <w:tcPr>
            <w:tcW w:w="31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事业收入</w:t>
            </w:r>
          </w:p>
        </w:tc>
        <w:tc>
          <w:tcPr>
            <w:tcW w:w="1605" w:type="dxa"/>
            <w:tcBorders>
              <w:top w:val="single" w:color="000000" w:sz="6" w:space="0"/>
              <w:left w:val="single" w:color="000000" w:sz="6" w:space="0"/>
              <w:bottom w:val="nil"/>
              <w:right w:val="nil"/>
            </w:tcBorders>
            <w:shd w:val="clear"/>
            <w:vAlign w:val="center"/>
          </w:tcPr>
          <w:p>
            <w:pPr>
              <w:rPr>
                <w:rFonts w:hint="eastAsia" w:ascii="微软雅黑" w:hAnsi="微软雅黑" w:eastAsia="微软雅黑" w:cs="微软雅黑"/>
                <w:color w:val="333333"/>
                <w:sz w:val="24"/>
                <w:szCs w:val="24"/>
              </w:rPr>
            </w:pPr>
          </w:p>
        </w:tc>
        <w:tc>
          <w:tcPr>
            <w:tcW w:w="307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农林水支出</w:t>
            </w:r>
          </w:p>
        </w:tc>
        <w:tc>
          <w:tcPr>
            <w:tcW w:w="31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事业单位经营收入</w:t>
            </w:r>
          </w:p>
        </w:tc>
        <w:tc>
          <w:tcPr>
            <w:tcW w:w="1605" w:type="dxa"/>
            <w:tcBorders>
              <w:top w:val="single" w:color="000000" w:sz="6" w:space="0"/>
              <w:left w:val="single" w:color="000000" w:sz="6" w:space="0"/>
              <w:bottom w:val="nil"/>
              <w:right w:val="nil"/>
            </w:tcBorders>
            <w:shd w:val="clear"/>
            <w:vAlign w:val="center"/>
          </w:tcPr>
          <w:p>
            <w:pPr>
              <w:rPr>
                <w:rFonts w:hint="eastAsia" w:ascii="微软雅黑" w:hAnsi="微软雅黑" w:eastAsia="微软雅黑" w:cs="微软雅黑"/>
                <w:color w:val="333333"/>
                <w:sz w:val="24"/>
                <w:szCs w:val="24"/>
              </w:rPr>
            </w:pPr>
          </w:p>
        </w:tc>
        <w:tc>
          <w:tcPr>
            <w:tcW w:w="307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教育支出</w:t>
            </w:r>
          </w:p>
        </w:tc>
        <w:tc>
          <w:tcPr>
            <w:tcW w:w="31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其他收入</w:t>
            </w:r>
          </w:p>
        </w:tc>
        <w:tc>
          <w:tcPr>
            <w:tcW w:w="1605" w:type="dxa"/>
            <w:tcBorders>
              <w:top w:val="single" w:color="000000" w:sz="6" w:space="0"/>
              <w:left w:val="single" w:color="000000" w:sz="6" w:space="0"/>
              <w:bottom w:val="nil"/>
              <w:right w:val="nil"/>
            </w:tcBorders>
            <w:shd w:val="clear"/>
            <w:vAlign w:val="center"/>
          </w:tcPr>
          <w:p>
            <w:pPr>
              <w:rPr>
                <w:rFonts w:hint="eastAsia" w:ascii="微软雅黑" w:hAnsi="微软雅黑" w:eastAsia="微软雅黑" w:cs="微软雅黑"/>
                <w:color w:val="333333"/>
                <w:sz w:val="24"/>
                <w:szCs w:val="24"/>
              </w:rPr>
            </w:pPr>
          </w:p>
        </w:tc>
        <w:tc>
          <w:tcPr>
            <w:tcW w:w="307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公共安全支出</w:t>
            </w:r>
          </w:p>
        </w:tc>
        <w:tc>
          <w:tcPr>
            <w:tcW w:w="31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605" w:type="dxa"/>
            <w:tcBorders>
              <w:top w:val="single" w:color="000000" w:sz="6" w:space="0"/>
              <w:left w:val="nil"/>
              <w:bottom w:val="nil"/>
              <w:right w:val="nil"/>
            </w:tcBorders>
            <w:shd w:val="clear"/>
            <w:vAlign w:val="center"/>
          </w:tcPr>
          <w:p>
            <w:pPr>
              <w:rPr>
                <w:rFonts w:hint="eastAsia" w:ascii="微软雅黑" w:hAnsi="微软雅黑" w:eastAsia="微软雅黑" w:cs="微软雅黑"/>
                <w:color w:val="333333"/>
                <w:sz w:val="24"/>
                <w:szCs w:val="24"/>
              </w:rPr>
            </w:pPr>
          </w:p>
        </w:tc>
        <w:tc>
          <w:tcPr>
            <w:tcW w:w="307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住房保障支出</w:t>
            </w:r>
          </w:p>
        </w:tc>
        <w:tc>
          <w:tcPr>
            <w:tcW w:w="31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本年收入合计</w:t>
            </w:r>
          </w:p>
        </w:tc>
        <w:tc>
          <w:tcPr>
            <w:tcW w:w="1605"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30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本年支出合计</w:t>
            </w:r>
          </w:p>
        </w:tc>
        <w:tc>
          <w:tcPr>
            <w:tcW w:w="31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用事业基金弥补收支差额</w:t>
            </w:r>
          </w:p>
        </w:tc>
        <w:tc>
          <w:tcPr>
            <w:tcW w:w="1605"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30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结转下年</w:t>
            </w:r>
          </w:p>
        </w:tc>
        <w:tc>
          <w:tcPr>
            <w:tcW w:w="31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上年结转</w:t>
            </w:r>
          </w:p>
        </w:tc>
        <w:tc>
          <w:tcPr>
            <w:tcW w:w="1605"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3075"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31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915"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收入总计</w:t>
            </w:r>
          </w:p>
        </w:tc>
        <w:tc>
          <w:tcPr>
            <w:tcW w:w="160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30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支出总计</w:t>
            </w:r>
          </w:p>
        </w:tc>
        <w:tc>
          <w:tcPr>
            <w:tcW w:w="31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r>
    </w:tbl>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tbl>
      <w:tblPr>
        <w:tblW w:w="12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30"/>
        <w:gridCol w:w="2894"/>
        <w:gridCol w:w="1280"/>
        <w:gridCol w:w="1004"/>
        <w:gridCol w:w="853"/>
        <w:gridCol w:w="811"/>
        <w:gridCol w:w="770"/>
        <w:gridCol w:w="788"/>
        <w:gridCol w:w="770"/>
        <w:gridCol w:w="770"/>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830" w:type="dxa"/>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left"/>
              <w:textAlignment w:val="bottom"/>
            </w:pPr>
            <w:r>
              <w:rPr>
                <w:rFonts w:hint="eastAsia" w:ascii="宋体" w:hAnsi="宋体" w:eastAsia="宋体" w:cs="宋体"/>
                <w:i w:val="0"/>
                <w:color w:val="000000"/>
                <w:sz w:val="24"/>
                <w:szCs w:val="24"/>
              </w:rPr>
              <w:t>表2</w:t>
            </w:r>
          </w:p>
        </w:tc>
        <w:tc>
          <w:tcPr>
            <w:tcW w:w="2894"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28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853"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811"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77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788"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77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77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77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55" w:hRule="atLeast"/>
        </w:trPr>
        <w:tc>
          <w:tcPr>
            <w:tcW w:w="183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894"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28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853"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811"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77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788"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77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77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77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0" w:hRule="atLeast"/>
        </w:trPr>
        <w:tc>
          <w:tcPr>
            <w:tcW w:w="12540" w:type="dxa"/>
            <w:gridSpan w:val="11"/>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center"/>
            </w:pPr>
            <w:r>
              <w:rPr>
                <w:rFonts w:hint="eastAsia" w:ascii="方正小标宋_GBK" w:hAnsi="方正小标宋_GBK" w:eastAsia="方正小标宋_GBK" w:cs="方正小标宋_GBK"/>
                <w:b w:val="0"/>
                <w:i w:val="0"/>
                <w:color w:val="000000"/>
                <w:sz w:val="43"/>
                <w:szCs w:val="43"/>
              </w:rPr>
              <w:t>重庆市荣昌区林业局2019年部门收入总体情况表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540" w:type="dxa"/>
            <w:gridSpan w:val="11"/>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right"/>
              <w:textAlignment w:val="bottom"/>
            </w:pPr>
            <w:r>
              <w:rPr>
                <w:rFonts w:hint="eastAsia" w:ascii="宋体" w:hAnsi="宋体" w:eastAsia="宋体" w:cs="宋体"/>
                <w:i w:val="0"/>
                <w:color w:val="00000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24" w:type="dxa"/>
            <w:gridSpan w:val="2"/>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科目</w:t>
            </w:r>
          </w:p>
        </w:tc>
        <w:tc>
          <w:tcPr>
            <w:tcW w:w="1280" w:type="dxa"/>
            <w:vMerge w:val="restart"/>
            <w:tcBorders>
              <w:top w:val="single" w:color="000000" w:sz="6" w:space="0"/>
              <w:left w:val="single" w:color="000000" w:sz="6" w:space="0"/>
              <w:bottom w:val="nil"/>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1004" w:type="dxa"/>
            <w:vMerge w:val="restart"/>
            <w:tcBorders>
              <w:top w:val="single" w:color="000000" w:sz="6" w:space="0"/>
              <w:left w:val="single" w:color="000000" w:sz="6" w:space="0"/>
              <w:bottom w:val="nil"/>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一般公共预算拨款收入</w:t>
            </w:r>
          </w:p>
        </w:tc>
        <w:tc>
          <w:tcPr>
            <w:tcW w:w="853" w:type="dxa"/>
            <w:vMerge w:val="restart"/>
            <w:tcBorders>
              <w:top w:val="single" w:color="000000" w:sz="6" w:space="0"/>
              <w:left w:val="single" w:color="000000" w:sz="6" w:space="0"/>
              <w:bottom w:val="nil"/>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政府性基金预算拨款收入</w:t>
            </w:r>
          </w:p>
        </w:tc>
        <w:tc>
          <w:tcPr>
            <w:tcW w:w="811" w:type="dxa"/>
            <w:vMerge w:val="restart"/>
            <w:tcBorders>
              <w:top w:val="single" w:color="000000" w:sz="6" w:space="0"/>
              <w:left w:val="single" w:color="000000" w:sz="6" w:space="0"/>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国有资本经营预算拨款收入</w:t>
            </w:r>
          </w:p>
        </w:tc>
        <w:tc>
          <w:tcPr>
            <w:tcW w:w="1558" w:type="dxa"/>
            <w:gridSpan w:val="2"/>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事业收入</w:t>
            </w:r>
          </w:p>
        </w:tc>
        <w:tc>
          <w:tcPr>
            <w:tcW w:w="770" w:type="dxa"/>
            <w:vMerge w:val="restart"/>
            <w:tcBorders>
              <w:top w:val="single" w:color="000000" w:sz="6" w:space="0"/>
              <w:left w:val="nil"/>
              <w:bottom w:val="nil"/>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事业单位经营收入</w:t>
            </w:r>
          </w:p>
        </w:tc>
        <w:tc>
          <w:tcPr>
            <w:tcW w:w="770" w:type="dxa"/>
            <w:vMerge w:val="restart"/>
            <w:tcBorders>
              <w:top w:val="single" w:color="000000" w:sz="6" w:space="0"/>
              <w:left w:val="single" w:color="000000" w:sz="6" w:space="0"/>
              <w:bottom w:val="nil"/>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其他收入</w:t>
            </w:r>
          </w:p>
        </w:tc>
        <w:tc>
          <w:tcPr>
            <w:tcW w:w="770" w:type="dxa"/>
            <w:vMerge w:val="restart"/>
            <w:tcBorders>
              <w:top w:val="single" w:color="000000" w:sz="6" w:space="0"/>
              <w:left w:val="single" w:color="000000" w:sz="6" w:space="0"/>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用事业基金弥补收支差额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830" w:type="dxa"/>
            <w:tcBorders>
              <w:top w:val="nil"/>
              <w:left w:val="single" w:color="000000" w:sz="6" w:space="0"/>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科目编码</w:t>
            </w:r>
          </w:p>
        </w:tc>
        <w:tc>
          <w:tcPr>
            <w:tcW w:w="2894" w:type="dxa"/>
            <w:tcBorders>
              <w:top w:val="single" w:color="000000" w:sz="6" w:space="0"/>
              <w:left w:val="nil"/>
              <w:bottom w:val="single" w:color="000000" w:sz="6" w:space="0"/>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科目名称</w:t>
            </w:r>
          </w:p>
        </w:tc>
        <w:tc>
          <w:tcPr>
            <w:tcW w:w="1280" w:type="dxa"/>
            <w:vMerge w:val="continue"/>
            <w:tcBorders>
              <w:top w:val="single" w:color="000000" w:sz="6" w:space="0"/>
              <w:left w:val="single" w:color="000000" w:sz="6" w:space="0"/>
              <w:bottom w:val="nil"/>
              <w:right w:val="nil"/>
            </w:tcBorders>
            <w:shd w:val="clear"/>
            <w:vAlign w:val="center"/>
          </w:tcPr>
          <w:p>
            <w:pPr>
              <w:rPr>
                <w:rFonts w:hint="eastAsia" w:ascii="微软雅黑" w:hAnsi="微软雅黑" w:eastAsia="微软雅黑" w:cs="微软雅黑"/>
                <w:color w:val="333333"/>
                <w:sz w:val="24"/>
                <w:szCs w:val="24"/>
              </w:rPr>
            </w:pPr>
          </w:p>
        </w:tc>
        <w:tc>
          <w:tcPr>
            <w:tcW w:w="1004" w:type="dxa"/>
            <w:vMerge w:val="continue"/>
            <w:tcBorders>
              <w:top w:val="single" w:color="000000" w:sz="6" w:space="0"/>
              <w:left w:val="single" w:color="000000" w:sz="6" w:space="0"/>
              <w:bottom w:val="nil"/>
              <w:right w:val="nil"/>
            </w:tcBorders>
            <w:shd w:val="clear"/>
            <w:vAlign w:val="center"/>
          </w:tcPr>
          <w:p>
            <w:pPr>
              <w:rPr>
                <w:rFonts w:hint="eastAsia" w:ascii="微软雅黑" w:hAnsi="微软雅黑" w:eastAsia="微软雅黑" w:cs="微软雅黑"/>
                <w:color w:val="333333"/>
                <w:sz w:val="24"/>
                <w:szCs w:val="24"/>
              </w:rPr>
            </w:pPr>
          </w:p>
        </w:tc>
        <w:tc>
          <w:tcPr>
            <w:tcW w:w="853" w:type="dxa"/>
            <w:vMerge w:val="continue"/>
            <w:tcBorders>
              <w:top w:val="single" w:color="000000" w:sz="6" w:space="0"/>
              <w:left w:val="single" w:color="000000" w:sz="6" w:space="0"/>
              <w:bottom w:val="nil"/>
              <w:right w:val="nil"/>
            </w:tcBorders>
            <w:shd w:val="clear"/>
            <w:vAlign w:val="center"/>
          </w:tcPr>
          <w:p>
            <w:pPr>
              <w:rPr>
                <w:rFonts w:hint="eastAsia" w:ascii="微软雅黑" w:hAnsi="微软雅黑" w:eastAsia="微软雅黑" w:cs="微软雅黑"/>
                <w:color w:val="333333"/>
                <w:sz w:val="24"/>
                <w:szCs w:val="24"/>
              </w:rPr>
            </w:pPr>
          </w:p>
        </w:tc>
        <w:tc>
          <w:tcPr>
            <w:tcW w:w="811" w:type="dxa"/>
            <w:vMerge w:val="continue"/>
            <w:tcBorders>
              <w:top w:val="single" w:color="000000" w:sz="6" w:space="0"/>
              <w:left w:val="single" w:color="000000" w:sz="6" w:space="0"/>
              <w:bottom w:val="nil"/>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金额</w:t>
            </w:r>
          </w:p>
        </w:tc>
        <w:tc>
          <w:tcPr>
            <w:tcW w:w="788" w:type="dxa"/>
            <w:tcBorders>
              <w:top w:val="single" w:color="000000" w:sz="2" w:space="0"/>
              <w:left w:val="single" w:color="000000" w:sz="2" w:space="0"/>
              <w:bottom w:val="single" w:color="000000" w:sz="2" w:space="0"/>
              <w:right w:val="single" w:color="000000" w:sz="2"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其中：教育收费</w:t>
            </w:r>
          </w:p>
        </w:tc>
        <w:tc>
          <w:tcPr>
            <w:tcW w:w="770" w:type="dxa"/>
            <w:vMerge w:val="continue"/>
            <w:tcBorders>
              <w:top w:val="single" w:color="000000" w:sz="6" w:space="0"/>
              <w:left w:val="nil"/>
              <w:bottom w:val="nil"/>
              <w:right w:val="nil"/>
            </w:tcBorders>
            <w:shd w:val="clear"/>
            <w:vAlign w:val="center"/>
          </w:tcPr>
          <w:p>
            <w:pPr>
              <w:rPr>
                <w:rFonts w:hint="eastAsia" w:ascii="微软雅黑" w:hAnsi="微软雅黑" w:eastAsia="微软雅黑" w:cs="微软雅黑"/>
                <w:color w:val="333333"/>
                <w:sz w:val="24"/>
                <w:szCs w:val="24"/>
              </w:rPr>
            </w:pPr>
          </w:p>
        </w:tc>
        <w:tc>
          <w:tcPr>
            <w:tcW w:w="770" w:type="dxa"/>
            <w:vMerge w:val="continue"/>
            <w:tcBorders>
              <w:top w:val="single" w:color="000000" w:sz="6" w:space="0"/>
              <w:left w:val="single" w:color="000000" w:sz="6" w:space="0"/>
              <w:bottom w:val="nil"/>
              <w:right w:val="nil"/>
            </w:tcBorders>
            <w:shd w:val="clear"/>
            <w:vAlign w:val="center"/>
          </w:tcPr>
          <w:p>
            <w:pPr>
              <w:rPr>
                <w:rFonts w:hint="eastAsia" w:ascii="微软雅黑" w:hAnsi="微软雅黑" w:eastAsia="微软雅黑" w:cs="微软雅黑"/>
                <w:color w:val="333333"/>
                <w:sz w:val="24"/>
                <w:szCs w:val="24"/>
              </w:rPr>
            </w:pPr>
          </w:p>
        </w:tc>
        <w:tc>
          <w:tcPr>
            <w:tcW w:w="770" w:type="dxa"/>
            <w:vMerge w:val="continue"/>
            <w:tcBorders>
              <w:top w:val="single" w:color="000000" w:sz="6" w:space="0"/>
              <w:left w:val="single" w:color="000000" w:sz="6" w:space="0"/>
              <w:bottom w:val="nil"/>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24" w:type="dxa"/>
            <w:gridSpan w:val="2"/>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1280" w:type="dxa"/>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single" w:color="000000" w:sz="6" w:space="0"/>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204</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公共安全支出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20402</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公安</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2040201</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行政运行</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205</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教育支出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20508</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进修及培训</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2050803</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培训支出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208</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社会保障和就业支出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行政事业单位离退休</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2080505</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机关事业单位基本养老保险缴费支出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108.47</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108.47</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2080506</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机关事业单位职业年金缴费支出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43.39</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43.39</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2080599</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其他行政事业单位离退休支出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201.95</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201.95</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210</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卫生健康支出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行政事业单位医疗</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2101101</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行政单位医疗</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34.94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34.94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2101102</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事业单位医疗</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29.37</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29.37</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2101103</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公务员医疗补助</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11.93</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11.93</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213</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农林水支出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林业和草原</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2130201</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行政运行</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616.65</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616.65</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2130204</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事业机构</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544.22</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544.22</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2130205</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森林培育</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2130207</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森林资源管理</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14.00</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14.00</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2130209</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森林生态效益补偿</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91.50</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91.50</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2130213</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执法与监督</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2130234</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防灾减灾</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55.00</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55.00</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221</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住房保障支出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22102</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住房改革支出</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2210201</w:t>
            </w:r>
          </w:p>
        </w:tc>
        <w:tc>
          <w:tcPr>
            <w:tcW w:w="289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住房公积金</w:t>
            </w:r>
          </w:p>
        </w:tc>
        <w:tc>
          <w:tcPr>
            <w:tcW w:w="12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00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85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11"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88"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7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bl>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tbl>
      <w:tblPr>
        <w:tblW w:w="12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30"/>
        <w:gridCol w:w="3537"/>
        <w:gridCol w:w="1348"/>
        <w:gridCol w:w="1363"/>
        <w:gridCol w:w="1452"/>
        <w:gridCol w:w="857"/>
        <w:gridCol w:w="1058"/>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30" w:type="dxa"/>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left"/>
              <w:textAlignment w:val="bottom"/>
            </w:pPr>
            <w:r>
              <w:rPr>
                <w:rFonts w:hint="eastAsia" w:ascii="宋体" w:hAnsi="宋体" w:eastAsia="宋体" w:cs="宋体"/>
                <w:i w:val="0"/>
                <w:color w:val="000000"/>
                <w:sz w:val="24"/>
                <w:szCs w:val="24"/>
              </w:rPr>
              <w:t>表3</w:t>
            </w:r>
          </w:p>
        </w:tc>
        <w:tc>
          <w:tcPr>
            <w:tcW w:w="3537"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348"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363"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452"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857"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058"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47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12915" w:type="dxa"/>
            <w:gridSpan w:val="8"/>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center"/>
              <w:textAlignment w:val="bottom"/>
            </w:pPr>
            <w:r>
              <w:rPr>
                <w:rFonts w:hint="eastAsia" w:ascii="方正小标宋_GBK" w:hAnsi="方正小标宋_GBK" w:eastAsia="方正小标宋_GBK" w:cs="方正小标宋_GBK"/>
                <w:b w:val="0"/>
                <w:i w:val="0"/>
                <w:color w:val="000000"/>
                <w:sz w:val="43"/>
                <w:szCs w:val="43"/>
              </w:rPr>
              <w:t>重庆市荣昌区林业局2019年部门支出总体情况表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83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3537"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348"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363"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452"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857"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058"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470" w:type="dxa"/>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right"/>
              <w:textAlignment w:val="bottom"/>
            </w:pPr>
            <w:r>
              <w:rPr>
                <w:rFonts w:hint="eastAsia" w:ascii="宋体" w:hAnsi="宋体" w:eastAsia="宋体" w:cs="宋体"/>
                <w:i w:val="0"/>
                <w:color w:val="00000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single" w:color="000000" w:sz="6" w:space="0"/>
              <w:left w:val="single" w:color="000000" w:sz="6" w:space="0"/>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科目编码</w:t>
            </w:r>
          </w:p>
        </w:tc>
        <w:tc>
          <w:tcPr>
            <w:tcW w:w="3537"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科目名称</w:t>
            </w:r>
          </w:p>
        </w:tc>
        <w:tc>
          <w:tcPr>
            <w:tcW w:w="1348"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1363"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基本支出</w:t>
            </w:r>
          </w:p>
        </w:tc>
        <w:tc>
          <w:tcPr>
            <w:tcW w:w="1452"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项目支出</w:t>
            </w:r>
          </w:p>
        </w:tc>
        <w:tc>
          <w:tcPr>
            <w:tcW w:w="857"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上缴上级支出</w:t>
            </w:r>
          </w:p>
        </w:tc>
        <w:tc>
          <w:tcPr>
            <w:tcW w:w="1058"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事业单位经营支出</w:t>
            </w:r>
          </w:p>
        </w:tc>
        <w:tc>
          <w:tcPr>
            <w:tcW w:w="1470"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对下级单位补助支出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367" w:type="dxa"/>
            <w:gridSpan w:val="2"/>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1348" w:type="dxa"/>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1363" w:type="dxa"/>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1,722.30</w:t>
            </w:r>
          </w:p>
        </w:tc>
        <w:tc>
          <w:tcPr>
            <w:tcW w:w="1452" w:type="dxa"/>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342.33</w:t>
            </w:r>
          </w:p>
        </w:tc>
        <w:tc>
          <w:tcPr>
            <w:tcW w:w="857" w:type="dxa"/>
            <w:tcBorders>
              <w:top w:val="single" w:color="000000" w:sz="6" w:space="0"/>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single" w:color="000000" w:sz="6" w:space="0"/>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204</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公共安全支出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20402</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公安</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2040201</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行政运行</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205</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教育支出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20508</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进修及培训</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2050803</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培训支出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208</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社会保障和就业支出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行政事业单位离退休</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2080505</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机关事业单位基本养老保险缴费支出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108.47</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108.47</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2080506</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机关事业单位职业年金缴费支出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43.39</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43.39</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2080599</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其他行政事业单位离退休支出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201.95</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201.95</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210</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卫生健康支出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行政事业单位医疗</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2101101</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行政单位医疗</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34.94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34.94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2101102</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事业单位医疗</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29.37</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29.37</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2101103</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公务员医疗补助</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11.93</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11.93</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213</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农林水支出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995.04</w:t>
            </w:r>
          </w:p>
        </w:tc>
        <w:tc>
          <w:tcPr>
            <w:tcW w:w="1452"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342.33</w:t>
            </w: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林业和草原</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995.04</w:t>
            </w:r>
          </w:p>
        </w:tc>
        <w:tc>
          <w:tcPr>
            <w:tcW w:w="1452"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342.33</w:t>
            </w: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2130201</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行政运行</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616.65</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450.82</w:t>
            </w:r>
          </w:p>
        </w:tc>
        <w:tc>
          <w:tcPr>
            <w:tcW w:w="1452"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165.83</w:t>
            </w: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2130204</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事业机构</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544.22</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544.22</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2130205</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森林培育</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c>
          <w:tcPr>
            <w:tcW w:w="136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52"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2130207</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森林资源管理</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14.00</w:t>
            </w:r>
          </w:p>
        </w:tc>
        <w:tc>
          <w:tcPr>
            <w:tcW w:w="136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52"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14.00</w:t>
            </w: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2130209</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森林生态效益补偿</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91.50</w:t>
            </w:r>
          </w:p>
        </w:tc>
        <w:tc>
          <w:tcPr>
            <w:tcW w:w="136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52"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91.50</w:t>
            </w: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2130213</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执法与监督</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c>
          <w:tcPr>
            <w:tcW w:w="136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52"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2130234</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防灾减灾</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55.00</w:t>
            </w:r>
          </w:p>
        </w:tc>
        <w:tc>
          <w:tcPr>
            <w:tcW w:w="1363"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52"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55.00</w:t>
            </w: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221</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住房保障支出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22102</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住房改革支出</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2210201</w:t>
            </w:r>
          </w:p>
        </w:tc>
        <w:tc>
          <w:tcPr>
            <w:tcW w:w="3537"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住房公积金</w:t>
            </w:r>
          </w:p>
        </w:tc>
        <w:tc>
          <w:tcPr>
            <w:tcW w:w="134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363"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452"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857"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058"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7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bl>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tbl>
      <w:tblPr>
        <w:tblW w:w="12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520"/>
        <w:gridCol w:w="1620"/>
        <w:gridCol w:w="2340"/>
        <w:gridCol w:w="1245"/>
        <w:gridCol w:w="1680"/>
        <w:gridCol w:w="166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2520" w:type="dxa"/>
            <w:tcBorders>
              <w:top w:val="single" w:color="000000" w:sz="2" w:space="0"/>
              <w:left w:val="single" w:color="000000" w:sz="2" w:space="0"/>
              <w:bottom w:val="single" w:color="000000" w:sz="2" w:space="0"/>
              <w:right w:val="single" w:color="000000" w:sz="2"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w:t>
            </w:r>
          </w:p>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表4</w:t>
            </w:r>
          </w:p>
        </w:tc>
        <w:tc>
          <w:tcPr>
            <w:tcW w:w="162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234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245"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68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665"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2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62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234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245"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68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665"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2960" w:type="dxa"/>
            <w:gridSpan w:val="7"/>
            <w:tcBorders>
              <w:top w:val="single" w:color="000000" w:sz="2" w:space="0"/>
              <w:left w:val="single" w:color="000000" w:sz="2" w:space="0"/>
              <w:bottom w:val="single" w:color="000000" w:sz="2" w:space="0"/>
              <w:right w:val="single" w:color="000000" w:sz="2" w:space="0"/>
            </w:tcBorders>
            <w:shd w:val="clear"/>
            <w:vAlign w:val="center"/>
          </w:tcPr>
          <w:p>
            <w:pPr>
              <w:pStyle w:val="2"/>
              <w:keepNext w:val="0"/>
              <w:keepLines w:val="0"/>
              <w:widowControl/>
              <w:suppressLineNumbers w:val="0"/>
              <w:spacing w:after="180" w:afterAutospacing="0"/>
              <w:jc w:val="center"/>
              <w:textAlignment w:val="center"/>
            </w:pPr>
            <w:r>
              <w:rPr>
                <w:rFonts w:hint="eastAsia" w:ascii="方正小标宋_GBK" w:hAnsi="方正小标宋_GBK" w:eastAsia="方正小标宋_GBK" w:cs="方正小标宋_GBK"/>
                <w:b w:val="0"/>
                <w:i w:val="0"/>
                <w:color w:val="000000"/>
                <w:sz w:val="43"/>
                <w:szCs w:val="43"/>
              </w:rPr>
              <w:t>重庆市荣昌区林业局2019年财政拨款收支总体情况表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2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62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2340"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245"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680"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665"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nil"/>
            </w:tcBorders>
            <w:shd w:val="clear"/>
            <w:vAlign w:val="bottom"/>
          </w:tcPr>
          <w:p>
            <w:pPr>
              <w:pStyle w:val="2"/>
              <w:keepNext w:val="0"/>
              <w:keepLines w:val="0"/>
              <w:widowControl/>
              <w:suppressLineNumbers w:val="0"/>
              <w:spacing w:after="180" w:afterAutospacing="0"/>
              <w:jc w:val="right"/>
              <w:textAlignment w:val="bottom"/>
            </w:pPr>
            <w:r>
              <w:rPr>
                <w:rFonts w:hint="eastAsia" w:ascii="宋体" w:hAnsi="宋体" w:eastAsia="宋体" w:cs="宋体"/>
                <w:i w:val="0"/>
                <w:color w:val="00000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4140" w:type="dxa"/>
            <w:gridSpan w:val="2"/>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收入</w:t>
            </w:r>
          </w:p>
        </w:tc>
        <w:tc>
          <w:tcPr>
            <w:tcW w:w="8820" w:type="dxa"/>
            <w:gridSpan w:val="5"/>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252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项目</w:t>
            </w:r>
          </w:p>
        </w:tc>
        <w:tc>
          <w:tcPr>
            <w:tcW w:w="16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预算数</w:t>
            </w:r>
          </w:p>
        </w:tc>
        <w:tc>
          <w:tcPr>
            <w:tcW w:w="2340"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项目</w:t>
            </w:r>
          </w:p>
        </w:tc>
        <w:tc>
          <w:tcPr>
            <w:tcW w:w="1245"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1680"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一般公共预算财政拨款</w:t>
            </w:r>
          </w:p>
        </w:tc>
        <w:tc>
          <w:tcPr>
            <w:tcW w:w="1665"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政府性基金预算财政拨款</w:t>
            </w:r>
          </w:p>
        </w:tc>
        <w:tc>
          <w:tcPr>
            <w:tcW w:w="1890"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一、本年收入</w:t>
            </w:r>
          </w:p>
        </w:tc>
        <w:tc>
          <w:tcPr>
            <w:tcW w:w="1620"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2340" w:type="dxa"/>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合计</w:t>
            </w:r>
          </w:p>
        </w:tc>
        <w:tc>
          <w:tcPr>
            <w:tcW w:w="1245" w:type="dxa"/>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1680" w:type="dxa"/>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1665"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single" w:color="000000" w:sz="6" w:space="0"/>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一般公共预算拨款</w:t>
            </w:r>
          </w:p>
        </w:tc>
        <w:tc>
          <w:tcPr>
            <w:tcW w:w="16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2340"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公共安全支出</w:t>
            </w:r>
          </w:p>
        </w:tc>
        <w:tc>
          <w:tcPr>
            <w:tcW w:w="124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6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665"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政府性基金预算拨款</w:t>
            </w:r>
          </w:p>
        </w:tc>
        <w:tc>
          <w:tcPr>
            <w:tcW w:w="16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340"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教育支出</w:t>
            </w:r>
          </w:p>
        </w:tc>
        <w:tc>
          <w:tcPr>
            <w:tcW w:w="124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6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665"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国有资本经营预算拨款</w:t>
            </w:r>
          </w:p>
        </w:tc>
        <w:tc>
          <w:tcPr>
            <w:tcW w:w="16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340"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社会保障和就业支出</w:t>
            </w:r>
          </w:p>
        </w:tc>
        <w:tc>
          <w:tcPr>
            <w:tcW w:w="124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6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665"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6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340"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卫生健康支出</w:t>
            </w:r>
          </w:p>
        </w:tc>
        <w:tc>
          <w:tcPr>
            <w:tcW w:w="124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6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665"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二、上年结转</w:t>
            </w:r>
          </w:p>
        </w:tc>
        <w:tc>
          <w:tcPr>
            <w:tcW w:w="16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340"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农林水支出</w:t>
            </w:r>
          </w:p>
        </w:tc>
        <w:tc>
          <w:tcPr>
            <w:tcW w:w="124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c>
          <w:tcPr>
            <w:tcW w:w="16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c>
          <w:tcPr>
            <w:tcW w:w="1665"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一般公共预算拨款</w:t>
            </w:r>
          </w:p>
        </w:tc>
        <w:tc>
          <w:tcPr>
            <w:tcW w:w="16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340"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住房保障支出</w:t>
            </w:r>
          </w:p>
        </w:tc>
        <w:tc>
          <w:tcPr>
            <w:tcW w:w="1245"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68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665"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政府性基金预算拨款</w:t>
            </w:r>
          </w:p>
        </w:tc>
        <w:tc>
          <w:tcPr>
            <w:tcW w:w="16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340"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245"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680"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665"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国有资本经营预算拨款</w:t>
            </w:r>
          </w:p>
        </w:tc>
        <w:tc>
          <w:tcPr>
            <w:tcW w:w="16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340"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245"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680"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665"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6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34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二、结转下年</w:t>
            </w:r>
          </w:p>
        </w:tc>
        <w:tc>
          <w:tcPr>
            <w:tcW w:w="1245"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68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665"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2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收入总计</w:t>
            </w:r>
          </w:p>
        </w:tc>
        <w:tc>
          <w:tcPr>
            <w:tcW w:w="162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234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支出总计</w:t>
            </w:r>
          </w:p>
        </w:tc>
        <w:tc>
          <w:tcPr>
            <w:tcW w:w="124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168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1665"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89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bl>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tbl>
      <w:tblPr>
        <w:tblW w:w="11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30"/>
        <w:gridCol w:w="3174"/>
        <w:gridCol w:w="1116"/>
        <w:gridCol w:w="1702"/>
        <w:gridCol w:w="1866"/>
        <w:gridCol w:w="1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830" w:type="dxa"/>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left"/>
              <w:textAlignment w:val="bottom"/>
            </w:pPr>
            <w:r>
              <w:rPr>
                <w:rFonts w:hint="eastAsia" w:ascii="宋体" w:hAnsi="宋体" w:eastAsia="宋体" w:cs="宋体"/>
                <w:i w:val="0"/>
                <w:color w:val="000000"/>
                <w:sz w:val="24"/>
                <w:szCs w:val="24"/>
              </w:rPr>
              <w:t>表5</w:t>
            </w:r>
          </w:p>
        </w:tc>
        <w:tc>
          <w:tcPr>
            <w:tcW w:w="3174"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116"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702"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866"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997"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60" w:hRule="atLeast"/>
        </w:trPr>
        <w:tc>
          <w:tcPr>
            <w:tcW w:w="11685" w:type="dxa"/>
            <w:gridSpan w:val="6"/>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center"/>
              <w:textAlignment w:val="bottom"/>
            </w:pPr>
            <w:r>
              <w:rPr>
                <w:rFonts w:hint="eastAsia" w:ascii="方正小标宋_GBK" w:hAnsi="方正小标宋_GBK" w:eastAsia="方正小标宋_GBK" w:cs="方正小标宋_GBK"/>
                <w:b w:val="0"/>
                <w:i w:val="0"/>
                <w:color w:val="000000"/>
                <w:sz w:val="43"/>
                <w:szCs w:val="43"/>
              </w:rPr>
              <w:t>重庆市荣昌区林业局2019年一般公共预算支出情况表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83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3174"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116"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702"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866"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997"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3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3174" w:type="dxa"/>
            <w:tcBorders>
              <w:top w:val="nil"/>
              <w:left w:val="nil"/>
              <w:bottom w:val="single" w:color="000000" w:sz="6" w:space="0"/>
              <w:right w:val="nil"/>
            </w:tcBorders>
            <w:shd w:val="clear"/>
            <w:vAlign w:val="bottom"/>
          </w:tcPr>
          <w:p>
            <w:pPr>
              <w:rPr>
                <w:rFonts w:hint="eastAsia" w:ascii="微软雅黑" w:hAnsi="微软雅黑" w:eastAsia="微软雅黑" w:cs="微软雅黑"/>
                <w:color w:val="333333"/>
                <w:sz w:val="24"/>
                <w:szCs w:val="24"/>
              </w:rPr>
            </w:pPr>
          </w:p>
        </w:tc>
        <w:tc>
          <w:tcPr>
            <w:tcW w:w="1116"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702"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866" w:type="dxa"/>
            <w:tcBorders>
              <w:top w:val="nil"/>
              <w:left w:val="nil"/>
              <w:bottom w:val="single" w:color="000000" w:sz="6" w:space="0"/>
              <w:right w:val="nil"/>
            </w:tcBorders>
            <w:shd w:val="clear"/>
            <w:vAlign w:val="bottom"/>
          </w:tcPr>
          <w:p>
            <w:pPr>
              <w:rPr>
                <w:rFonts w:hint="eastAsia" w:ascii="微软雅黑" w:hAnsi="微软雅黑" w:eastAsia="微软雅黑" w:cs="微软雅黑"/>
                <w:color w:val="333333"/>
                <w:sz w:val="24"/>
                <w:szCs w:val="24"/>
              </w:rPr>
            </w:pPr>
          </w:p>
        </w:tc>
        <w:tc>
          <w:tcPr>
            <w:tcW w:w="1997" w:type="dxa"/>
            <w:tcBorders>
              <w:top w:val="nil"/>
              <w:left w:val="nil"/>
              <w:bottom w:val="single" w:color="000000" w:sz="6" w:space="0"/>
              <w:right w:val="nil"/>
            </w:tcBorders>
            <w:shd w:val="clear"/>
            <w:vAlign w:val="bottom"/>
          </w:tcPr>
          <w:p>
            <w:pPr>
              <w:pStyle w:val="2"/>
              <w:keepNext w:val="0"/>
              <w:keepLines w:val="0"/>
              <w:widowControl/>
              <w:suppressLineNumbers w:val="0"/>
              <w:spacing w:after="180" w:afterAutospacing="0"/>
              <w:jc w:val="right"/>
              <w:textAlignment w:val="bottom"/>
            </w:pPr>
            <w:r>
              <w:rPr>
                <w:rFonts w:hint="eastAsia" w:ascii="宋体" w:hAnsi="宋体" w:eastAsia="宋体" w:cs="宋体"/>
                <w:i w:val="0"/>
                <w:color w:val="00000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5004" w:type="dxa"/>
            <w:gridSpan w:val="2"/>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功能分类科目</w:t>
            </w:r>
          </w:p>
        </w:tc>
        <w:tc>
          <w:tcPr>
            <w:tcW w:w="1116" w:type="dxa"/>
            <w:vMerge w:val="restart"/>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2018年预算数</w:t>
            </w:r>
          </w:p>
        </w:tc>
        <w:tc>
          <w:tcPr>
            <w:tcW w:w="5565" w:type="dxa"/>
            <w:gridSpan w:val="3"/>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2019年预算数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科目编码</w:t>
            </w:r>
          </w:p>
        </w:tc>
        <w:tc>
          <w:tcPr>
            <w:tcW w:w="3174"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科目名称</w:t>
            </w:r>
          </w:p>
        </w:tc>
        <w:tc>
          <w:tcPr>
            <w:tcW w:w="1116" w:type="dxa"/>
            <w:vMerge w:val="continue"/>
            <w:tcBorders>
              <w:top w:val="single" w:color="000000" w:sz="6" w:space="0"/>
              <w:left w:val="nil"/>
              <w:bottom w:val="nil"/>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702"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小计</w:t>
            </w:r>
          </w:p>
        </w:tc>
        <w:tc>
          <w:tcPr>
            <w:tcW w:w="1866"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基本支出</w:t>
            </w:r>
          </w:p>
        </w:tc>
        <w:tc>
          <w:tcPr>
            <w:tcW w:w="1997"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5004" w:type="dxa"/>
            <w:gridSpan w:val="2"/>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1116"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1596.04</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2,064.64</w:t>
            </w:r>
          </w:p>
        </w:tc>
        <w:tc>
          <w:tcPr>
            <w:tcW w:w="1866" w:type="dxa"/>
            <w:tcBorders>
              <w:top w:val="single" w:color="000000" w:sz="6" w:space="0"/>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1,722.30</w:t>
            </w:r>
          </w:p>
        </w:tc>
        <w:tc>
          <w:tcPr>
            <w:tcW w:w="1997"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204</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公共安全支出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160.29</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997"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20402</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公安</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160.29</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2040201</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行政运行</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160.29</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187.14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205</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教育支出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7.63</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20508</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进修及培训</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7.63</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2050803</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培训支出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7.63</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8.14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208</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社会保障和就业支出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290.26</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行政事业单位离退休</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290.26</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353.80</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2080505</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机关事业单位基本养老保险缴费支出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101.75</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108.47</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108.47</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2080506</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机关事业单位职业年金缴费支出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40.70</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43.39</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43.39</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2080599</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其他行政事业单位离退休支出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147.82</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201.95</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201.95</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210</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卫生健康支出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73.03</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行政事业单位医疗</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73.03</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76.24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2101101</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行政单位医疗</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34.27</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34.94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34.94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2101102</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事业单位医疗</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27.16</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29.37</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29.37</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2101103</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公务员医疗补助</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11.60</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11.93</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11.93</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213</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农林水支出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974.73</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995.04</w:t>
            </w:r>
          </w:p>
        </w:tc>
        <w:tc>
          <w:tcPr>
            <w:tcW w:w="1997"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林业和草原</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974.73</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1,337.38</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995.04</w:t>
            </w:r>
          </w:p>
        </w:tc>
        <w:tc>
          <w:tcPr>
            <w:tcW w:w="1997"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342.33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2130201</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行政运行</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422.16</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616.65</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450.82</w:t>
            </w:r>
          </w:p>
        </w:tc>
        <w:tc>
          <w:tcPr>
            <w:tcW w:w="1997"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165.83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2130204</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事业机构</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502.58</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544.22</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544.22</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2130205</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森林培育</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7.00</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c>
          <w:tcPr>
            <w:tcW w:w="1866"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997"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2130207</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森林资源管理</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7.00</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14.00</w:t>
            </w:r>
          </w:p>
        </w:tc>
        <w:tc>
          <w:tcPr>
            <w:tcW w:w="1866"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997"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2130209</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森林生态效益补偿</w:t>
            </w:r>
          </w:p>
        </w:tc>
        <w:tc>
          <w:tcPr>
            <w:tcW w:w="111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91.50</w:t>
            </w:r>
          </w:p>
        </w:tc>
        <w:tc>
          <w:tcPr>
            <w:tcW w:w="1866"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997"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2130213</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执法与监督</w:t>
            </w:r>
          </w:p>
        </w:tc>
        <w:tc>
          <w:tcPr>
            <w:tcW w:w="111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c>
          <w:tcPr>
            <w:tcW w:w="1866"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997"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2130234</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防灾减灾</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36.00</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55.00</w:t>
            </w:r>
          </w:p>
        </w:tc>
        <w:tc>
          <w:tcPr>
            <w:tcW w:w="1866"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997"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221</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住房保障支出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90.10</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22102</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住房改革支出</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90.10</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30"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2210201</w:t>
            </w:r>
          </w:p>
        </w:tc>
        <w:tc>
          <w:tcPr>
            <w:tcW w:w="317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住房公积金</w:t>
            </w:r>
          </w:p>
        </w:tc>
        <w:tc>
          <w:tcPr>
            <w:tcW w:w="111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90.10</w:t>
            </w:r>
          </w:p>
        </w:tc>
        <w:tc>
          <w:tcPr>
            <w:tcW w:w="1702"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866" w:type="dxa"/>
            <w:tcBorders>
              <w:top w:val="nil"/>
              <w:left w:val="nil"/>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997"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bl>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tbl>
      <w:tblPr>
        <w:tblW w:w="11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88"/>
        <w:gridCol w:w="3999"/>
        <w:gridCol w:w="1978"/>
        <w:gridCol w:w="1754"/>
        <w:gridCol w:w="1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888" w:type="dxa"/>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left"/>
              <w:textAlignment w:val="bottom"/>
            </w:pPr>
            <w:r>
              <w:rPr>
                <w:rFonts w:hint="eastAsia" w:ascii="宋体" w:hAnsi="宋体" w:eastAsia="宋体" w:cs="宋体"/>
                <w:i w:val="0"/>
                <w:color w:val="000000"/>
                <w:sz w:val="24"/>
                <w:szCs w:val="24"/>
              </w:rPr>
              <w:t> </w:t>
            </w:r>
          </w:p>
          <w:p>
            <w:pPr>
              <w:pStyle w:val="2"/>
              <w:keepNext w:val="0"/>
              <w:keepLines w:val="0"/>
              <w:widowControl/>
              <w:suppressLineNumbers w:val="0"/>
              <w:spacing w:after="180" w:afterAutospacing="0"/>
              <w:jc w:val="left"/>
              <w:textAlignment w:val="bottom"/>
            </w:pPr>
            <w:r>
              <w:rPr>
                <w:rFonts w:hint="eastAsia" w:ascii="宋体" w:hAnsi="宋体" w:eastAsia="宋体" w:cs="宋体"/>
                <w:i w:val="0"/>
                <w:color w:val="000000"/>
                <w:sz w:val="24"/>
                <w:szCs w:val="24"/>
              </w:rPr>
              <w:t>表6</w:t>
            </w:r>
          </w:p>
        </w:tc>
        <w:tc>
          <w:tcPr>
            <w:tcW w:w="3999"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978"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754"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796"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90" w:hRule="atLeast"/>
        </w:trPr>
        <w:tc>
          <w:tcPr>
            <w:tcW w:w="11415" w:type="dxa"/>
            <w:gridSpan w:val="5"/>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center"/>
              <w:textAlignment w:val="bottom"/>
            </w:pPr>
            <w:r>
              <w:rPr>
                <w:rFonts w:hint="eastAsia" w:ascii="方正小标宋_GBK" w:hAnsi="方正小标宋_GBK" w:eastAsia="方正小标宋_GBK" w:cs="方正小标宋_GBK"/>
                <w:b w:val="0"/>
                <w:i w:val="0"/>
                <w:color w:val="000000"/>
                <w:sz w:val="43"/>
                <w:szCs w:val="43"/>
              </w:rPr>
              <w:t>重庆市荣昌区林业局2019年一般公共预算基本支出情况表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888"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3999" w:type="dxa"/>
            <w:tcBorders>
              <w:top w:val="nil"/>
              <w:left w:val="nil"/>
              <w:bottom w:val="single" w:color="000000" w:sz="6" w:space="0"/>
              <w:right w:val="nil"/>
            </w:tcBorders>
            <w:shd w:val="clear"/>
            <w:vAlign w:val="bottom"/>
          </w:tcPr>
          <w:p>
            <w:pPr>
              <w:rPr>
                <w:rFonts w:hint="eastAsia" w:ascii="微软雅黑" w:hAnsi="微软雅黑" w:eastAsia="微软雅黑" w:cs="微软雅黑"/>
                <w:color w:val="333333"/>
                <w:sz w:val="24"/>
                <w:szCs w:val="24"/>
              </w:rPr>
            </w:pPr>
          </w:p>
        </w:tc>
        <w:tc>
          <w:tcPr>
            <w:tcW w:w="1978"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754" w:type="dxa"/>
            <w:tcBorders>
              <w:top w:val="nil"/>
              <w:left w:val="nil"/>
              <w:bottom w:val="single" w:color="000000" w:sz="6" w:space="0"/>
              <w:right w:val="nil"/>
            </w:tcBorders>
            <w:shd w:val="clear"/>
            <w:vAlign w:val="bottom"/>
          </w:tcPr>
          <w:p>
            <w:pPr>
              <w:rPr>
                <w:rFonts w:hint="eastAsia" w:ascii="微软雅黑" w:hAnsi="微软雅黑" w:eastAsia="微软雅黑" w:cs="微软雅黑"/>
                <w:color w:val="333333"/>
                <w:sz w:val="24"/>
                <w:szCs w:val="24"/>
              </w:rPr>
            </w:pPr>
          </w:p>
        </w:tc>
        <w:tc>
          <w:tcPr>
            <w:tcW w:w="1796" w:type="dxa"/>
            <w:tcBorders>
              <w:top w:val="nil"/>
              <w:left w:val="nil"/>
              <w:bottom w:val="single" w:color="000000" w:sz="6" w:space="0"/>
              <w:right w:val="nil"/>
            </w:tcBorders>
            <w:shd w:val="clear"/>
            <w:vAlign w:val="bottom"/>
          </w:tcPr>
          <w:p>
            <w:pPr>
              <w:pStyle w:val="2"/>
              <w:keepNext w:val="0"/>
              <w:keepLines w:val="0"/>
              <w:widowControl/>
              <w:suppressLineNumbers w:val="0"/>
              <w:spacing w:after="180" w:afterAutospacing="0"/>
              <w:jc w:val="right"/>
              <w:textAlignment w:val="bottom"/>
            </w:pPr>
            <w:r>
              <w:rPr>
                <w:rFonts w:hint="eastAsia" w:ascii="宋体" w:hAnsi="宋体" w:eastAsia="宋体" w:cs="宋体"/>
                <w:i w:val="0"/>
                <w:color w:val="00000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5887" w:type="dxa"/>
            <w:gridSpan w:val="2"/>
            <w:tcBorders>
              <w:top w:val="single" w:color="000000" w:sz="6" w:space="0"/>
              <w:left w:val="single" w:color="000000" w:sz="6" w:space="0"/>
              <w:bottom w:val="nil"/>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经济分类科目</w:t>
            </w:r>
          </w:p>
        </w:tc>
        <w:tc>
          <w:tcPr>
            <w:tcW w:w="5528" w:type="dxa"/>
            <w:gridSpan w:val="3"/>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2019年基本支出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single" w:color="000000" w:sz="6" w:space="0"/>
              <w:left w:val="single" w:color="000000" w:sz="6" w:space="0"/>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科目编码</w:t>
            </w:r>
          </w:p>
        </w:tc>
        <w:tc>
          <w:tcPr>
            <w:tcW w:w="3999"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科目名称</w:t>
            </w:r>
          </w:p>
        </w:tc>
        <w:tc>
          <w:tcPr>
            <w:tcW w:w="1978"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1754"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人员经费</w:t>
            </w:r>
          </w:p>
        </w:tc>
        <w:tc>
          <w:tcPr>
            <w:tcW w:w="1796"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887" w:type="dxa"/>
            <w:gridSpan w:val="2"/>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1978" w:type="dxa"/>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1,722.30</w:t>
            </w:r>
          </w:p>
        </w:tc>
        <w:tc>
          <w:tcPr>
            <w:tcW w:w="1754" w:type="dxa"/>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1,364.23</w:t>
            </w:r>
          </w:p>
        </w:tc>
        <w:tc>
          <w:tcPr>
            <w:tcW w:w="1796"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301</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工资福利支出</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1,164.40</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1,156.56</w:t>
            </w:r>
          </w:p>
        </w:tc>
        <w:tc>
          <w:tcPr>
            <w:tcW w:w="1796"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30101</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基本工资</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255.33</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255.33</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30102</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津贴补贴</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158.50</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158.50</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30103</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奖金</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19.53</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19.53</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30107</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绩效工资</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108.97</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108.97</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30108</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机关事业单位基本养老保险缴费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108.47</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108.47</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30109</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职业年金缴费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43.39</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43.39</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30110</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职工基本医疗保险缴费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46.10</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46.10</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30111</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公务员医疗补助缴费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11.93</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11.93</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30112</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其他社会保障缴费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18.69</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10.85</w:t>
            </w: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30113</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住房公积金</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101.94</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30114</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医疗费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10.08</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10.08</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30199</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其他工资福利支出</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281.48</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281.48</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302</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商品和服务支出</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353.31</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3.07</w:t>
            </w: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350.24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30201</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办公费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12.80</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30205</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水费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2.80</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30206</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电费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9.00</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30207</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邮电费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29.48</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30209</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物业管理费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11.50</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30211</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差旅费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122.40</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30213</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维修(护)费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4.50</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30216</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培训费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8.64</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30217</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公务接待费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12.00</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30218</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专用材料费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3.00</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30226</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劳务费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2.00</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30228</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工会经费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41.09</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30229</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福利费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16.27</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30231</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公务用车运行维护费</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19.00</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30239</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其他交通费用</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25.67</w:t>
            </w:r>
          </w:p>
        </w:tc>
        <w:tc>
          <w:tcPr>
            <w:tcW w:w="1754" w:type="dxa"/>
            <w:tcBorders>
              <w:top w:val="nil"/>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3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30299</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其他商品和服务支出</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33.17</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3.07</w:t>
            </w:r>
          </w:p>
        </w:tc>
        <w:tc>
          <w:tcPr>
            <w:tcW w:w="17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303</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对个人和家庭的补助</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204.60</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204.60</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3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30305</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生活补助</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2.88</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2.88</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30307</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医疗费补助</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40.51</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40.51</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30309</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奖励金</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0.07</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0.07</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trPr>
        <w:tc>
          <w:tcPr>
            <w:tcW w:w="188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30399</w:t>
            </w:r>
          </w:p>
        </w:tc>
        <w:tc>
          <w:tcPr>
            <w:tcW w:w="3999"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其他对个人和家庭的补助支出</w:t>
            </w:r>
          </w:p>
        </w:tc>
        <w:tc>
          <w:tcPr>
            <w:tcW w:w="1978"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161.15</w:t>
            </w:r>
          </w:p>
        </w:tc>
        <w:tc>
          <w:tcPr>
            <w:tcW w:w="1754" w:type="dxa"/>
            <w:tcBorders>
              <w:top w:val="nil"/>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161.15</w:t>
            </w:r>
          </w:p>
        </w:tc>
        <w:tc>
          <w:tcPr>
            <w:tcW w:w="17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bl>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tbl>
      <w:tblPr>
        <w:tblW w:w="13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918"/>
        <w:gridCol w:w="2832"/>
        <w:gridCol w:w="2023"/>
        <w:gridCol w:w="1873"/>
        <w:gridCol w:w="2322"/>
        <w:gridCol w:w="2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15" w:hRule="atLeast"/>
        </w:trPr>
        <w:tc>
          <w:tcPr>
            <w:tcW w:w="1918" w:type="dxa"/>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left"/>
              <w:textAlignment w:val="bottom"/>
            </w:pPr>
            <w:r>
              <w:rPr>
                <w:rFonts w:hint="eastAsia" w:ascii="宋体" w:hAnsi="宋体" w:eastAsia="宋体" w:cs="宋体"/>
                <w:i w:val="0"/>
                <w:color w:val="000000"/>
                <w:sz w:val="24"/>
                <w:szCs w:val="24"/>
              </w:rPr>
              <w:t>表7</w:t>
            </w:r>
          </w:p>
        </w:tc>
        <w:tc>
          <w:tcPr>
            <w:tcW w:w="2832"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023"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873"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322"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397"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3365" w:type="dxa"/>
            <w:gridSpan w:val="6"/>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line="735" w:lineRule="atLeast"/>
              <w:jc w:val="center"/>
              <w:textAlignment w:val="bottom"/>
            </w:pPr>
            <w:r>
              <w:rPr>
                <w:rFonts w:hint="eastAsia" w:ascii="方正小标宋_GBK" w:hAnsi="方正小标宋_GBK" w:eastAsia="方正小标宋_GBK" w:cs="方正小标宋_GBK"/>
                <w:b w:val="0"/>
                <w:i w:val="0"/>
                <w:color w:val="000000"/>
                <w:sz w:val="43"/>
                <w:szCs w:val="43"/>
              </w:rPr>
              <w:t>重庆市荣昌区林业局2019年一般公共预算</w:t>
            </w:r>
          </w:p>
          <w:p>
            <w:pPr>
              <w:pStyle w:val="2"/>
              <w:keepNext w:val="0"/>
              <w:keepLines w:val="0"/>
              <w:widowControl/>
              <w:suppressLineNumbers w:val="0"/>
              <w:spacing w:after="180" w:afterAutospacing="0" w:line="735" w:lineRule="atLeast"/>
              <w:jc w:val="center"/>
              <w:textAlignment w:val="bottom"/>
            </w:pPr>
            <w:r>
              <w:rPr>
                <w:rFonts w:hint="eastAsia" w:ascii="方正小标宋_GBK" w:hAnsi="方正小标宋_GBK" w:eastAsia="方正小标宋_GBK" w:cs="方正小标宋_GBK"/>
                <w:b w:val="0"/>
                <w:i w:val="0"/>
                <w:color w:val="000000"/>
                <w:sz w:val="43"/>
                <w:szCs w:val="43"/>
              </w:rPr>
              <w:t>“三公”经费支出情况表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918"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832" w:type="dxa"/>
            <w:tcBorders>
              <w:top w:val="nil"/>
              <w:left w:val="nil"/>
              <w:bottom w:val="single" w:color="000000" w:sz="6" w:space="0"/>
              <w:right w:val="nil"/>
            </w:tcBorders>
            <w:shd w:val="clear"/>
            <w:vAlign w:val="bottom"/>
          </w:tcPr>
          <w:p>
            <w:pPr>
              <w:rPr>
                <w:rFonts w:hint="eastAsia" w:ascii="微软雅黑" w:hAnsi="微软雅黑" w:eastAsia="微软雅黑" w:cs="微软雅黑"/>
                <w:color w:val="333333"/>
                <w:sz w:val="24"/>
                <w:szCs w:val="24"/>
              </w:rPr>
            </w:pPr>
          </w:p>
        </w:tc>
        <w:tc>
          <w:tcPr>
            <w:tcW w:w="2023" w:type="dxa"/>
            <w:tcBorders>
              <w:top w:val="nil"/>
              <w:left w:val="nil"/>
              <w:bottom w:val="single" w:color="000000" w:sz="6" w:space="0"/>
              <w:right w:val="nil"/>
            </w:tcBorders>
            <w:shd w:val="clear"/>
            <w:vAlign w:val="bottom"/>
          </w:tcPr>
          <w:p>
            <w:pPr>
              <w:rPr>
                <w:rFonts w:hint="eastAsia" w:ascii="微软雅黑" w:hAnsi="微软雅黑" w:eastAsia="微软雅黑" w:cs="微软雅黑"/>
                <w:color w:val="333333"/>
                <w:sz w:val="24"/>
                <w:szCs w:val="24"/>
              </w:rPr>
            </w:pPr>
          </w:p>
        </w:tc>
        <w:tc>
          <w:tcPr>
            <w:tcW w:w="1873" w:type="dxa"/>
            <w:tcBorders>
              <w:top w:val="nil"/>
              <w:left w:val="nil"/>
              <w:bottom w:val="single" w:color="000000" w:sz="6" w:space="0"/>
              <w:right w:val="nil"/>
            </w:tcBorders>
            <w:shd w:val="clear"/>
            <w:vAlign w:val="bottom"/>
          </w:tcPr>
          <w:p>
            <w:pPr>
              <w:rPr>
                <w:rFonts w:hint="eastAsia" w:ascii="微软雅黑" w:hAnsi="微软雅黑" w:eastAsia="微软雅黑" w:cs="微软雅黑"/>
                <w:color w:val="333333"/>
                <w:sz w:val="24"/>
                <w:szCs w:val="24"/>
              </w:rPr>
            </w:pPr>
          </w:p>
        </w:tc>
        <w:tc>
          <w:tcPr>
            <w:tcW w:w="2322" w:type="dxa"/>
            <w:tcBorders>
              <w:top w:val="nil"/>
              <w:left w:val="nil"/>
              <w:bottom w:val="single" w:color="000000" w:sz="6" w:space="0"/>
              <w:right w:val="nil"/>
            </w:tcBorders>
            <w:shd w:val="clear"/>
            <w:vAlign w:val="bottom"/>
          </w:tcPr>
          <w:p>
            <w:pPr>
              <w:rPr>
                <w:rFonts w:hint="eastAsia" w:ascii="微软雅黑" w:hAnsi="微软雅黑" w:eastAsia="微软雅黑" w:cs="微软雅黑"/>
                <w:color w:val="333333"/>
                <w:sz w:val="24"/>
                <w:szCs w:val="24"/>
              </w:rPr>
            </w:pPr>
          </w:p>
        </w:tc>
        <w:tc>
          <w:tcPr>
            <w:tcW w:w="2397" w:type="dxa"/>
            <w:tcBorders>
              <w:top w:val="nil"/>
              <w:left w:val="nil"/>
              <w:bottom w:val="single" w:color="000000" w:sz="6" w:space="0"/>
              <w:right w:val="nil"/>
            </w:tcBorders>
            <w:shd w:val="clear"/>
            <w:vAlign w:val="bottom"/>
          </w:tcPr>
          <w:p>
            <w:pPr>
              <w:pStyle w:val="2"/>
              <w:keepNext w:val="0"/>
              <w:keepLines w:val="0"/>
              <w:widowControl/>
              <w:suppressLineNumbers w:val="0"/>
              <w:spacing w:after="180" w:afterAutospacing="0"/>
              <w:jc w:val="right"/>
              <w:textAlignment w:val="bottom"/>
            </w:pPr>
            <w:r>
              <w:rPr>
                <w:rFonts w:hint="eastAsia" w:ascii="宋体" w:hAnsi="宋体" w:eastAsia="宋体" w:cs="宋体"/>
                <w:i w:val="0"/>
                <w:color w:val="00000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13365" w:type="dxa"/>
            <w:gridSpan w:val="6"/>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2019年预算数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918" w:type="dxa"/>
            <w:vMerge w:val="restart"/>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2832" w:type="dxa"/>
            <w:vMerge w:val="restart"/>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因公出国（境）费</w:t>
            </w:r>
          </w:p>
        </w:tc>
        <w:tc>
          <w:tcPr>
            <w:tcW w:w="6218" w:type="dxa"/>
            <w:gridSpan w:val="3"/>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公务用车购置及运行费</w:t>
            </w:r>
          </w:p>
        </w:tc>
        <w:tc>
          <w:tcPr>
            <w:tcW w:w="2397" w:type="dxa"/>
            <w:vMerge w:val="restart"/>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1918" w:type="dxa"/>
            <w:vMerge w:val="continue"/>
            <w:tcBorders>
              <w:top w:val="nil"/>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color w:val="333333"/>
                <w:sz w:val="24"/>
                <w:szCs w:val="24"/>
              </w:rPr>
            </w:pPr>
          </w:p>
        </w:tc>
        <w:tc>
          <w:tcPr>
            <w:tcW w:w="2832"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023" w:type="dxa"/>
            <w:tcBorders>
              <w:top w:val="nil"/>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小计</w:t>
            </w:r>
          </w:p>
        </w:tc>
        <w:tc>
          <w:tcPr>
            <w:tcW w:w="1873" w:type="dxa"/>
            <w:tcBorders>
              <w:top w:val="nil"/>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公务用车购置费</w:t>
            </w:r>
          </w:p>
        </w:tc>
        <w:tc>
          <w:tcPr>
            <w:tcW w:w="2322"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公务用车运行维护费</w:t>
            </w:r>
          </w:p>
        </w:tc>
        <w:tc>
          <w:tcPr>
            <w:tcW w:w="2397"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91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31.00</w:t>
            </w:r>
          </w:p>
        </w:tc>
        <w:tc>
          <w:tcPr>
            <w:tcW w:w="2832"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023"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19.00</w:t>
            </w:r>
          </w:p>
        </w:tc>
        <w:tc>
          <w:tcPr>
            <w:tcW w:w="1873" w:type="dxa"/>
            <w:tcBorders>
              <w:top w:val="single" w:color="000000" w:sz="6" w:space="0"/>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2322" w:type="dxa"/>
            <w:tcBorders>
              <w:top w:val="single" w:color="000000" w:sz="6" w:space="0"/>
              <w:left w:val="single" w:color="000000" w:sz="6" w:space="0"/>
              <w:bottom w:val="single" w:color="000000" w:sz="6" w:space="0"/>
              <w:right w:val="nil"/>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19.00</w:t>
            </w:r>
          </w:p>
        </w:tc>
        <w:tc>
          <w:tcPr>
            <w:tcW w:w="2397"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right"/>
              <w:textAlignment w:val="center"/>
            </w:pPr>
            <w:r>
              <w:rPr>
                <w:rFonts w:hint="eastAsia" w:ascii="宋体" w:hAnsi="宋体" w:eastAsia="宋体" w:cs="宋体"/>
                <w:i w:val="0"/>
                <w:color w:val="000000"/>
                <w:sz w:val="24"/>
                <w:szCs w:val="24"/>
              </w:rPr>
              <w:t>12.00</w:t>
            </w:r>
          </w:p>
        </w:tc>
      </w:tr>
    </w:tbl>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0" w:afterAutospacing="0" w:line="600" w:lineRule="atLeast"/>
        <w:ind w:left="646" w:right="0"/>
      </w:pPr>
      <w:r>
        <w:rPr>
          <w:rFonts w:hint="eastAsia" w:ascii="黑体" w:hAnsi="宋体" w:eastAsia="黑体" w:cs="黑体"/>
          <w:color w:val="333333"/>
          <w:sz w:val="31"/>
          <w:szCs w:val="31"/>
        </w:rPr>
        <w:t> </w:t>
      </w:r>
    </w:p>
    <w:tbl>
      <w:tblPr>
        <w:tblW w:w="13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220"/>
        <w:gridCol w:w="5220"/>
        <w:gridCol w:w="2175"/>
        <w:gridCol w:w="126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trPr>
        <w:tc>
          <w:tcPr>
            <w:tcW w:w="2220" w:type="dxa"/>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left"/>
              <w:textAlignment w:val="bottom"/>
            </w:pPr>
            <w:r>
              <w:rPr>
                <w:rFonts w:hint="eastAsia" w:ascii="宋体" w:hAnsi="宋体" w:eastAsia="宋体" w:cs="宋体"/>
                <w:i w:val="0"/>
                <w:color w:val="000000"/>
                <w:sz w:val="24"/>
                <w:szCs w:val="24"/>
              </w:rPr>
              <w:t>表8</w:t>
            </w:r>
          </w:p>
        </w:tc>
        <w:tc>
          <w:tcPr>
            <w:tcW w:w="522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17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26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26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60" w:hRule="atLeast"/>
        </w:trPr>
        <w:tc>
          <w:tcPr>
            <w:tcW w:w="13140" w:type="dxa"/>
            <w:gridSpan w:val="5"/>
            <w:tcBorders>
              <w:top w:val="single" w:color="000000" w:sz="2" w:space="0"/>
              <w:left w:val="single" w:color="000000" w:sz="2" w:space="0"/>
              <w:bottom w:val="single" w:color="000000" w:sz="2" w:space="0"/>
              <w:right w:val="single" w:color="000000" w:sz="2" w:space="0"/>
            </w:tcBorders>
            <w:shd w:val="clear"/>
            <w:vAlign w:val="center"/>
          </w:tcPr>
          <w:p>
            <w:pPr>
              <w:pStyle w:val="2"/>
              <w:keepNext w:val="0"/>
              <w:keepLines w:val="0"/>
              <w:widowControl/>
              <w:suppressLineNumbers w:val="0"/>
              <w:spacing w:after="180" w:afterAutospacing="0"/>
              <w:jc w:val="center"/>
            </w:pPr>
            <w:r>
              <w:rPr>
                <w:rFonts w:hint="eastAsia" w:ascii="方正小标宋_GBK" w:hAnsi="方正小标宋_GBK" w:eastAsia="方正小标宋_GBK" w:cs="方正小标宋_GBK"/>
                <w:b w:val="0"/>
                <w:i w:val="0"/>
                <w:color w:val="000000"/>
                <w:sz w:val="43"/>
                <w:szCs w:val="43"/>
              </w:rPr>
              <w:t>重庆市荣昌区林业局</w:t>
            </w:r>
            <w:r>
              <w:rPr>
                <w:rFonts w:hint="eastAsia" w:ascii="方正小标宋_GBK" w:hAnsi="方正小标宋_GBK" w:eastAsia="方正小标宋_GBK" w:cs="方正小标宋_GBK"/>
                <w:color w:val="333333"/>
                <w:sz w:val="43"/>
                <w:szCs w:val="43"/>
              </w:rPr>
              <w:t>2019年政府性基金预算支出情况表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0" w:hRule="atLeast"/>
        </w:trPr>
        <w:tc>
          <w:tcPr>
            <w:tcW w:w="13140" w:type="dxa"/>
            <w:gridSpan w:val="5"/>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trPr>
        <w:tc>
          <w:tcPr>
            <w:tcW w:w="222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522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17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260" w:type="dxa"/>
            <w:tcBorders>
              <w:top w:val="nil"/>
              <w:left w:val="nil"/>
              <w:bottom w:val="single" w:color="000000" w:sz="6" w:space="0"/>
              <w:right w:val="nil"/>
            </w:tcBorders>
            <w:shd w:val="clear"/>
            <w:vAlign w:val="bottom"/>
          </w:tcPr>
          <w:p>
            <w:pPr>
              <w:rPr>
                <w:rFonts w:hint="eastAsia" w:ascii="微软雅黑" w:hAnsi="微软雅黑" w:eastAsia="微软雅黑" w:cs="微软雅黑"/>
                <w:color w:val="333333"/>
                <w:sz w:val="24"/>
                <w:szCs w:val="24"/>
              </w:rPr>
            </w:pPr>
          </w:p>
        </w:tc>
        <w:tc>
          <w:tcPr>
            <w:tcW w:w="2265" w:type="dxa"/>
            <w:tcBorders>
              <w:top w:val="nil"/>
              <w:left w:val="nil"/>
              <w:bottom w:val="single" w:color="000000" w:sz="6" w:space="0"/>
              <w:right w:val="nil"/>
            </w:tcBorders>
            <w:shd w:val="clear"/>
            <w:vAlign w:val="bottom"/>
          </w:tcPr>
          <w:p>
            <w:pPr>
              <w:pStyle w:val="2"/>
              <w:keepNext w:val="0"/>
              <w:keepLines w:val="0"/>
              <w:widowControl/>
              <w:suppressLineNumbers w:val="0"/>
              <w:spacing w:after="180" w:afterAutospacing="0"/>
              <w:jc w:val="right"/>
              <w:textAlignment w:val="bottom"/>
            </w:pPr>
            <w:r>
              <w:rPr>
                <w:rFonts w:hint="eastAsia" w:ascii="宋体" w:hAnsi="宋体" w:eastAsia="宋体" w:cs="宋体"/>
                <w:i w:val="0"/>
                <w:color w:val="00000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2220"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科目编码</w:t>
            </w:r>
          </w:p>
        </w:tc>
        <w:tc>
          <w:tcPr>
            <w:tcW w:w="5220" w:type="dxa"/>
            <w:vMerge w:val="restart"/>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科目名称</w:t>
            </w:r>
          </w:p>
        </w:tc>
        <w:tc>
          <w:tcPr>
            <w:tcW w:w="5700" w:type="dxa"/>
            <w:gridSpan w:val="3"/>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85" w:hRule="atLeast"/>
        </w:trPr>
        <w:tc>
          <w:tcPr>
            <w:tcW w:w="222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5220"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1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1260"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基本支出</w:t>
            </w:r>
          </w:p>
        </w:tc>
        <w:tc>
          <w:tcPr>
            <w:tcW w:w="2265"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2220"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522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175"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260"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265"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bl>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p>
      <w:pPr>
        <w:pStyle w:val="2"/>
        <w:keepNext w:val="0"/>
        <w:keepLines w:val="0"/>
        <w:widowControl/>
        <w:suppressLineNumbers w:val="0"/>
        <w:spacing w:before="0" w:beforeAutospacing="0" w:after="180" w:afterAutospacing="0" w:line="600" w:lineRule="atLeast"/>
        <w:ind w:left="0" w:right="0"/>
      </w:pPr>
      <w:r>
        <w:rPr>
          <w:rFonts w:hint="eastAsia" w:ascii="黑体" w:hAnsi="宋体" w:eastAsia="黑体" w:cs="黑体"/>
          <w:color w:val="333333"/>
          <w:sz w:val="31"/>
          <w:szCs w:val="31"/>
        </w:rPr>
        <w:t> </w:t>
      </w:r>
    </w:p>
    <w:tbl>
      <w:tblPr>
        <w:tblW w:w="12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196"/>
        <w:gridCol w:w="1259"/>
        <w:gridCol w:w="2233"/>
        <w:gridCol w:w="1454"/>
        <w:gridCol w:w="3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4196" w:type="dxa"/>
            <w:tcBorders>
              <w:top w:val="single" w:color="000000" w:sz="2" w:space="0"/>
              <w:left w:val="single" w:color="000000" w:sz="2" w:space="0"/>
              <w:bottom w:val="single" w:color="000000" w:sz="2" w:space="0"/>
              <w:right w:val="single" w:color="000000" w:sz="2"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 </w:t>
            </w:r>
          </w:p>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表9</w:t>
            </w:r>
          </w:p>
        </w:tc>
        <w:tc>
          <w:tcPr>
            <w:tcW w:w="1259"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2233"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454"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3413"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2555" w:type="dxa"/>
            <w:gridSpan w:val="5"/>
            <w:tcBorders>
              <w:top w:val="single" w:color="000000" w:sz="2" w:space="0"/>
              <w:left w:val="single" w:color="000000" w:sz="2" w:space="0"/>
              <w:bottom w:val="single" w:color="000000" w:sz="2" w:space="0"/>
              <w:right w:val="single" w:color="000000" w:sz="2" w:space="0"/>
            </w:tcBorders>
            <w:shd w:val="clear"/>
            <w:vAlign w:val="center"/>
          </w:tcPr>
          <w:p>
            <w:pPr>
              <w:pStyle w:val="2"/>
              <w:keepNext w:val="0"/>
              <w:keepLines w:val="0"/>
              <w:widowControl/>
              <w:suppressLineNumbers w:val="0"/>
              <w:spacing w:after="180" w:afterAutospacing="0"/>
              <w:jc w:val="center"/>
            </w:pPr>
            <w:r>
              <w:rPr>
                <w:rFonts w:hint="eastAsia" w:ascii="方正小标宋_GBK" w:hAnsi="方正小标宋_GBK" w:eastAsia="方正小标宋_GBK" w:cs="方正小标宋_GBK"/>
                <w:b w:val="0"/>
                <w:i w:val="0"/>
                <w:color w:val="000000"/>
                <w:sz w:val="43"/>
                <w:szCs w:val="43"/>
              </w:rPr>
              <w:t>重庆市荣昌区林业局</w:t>
            </w:r>
            <w:r>
              <w:rPr>
                <w:rFonts w:hint="eastAsia" w:ascii="方正小标宋_GBK" w:hAnsi="方正小标宋_GBK" w:eastAsia="方正小标宋_GBK" w:cs="方正小标宋_GBK"/>
                <w:color w:val="333333"/>
                <w:sz w:val="43"/>
                <w:szCs w:val="43"/>
              </w:rPr>
              <w:t>2019年国有资本经营收支预算表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196"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259"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2233"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454"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3413"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196"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259"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2233" w:type="dxa"/>
            <w:tcBorders>
              <w:top w:val="single" w:color="000000" w:sz="2" w:space="0"/>
              <w:left w:val="single" w:color="000000" w:sz="2" w:space="0"/>
              <w:bottom w:val="single" w:color="000000" w:sz="2" w:space="0"/>
              <w:right w:val="single" w:color="000000" w:sz="2" w:space="0"/>
            </w:tcBorders>
            <w:shd w:val="clear"/>
            <w:vAlign w:val="center"/>
          </w:tcPr>
          <w:p>
            <w:pPr>
              <w:rPr>
                <w:rFonts w:hint="eastAsia" w:ascii="微软雅黑" w:hAnsi="微软雅黑" w:eastAsia="微软雅黑" w:cs="微软雅黑"/>
                <w:color w:val="333333"/>
                <w:sz w:val="24"/>
                <w:szCs w:val="24"/>
              </w:rPr>
            </w:pPr>
          </w:p>
        </w:tc>
        <w:tc>
          <w:tcPr>
            <w:tcW w:w="1454"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3413" w:type="dxa"/>
            <w:tcBorders>
              <w:top w:val="nil"/>
              <w:left w:val="nil"/>
              <w:bottom w:val="single" w:color="000000" w:sz="6" w:space="0"/>
              <w:right w:val="nil"/>
            </w:tcBorders>
            <w:shd w:val="clear"/>
            <w:vAlign w:val="bottom"/>
          </w:tcPr>
          <w:p>
            <w:pPr>
              <w:pStyle w:val="2"/>
              <w:keepNext w:val="0"/>
              <w:keepLines w:val="0"/>
              <w:widowControl/>
              <w:suppressLineNumbers w:val="0"/>
              <w:spacing w:after="180" w:afterAutospacing="0"/>
              <w:jc w:val="right"/>
              <w:textAlignment w:val="bottom"/>
            </w:pPr>
            <w:r>
              <w:rPr>
                <w:rFonts w:hint="eastAsia" w:ascii="宋体" w:hAnsi="宋体" w:eastAsia="宋体" w:cs="宋体"/>
                <w:i w:val="0"/>
                <w:color w:val="00000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455" w:type="dxa"/>
            <w:gridSpan w:val="2"/>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收入</w:t>
            </w:r>
          </w:p>
        </w:tc>
        <w:tc>
          <w:tcPr>
            <w:tcW w:w="7100" w:type="dxa"/>
            <w:gridSpan w:val="3"/>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pPr>
            <w:r>
              <w:rPr>
                <w:rFonts w:hint="eastAsia" w:ascii="宋体" w:hAnsi="宋体" w:eastAsia="宋体" w:cs="宋体"/>
                <w:i w:val="0"/>
                <w:color w:val="00000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41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项目</w:t>
            </w:r>
          </w:p>
        </w:tc>
        <w:tc>
          <w:tcPr>
            <w:tcW w:w="1259"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预算数</w:t>
            </w:r>
          </w:p>
        </w:tc>
        <w:tc>
          <w:tcPr>
            <w:tcW w:w="2233"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项目</w:t>
            </w:r>
          </w:p>
        </w:tc>
        <w:tc>
          <w:tcPr>
            <w:tcW w:w="1454" w:type="dxa"/>
            <w:tcBorders>
              <w:top w:val="single" w:color="000000" w:sz="6" w:space="0"/>
              <w:left w:val="nil"/>
              <w:bottom w:val="nil"/>
              <w:right w:val="nil"/>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合计</w:t>
            </w:r>
          </w:p>
        </w:tc>
        <w:tc>
          <w:tcPr>
            <w:tcW w:w="3413" w:type="dxa"/>
            <w:tcBorders>
              <w:top w:val="single" w:color="000000" w:sz="6" w:space="0"/>
              <w:left w:val="single" w:color="000000" w:sz="6" w:space="0"/>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国有资本经营预算拨款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41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一、本年收入</w:t>
            </w:r>
          </w:p>
        </w:tc>
        <w:tc>
          <w:tcPr>
            <w:tcW w:w="1259" w:type="dxa"/>
            <w:tcBorders>
              <w:top w:val="nil"/>
              <w:left w:val="nil"/>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2233" w:type="dxa"/>
            <w:tcBorders>
              <w:top w:val="single" w:color="000000" w:sz="6" w:space="0"/>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1454" w:type="dxa"/>
            <w:tcBorders>
              <w:top w:val="single" w:color="000000" w:sz="6" w:space="0"/>
              <w:left w:val="single" w:color="000000" w:sz="6" w:space="0"/>
              <w:bottom w:val="single" w:color="000000" w:sz="6" w:space="0"/>
              <w:right w:val="nil"/>
            </w:tcBorders>
            <w:shd w:val="clear"/>
            <w:vAlign w:val="center"/>
          </w:tcPr>
          <w:p>
            <w:pPr>
              <w:rPr>
                <w:rFonts w:hint="eastAsia" w:ascii="微软雅黑" w:hAnsi="微软雅黑" w:eastAsia="微软雅黑" w:cs="微软雅黑"/>
                <w:color w:val="333333"/>
                <w:sz w:val="24"/>
                <w:szCs w:val="24"/>
              </w:rPr>
            </w:pPr>
          </w:p>
        </w:tc>
        <w:tc>
          <w:tcPr>
            <w:tcW w:w="3413"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41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国有资本经营预算拨款</w:t>
            </w:r>
          </w:p>
        </w:tc>
        <w:tc>
          <w:tcPr>
            <w:tcW w:w="1259"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233"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454"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3413"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0" w:hRule="atLeast"/>
        </w:trPr>
        <w:tc>
          <w:tcPr>
            <w:tcW w:w="41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259"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233"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454"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3413"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41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二、上年结转</w:t>
            </w:r>
          </w:p>
        </w:tc>
        <w:tc>
          <w:tcPr>
            <w:tcW w:w="1259"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233"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454"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3413"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国有资本经营预算拨款</w:t>
            </w:r>
          </w:p>
        </w:tc>
        <w:tc>
          <w:tcPr>
            <w:tcW w:w="1259"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233"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454"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3413"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41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259"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233"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1454"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c>
          <w:tcPr>
            <w:tcW w:w="3413" w:type="dxa"/>
            <w:tcBorders>
              <w:top w:val="nil"/>
              <w:left w:val="nil"/>
              <w:bottom w:val="single" w:color="000000" w:sz="6" w:space="0"/>
              <w:right w:val="single" w:color="000000" w:sz="6"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259"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233"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left"/>
              <w:textAlignment w:val="center"/>
            </w:pPr>
            <w:r>
              <w:rPr>
                <w:rFonts w:hint="eastAsia" w:ascii="宋体" w:hAnsi="宋体" w:eastAsia="宋体" w:cs="宋体"/>
                <w:i w:val="0"/>
                <w:color w:val="000000"/>
                <w:sz w:val="24"/>
                <w:szCs w:val="24"/>
              </w:rPr>
              <w:t>二、结转下年</w:t>
            </w:r>
          </w:p>
        </w:tc>
        <w:tc>
          <w:tcPr>
            <w:tcW w:w="1454"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3413"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96" w:type="dxa"/>
            <w:tcBorders>
              <w:top w:val="nil"/>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259"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233"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454"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3413"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4196"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收入总计</w:t>
            </w:r>
          </w:p>
        </w:tc>
        <w:tc>
          <w:tcPr>
            <w:tcW w:w="1259"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233"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支出总计</w:t>
            </w:r>
          </w:p>
        </w:tc>
        <w:tc>
          <w:tcPr>
            <w:tcW w:w="1454"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3413" w:type="dxa"/>
            <w:tcBorders>
              <w:top w:val="nil"/>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bl>
    <w:p>
      <w:pPr>
        <w:pStyle w:val="2"/>
        <w:keepNext w:val="0"/>
        <w:keepLines w:val="0"/>
        <w:widowControl/>
        <w:suppressLineNumbers w:val="0"/>
        <w:spacing w:before="0" w:beforeAutospacing="0" w:after="180" w:afterAutospacing="0" w:line="450" w:lineRule="atLeast"/>
        <w:ind w:left="0" w:right="0" w:firstLine="720"/>
        <w:jc w:val="both"/>
        <w:textAlignment w:val="center"/>
      </w:pPr>
      <w:r>
        <w:rPr>
          <w:rFonts w:hint="eastAsia" w:ascii="宋体" w:hAnsi="宋体" w:eastAsia="宋体" w:cs="宋体"/>
          <w:i w:val="0"/>
          <w:color w:val="000000"/>
          <w:sz w:val="24"/>
          <w:szCs w:val="24"/>
        </w:rPr>
        <w:t>备注：本单位无国有资本经营收支，故此表无数据。</w:t>
      </w:r>
    </w:p>
    <w:p>
      <w:pPr>
        <w:pStyle w:val="2"/>
        <w:keepNext w:val="0"/>
        <w:keepLines w:val="0"/>
        <w:widowControl/>
        <w:suppressLineNumbers w:val="0"/>
        <w:spacing w:before="0" w:beforeAutospacing="0" w:after="180" w:afterAutospacing="0" w:line="450" w:lineRule="atLeast"/>
        <w:ind w:left="0" w:right="0" w:firstLine="720"/>
        <w:jc w:val="both"/>
        <w:textAlignment w:val="center"/>
      </w:pPr>
      <w:r>
        <w:rPr>
          <w:rFonts w:hint="eastAsia" w:ascii="宋体" w:hAnsi="宋体" w:eastAsia="宋体" w:cs="宋体"/>
          <w:i w:val="0"/>
          <w:color w:val="000000"/>
          <w:sz w:val="24"/>
          <w:szCs w:val="24"/>
        </w:rPr>
        <w:t> </w:t>
      </w:r>
    </w:p>
    <w:p>
      <w:pPr>
        <w:pStyle w:val="2"/>
        <w:keepNext w:val="0"/>
        <w:keepLines w:val="0"/>
        <w:widowControl/>
        <w:suppressLineNumbers w:val="0"/>
        <w:spacing w:before="0" w:beforeAutospacing="0" w:after="180" w:afterAutospacing="0" w:line="450" w:lineRule="atLeast"/>
        <w:ind w:left="0" w:right="0" w:firstLine="720"/>
        <w:jc w:val="both"/>
        <w:textAlignment w:val="center"/>
      </w:pPr>
      <w:r>
        <w:rPr>
          <w:rFonts w:hint="eastAsia" w:ascii="宋体" w:hAnsi="宋体" w:eastAsia="宋体" w:cs="宋体"/>
          <w:i w:val="0"/>
          <w:color w:val="000000"/>
          <w:sz w:val="24"/>
          <w:szCs w:val="24"/>
        </w:rPr>
        <w:t> </w:t>
      </w:r>
    </w:p>
    <w:p>
      <w:pPr>
        <w:pStyle w:val="2"/>
        <w:keepNext w:val="0"/>
        <w:keepLines w:val="0"/>
        <w:widowControl/>
        <w:suppressLineNumbers w:val="0"/>
        <w:spacing w:before="0" w:beforeAutospacing="0" w:after="180" w:afterAutospacing="0" w:line="450" w:lineRule="atLeast"/>
        <w:ind w:left="0" w:right="0" w:firstLine="720"/>
        <w:jc w:val="both"/>
        <w:textAlignment w:val="center"/>
      </w:pPr>
      <w:r>
        <w:rPr>
          <w:rFonts w:hint="eastAsia" w:ascii="宋体" w:hAnsi="宋体" w:eastAsia="宋体" w:cs="宋体"/>
          <w:i w:val="0"/>
          <w:color w:val="000000"/>
          <w:sz w:val="24"/>
          <w:szCs w:val="24"/>
        </w:rPr>
        <w:t> </w:t>
      </w:r>
    </w:p>
    <w:p>
      <w:pPr>
        <w:pStyle w:val="2"/>
        <w:keepNext w:val="0"/>
        <w:keepLines w:val="0"/>
        <w:widowControl/>
        <w:suppressLineNumbers w:val="0"/>
        <w:spacing w:before="0" w:beforeAutospacing="0" w:after="180" w:afterAutospacing="0" w:line="450" w:lineRule="atLeast"/>
        <w:ind w:left="0" w:right="0" w:firstLine="720"/>
        <w:jc w:val="both"/>
        <w:textAlignment w:val="center"/>
      </w:pPr>
      <w:r>
        <w:rPr>
          <w:rFonts w:hint="eastAsia" w:ascii="宋体" w:hAnsi="宋体" w:eastAsia="宋体" w:cs="宋体"/>
          <w:i w:val="0"/>
          <w:color w:val="000000"/>
          <w:sz w:val="24"/>
          <w:szCs w:val="24"/>
        </w:rPr>
        <w:t> </w:t>
      </w:r>
    </w:p>
    <w:p>
      <w:pPr>
        <w:pStyle w:val="2"/>
        <w:keepNext w:val="0"/>
        <w:keepLines w:val="0"/>
        <w:widowControl/>
        <w:suppressLineNumbers w:val="0"/>
        <w:spacing w:before="0" w:beforeAutospacing="0" w:after="180" w:afterAutospacing="0" w:line="450" w:lineRule="atLeast"/>
        <w:ind w:left="0" w:right="0" w:firstLine="720"/>
        <w:jc w:val="both"/>
        <w:textAlignment w:val="center"/>
      </w:pPr>
      <w:r>
        <w:rPr>
          <w:rFonts w:hint="eastAsia" w:ascii="宋体" w:hAnsi="宋体" w:eastAsia="宋体" w:cs="宋体"/>
          <w:i w:val="0"/>
          <w:color w:val="000000"/>
          <w:sz w:val="24"/>
          <w:szCs w:val="24"/>
        </w:rPr>
        <w:t> </w:t>
      </w:r>
    </w:p>
    <w:tbl>
      <w:tblPr>
        <w:tblW w:w="12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10"/>
        <w:gridCol w:w="2835"/>
        <w:gridCol w:w="2115"/>
        <w:gridCol w:w="1905"/>
        <w:gridCol w:w="2040"/>
        <w:gridCol w:w="2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710" w:type="dxa"/>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left"/>
              <w:textAlignment w:val="bottom"/>
            </w:pPr>
            <w:r>
              <w:rPr>
                <w:rFonts w:hint="eastAsia" w:ascii="宋体" w:hAnsi="宋体" w:eastAsia="宋体" w:cs="宋体"/>
                <w:i w:val="0"/>
                <w:color w:val="000000"/>
                <w:sz w:val="24"/>
                <w:szCs w:val="24"/>
              </w:rPr>
              <w:t>表10</w:t>
            </w:r>
          </w:p>
        </w:tc>
        <w:tc>
          <w:tcPr>
            <w:tcW w:w="283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11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90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04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08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171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83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11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90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04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08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2690" w:type="dxa"/>
            <w:gridSpan w:val="6"/>
            <w:tcBorders>
              <w:top w:val="single" w:color="000000" w:sz="2" w:space="0"/>
              <w:left w:val="single" w:color="000000" w:sz="2" w:space="0"/>
              <w:bottom w:val="single" w:color="000000" w:sz="2" w:space="0"/>
              <w:right w:val="single" w:color="000000" w:sz="2" w:space="0"/>
            </w:tcBorders>
            <w:shd w:val="clear"/>
            <w:vAlign w:val="bottom"/>
          </w:tcPr>
          <w:p>
            <w:pPr>
              <w:pStyle w:val="2"/>
              <w:keepNext w:val="0"/>
              <w:keepLines w:val="0"/>
              <w:widowControl/>
              <w:suppressLineNumbers w:val="0"/>
              <w:spacing w:after="180" w:afterAutospacing="0"/>
              <w:jc w:val="center"/>
            </w:pPr>
            <w:r>
              <w:rPr>
                <w:rFonts w:hint="eastAsia" w:ascii="方正小标宋_GBK" w:hAnsi="方正小标宋_GBK" w:eastAsia="方正小标宋_GBK" w:cs="方正小标宋_GBK"/>
                <w:b w:val="0"/>
                <w:i w:val="0"/>
                <w:color w:val="000000"/>
                <w:sz w:val="43"/>
                <w:szCs w:val="43"/>
              </w:rPr>
              <w:t>2019年部门预算提交人代会单位联系人名单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55" w:hRule="atLeast"/>
        </w:trPr>
        <w:tc>
          <w:tcPr>
            <w:tcW w:w="171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83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11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1905" w:type="dxa"/>
            <w:tcBorders>
              <w:top w:val="nil"/>
              <w:left w:val="nil"/>
              <w:bottom w:val="single" w:color="000000" w:sz="6" w:space="0"/>
              <w:right w:val="nil"/>
            </w:tcBorders>
            <w:shd w:val="clear"/>
            <w:vAlign w:val="bottom"/>
          </w:tcPr>
          <w:p>
            <w:pPr>
              <w:rPr>
                <w:rFonts w:hint="eastAsia" w:ascii="微软雅黑" w:hAnsi="微软雅黑" w:eastAsia="微软雅黑" w:cs="微软雅黑"/>
                <w:color w:val="333333"/>
                <w:sz w:val="24"/>
                <w:szCs w:val="24"/>
              </w:rPr>
            </w:pPr>
          </w:p>
        </w:tc>
        <w:tc>
          <w:tcPr>
            <w:tcW w:w="2040"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c>
          <w:tcPr>
            <w:tcW w:w="2085" w:type="dxa"/>
            <w:tcBorders>
              <w:top w:val="single" w:color="000000" w:sz="2" w:space="0"/>
              <w:left w:val="single" w:color="000000" w:sz="2" w:space="0"/>
              <w:bottom w:val="single" w:color="000000" w:sz="2" w:space="0"/>
              <w:right w:val="single" w:color="000000" w:sz="2" w:space="0"/>
            </w:tcBorders>
            <w:shd w:val="clear"/>
            <w:vAlign w:val="bottom"/>
          </w:tcPr>
          <w:p>
            <w:pPr>
              <w:rPr>
                <w:rFonts w:hint="eastAsia" w:ascii="微软雅黑" w:hAnsi="微软雅黑" w:eastAsia="微软雅黑" w:cs="微软雅黑"/>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710" w:type="dxa"/>
            <w:tcBorders>
              <w:top w:val="single" w:color="000000" w:sz="6" w:space="0"/>
              <w:left w:val="single" w:color="000000" w:sz="6" w:space="0"/>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Style w:val="5"/>
                <w:rFonts w:hint="eastAsia" w:ascii="宋体" w:hAnsi="宋体" w:eastAsia="宋体" w:cs="宋体"/>
                <w:b/>
                <w:i w:val="0"/>
                <w:color w:val="000000"/>
                <w:sz w:val="24"/>
                <w:szCs w:val="24"/>
              </w:rPr>
              <w:t>序号</w:t>
            </w:r>
          </w:p>
        </w:tc>
        <w:tc>
          <w:tcPr>
            <w:tcW w:w="2835"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Style w:val="5"/>
                <w:rFonts w:hint="eastAsia" w:ascii="宋体" w:hAnsi="宋体" w:eastAsia="宋体" w:cs="宋体"/>
                <w:b/>
                <w:i w:val="0"/>
                <w:color w:val="000000"/>
                <w:sz w:val="24"/>
                <w:szCs w:val="24"/>
              </w:rPr>
              <w:t>单位名称</w:t>
            </w:r>
          </w:p>
        </w:tc>
        <w:tc>
          <w:tcPr>
            <w:tcW w:w="4020" w:type="dxa"/>
            <w:gridSpan w:val="2"/>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pPr>
            <w:r>
              <w:rPr>
                <w:rStyle w:val="5"/>
                <w:rFonts w:hint="eastAsia" w:ascii="宋体" w:hAnsi="宋体" w:eastAsia="宋体" w:cs="宋体"/>
                <w:b/>
                <w:i w:val="0"/>
                <w:color w:val="000000"/>
                <w:sz w:val="24"/>
                <w:szCs w:val="24"/>
              </w:rPr>
              <w:t>联系人</w:t>
            </w:r>
          </w:p>
        </w:tc>
        <w:tc>
          <w:tcPr>
            <w:tcW w:w="2040"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Style w:val="5"/>
                <w:rFonts w:hint="eastAsia" w:ascii="宋体" w:hAnsi="宋体" w:eastAsia="宋体" w:cs="宋体"/>
                <w:b/>
                <w:i w:val="0"/>
                <w:color w:val="000000"/>
                <w:sz w:val="24"/>
                <w:szCs w:val="24"/>
              </w:rPr>
              <w:t>办公电话</w:t>
            </w:r>
          </w:p>
        </w:tc>
        <w:tc>
          <w:tcPr>
            <w:tcW w:w="2085" w:type="dxa"/>
            <w:tcBorders>
              <w:top w:val="single" w:color="000000" w:sz="6" w:space="0"/>
              <w:left w:val="nil"/>
              <w:bottom w:val="nil"/>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Style w:val="5"/>
                <w:rFonts w:hint="eastAsia" w:ascii="宋体" w:hAnsi="宋体" w:eastAsia="宋体" w:cs="宋体"/>
                <w:b/>
                <w:i w:val="0"/>
                <w:color w:val="000000"/>
                <w:sz w:val="24"/>
                <w:szCs w:val="24"/>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710"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1</w:t>
            </w:r>
          </w:p>
        </w:tc>
        <w:tc>
          <w:tcPr>
            <w:tcW w:w="2835" w:type="dxa"/>
            <w:vMerge w:val="restart"/>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重庆市荣昌区林业局</w:t>
            </w:r>
          </w:p>
        </w:tc>
        <w:tc>
          <w:tcPr>
            <w:tcW w:w="2115"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负责人</w:t>
            </w:r>
          </w:p>
        </w:tc>
        <w:tc>
          <w:tcPr>
            <w:tcW w:w="1905"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杨亿玖</w:t>
            </w:r>
          </w:p>
        </w:tc>
        <w:tc>
          <w:tcPr>
            <w:tcW w:w="2040"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85265272</w:t>
            </w:r>
          </w:p>
        </w:tc>
        <w:tc>
          <w:tcPr>
            <w:tcW w:w="2085" w:type="dxa"/>
            <w:tcBorders>
              <w:top w:val="single" w:color="000000" w:sz="6" w:space="0"/>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13883212895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71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835"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211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经办人</w:t>
            </w:r>
          </w:p>
        </w:tc>
        <w:tc>
          <w:tcPr>
            <w:tcW w:w="190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向元琼</w:t>
            </w:r>
          </w:p>
        </w:tc>
        <w:tc>
          <w:tcPr>
            <w:tcW w:w="204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85265266</w:t>
            </w:r>
          </w:p>
        </w:tc>
        <w:tc>
          <w:tcPr>
            <w:tcW w:w="208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spacing w:after="180" w:afterAutospacing="0"/>
              <w:jc w:val="center"/>
              <w:textAlignment w:val="center"/>
            </w:pPr>
            <w:r>
              <w:rPr>
                <w:rFonts w:hint="eastAsia" w:ascii="宋体" w:hAnsi="宋体" w:eastAsia="宋体" w:cs="宋体"/>
                <w:i w:val="0"/>
                <w:color w:val="000000"/>
                <w:sz w:val="24"/>
                <w:szCs w:val="24"/>
              </w:rPr>
              <w:t>13883101090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C6862"/>
    <w:rsid w:val="591515F1"/>
    <w:rsid w:val="5CCC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yj-blue"/>
    <w:basedOn w:val="4"/>
    <w:uiPriority w:val="0"/>
    <w:rPr>
      <w:b/>
      <w:color w:val="FFFFFF"/>
      <w:sz w:val="21"/>
      <w:szCs w:val="21"/>
      <w:bdr w:val="none" w:color="auto" w:sz="0" w:space="0"/>
      <w:shd w:val="clear" w:fill="1E84CB"/>
    </w:rPr>
  </w:style>
  <w:style w:type="character" w:customStyle="1" w:styleId="9">
    <w:name w:val="ban-dy"/>
    <w:basedOn w:val="4"/>
    <w:uiPriority w:val="0"/>
    <w:rPr>
      <w:sz w:val="27"/>
      <w:szCs w:val="27"/>
    </w:rPr>
  </w:style>
  <w:style w:type="character" w:customStyle="1" w:styleId="10">
    <w:name w:val="tyhl"/>
    <w:basedOn w:val="4"/>
    <w:uiPriority w:val="0"/>
    <w:rPr>
      <w:shd w:val="clear" w:fill="FFFFFF"/>
    </w:rPr>
  </w:style>
  <w:style w:type="character" w:customStyle="1" w:styleId="11">
    <w:name w:val="w100"/>
    <w:basedOn w:val="4"/>
    <w:uiPriority w:val="0"/>
  </w:style>
  <w:style w:type="character" w:customStyle="1" w:styleId="12">
    <w:name w:val="con"/>
    <w:basedOn w:val="4"/>
    <w:uiPriority w:val="0"/>
  </w:style>
  <w:style w:type="character" w:customStyle="1" w:styleId="13">
    <w:name w:val="yj-time"/>
    <w:basedOn w:val="4"/>
    <w:uiPriority w:val="0"/>
    <w:rPr>
      <w:color w:val="AAAAAA"/>
      <w:sz w:val="18"/>
      <w:szCs w:val="18"/>
    </w:rPr>
  </w:style>
  <w:style w:type="character" w:customStyle="1" w:styleId="14">
    <w:name w:val="yj-time1"/>
    <w:basedOn w:val="4"/>
    <w:uiPriority w:val="0"/>
    <w:rPr>
      <w:color w:val="AAAAAA"/>
      <w:sz w:val="18"/>
      <w:szCs w:val="18"/>
    </w:rPr>
  </w:style>
  <w:style w:type="character" w:customStyle="1" w:styleId="15">
    <w:name w:val="red"/>
    <w:basedOn w:val="4"/>
    <w:uiPriority w:val="0"/>
    <w:rPr>
      <w:color w:val="E1211F"/>
    </w:rPr>
  </w:style>
  <w:style w:type="character" w:customStyle="1" w:styleId="16">
    <w:name w:val="red1"/>
    <w:basedOn w:val="4"/>
    <w:uiPriority w:val="0"/>
    <w:rPr>
      <w:color w:val="E1211F"/>
    </w:rPr>
  </w:style>
  <w:style w:type="character" w:customStyle="1" w:styleId="17">
    <w:name w:val="red2"/>
    <w:basedOn w:val="4"/>
    <w:uiPriority w:val="0"/>
    <w:rPr>
      <w:color w:val="E1211F"/>
    </w:rPr>
  </w:style>
  <w:style w:type="character" w:customStyle="1" w:styleId="18">
    <w:name w:val="red3"/>
    <w:basedOn w:val="4"/>
    <w:uiPriority w:val="0"/>
    <w:rPr>
      <w:color w:val="E33938"/>
      <w:u w:val="single"/>
    </w:rPr>
  </w:style>
  <w:style w:type="character" w:customStyle="1" w:styleId="19">
    <w:name w:val="red4"/>
    <w:basedOn w:val="4"/>
    <w:uiPriority w:val="0"/>
    <w:rPr>
      <w:color w:val="E1211F"/>
      <w:u w:val="single"/>
    </w:rPr>
  </w:style>
  <w:style w:type="character" w:customStyle="1" w:styleId="20">
    <w:name w:val="red5"/>
    <w:basedOn w:val="4"/>
    <w:uiPriority w:val="0"/>
    <w:rPr>
      <w:color w:val="E1211F"/>
    </w:rPr>
  </w:style>
  <w:style w:type="character" w:customStyle="1" w:styleId="21">
    <w:name w:val="hover31"/>
    <w:basedOn w:val="4"/>
    <w:uiPriority w:val="0"/>
    <w:rPr>
      <w:b/>
    </w:rPr>
  </w:style>
  <w:style w:type="character" w:customStyle="1" w:styleId="22">
    <w:name w:val="hover32"/>
    <w:basedOn w:val="4"/>
    <w:uiPriority w:val="0"/>
    <w:rPr>
      <w:shd w:val="clear" w:fill="FF0000"/>
    </w:rPr>
  </w:style>
  <w:style w:type="character" w:customStyle="1" w:styleId="23">
    <w:name w:val="hover33"/>
    <w:basedOn w:val="4"/>
    <w:uiPriority w:val="0"/>
    <w:rPr>
      <w:shd w:val="clear" w:fill="FF0000"/>
    </w:rPr>
  </w:style>
  <w:style w:type="character" w:customStyle="1" w:styleId="24">
    <w:name w:val="cur12"/>
    <w:basedOn w:val="4"/>
    <w:uiPriority w:val="0"/>
    <w:rPr>
      <w:color w:val="3354A2"/>
    </w:rPr>
  </w:style>
  <w:style w:type="character" w:customStyle="1" w:styleId="25">
    <w:name w:val="cur13"/>
    <w:basedOn w:val="4"/>
    <w:uiPriority w:val="0"/>
    <w:rPr>
      <w:shd w:val="clear" w:fill="FF0000"/>
    </w:rPr>
  </w:style>
  <w:style w:type="character" w:customStyle="1" w:styleId="26">
    <w:name w:val="cur14"/>
    <w:basedOn w:val="4"/>
    <w:uiPriority w:val="0"/>
    <w:rPr>
      <w:shd w:val="clear" w:fill="84B5FF"/>
    </w:rPr>
  </w:style>
  <w:style w:type="character" w:customStyle="1" w:styleId="27">
    <w:name w:val="name"/>
    <w:basedOn w:val="4"/>
    <w:uiPriority w:val="0"/>
    <w:rPr>
      <w:color w:val="2760B7"/>
    </w:rPr>
  </w:style>
  <w:style w:type="character" w:customStyle="1" w:styleId="28">
    <w:name w:val="yjl"/>
    <w:basedOn w:val="4"/>
    <w:uiPriority w:val="0"/>
    <w:rPr>
      <w:color w:val="999999"/>
    </w:rPr>
  </w:style>
  <w:style w:type="character" w:customStyle="1" w:styleId="29">
    <w:name w:val="tit16"/>
    <w:basedOn w:val="4"/>
    <w:uiPriority w:val="0"/>
    <w:rPr>
      <w:b/>
      <w:color w:val="333333"/>
      <w:sz w:val="39"/>
      <w:szCs w:val="39"/>
    </w:rPr>
  </w:style>
  <w:style w:type="character" w:customStyle="1" w:styleId="30">
    <w:name w:val="yjr"/>
    <w:basedOn w:val="4"/>
    <w:uiPriority w:val="0"/>
    <w:rPr>
      <w:bdr w:val="none" w:color="auto" w:sz="0" w:space="0"/>
    </w:rPr>
  </w:style>
  <w:style w:type="character" w:customStyle="1" w:styleId="31">
    <w:name w:val="hover34"/>
    <w:basedOn w:val="4"/>
    <w:uiPriority w:val="0"/>
    <w:rPr>
      <w:shd w:val="clear" w:fill="FF0000"/>
    </w:rPr>
  </w:style>
  <w:style w:type="character" w:customStyle="1" w:styleId="32">
    <w:name w:val="cur15"/>
    <w:basedOn w:val="4"/>
    <w:uiPriority w:val="0"/>
    <w:rPr>
      <w:shd w:val="clear" w:fill="84B5FF"/>
    </w:rPr>
  </w:style>
  <w:style w:type="character" w:customStyle="1" w:styleId="33">
    <w:name w:val="cur16"/>
    <w:basedOn w:val="4"/>
    <w:uiPriority w:val="0"/>
    <w:rPr>
      <w:b/>
      <w:color w:val="3354A2"/>
    </w:rPr>
  </w:style>
  <w:style w:type="character" w:customStyle="1" w:styleId="34">
    <w:name w:val="con4"/>
    <w:basedOn w:val="4"/>
    <w:uiPriority w:val="0"/>
  </w:style>
  <w:style w:type="paragraph" w:customStyle="1" w:styleId="35">
    <w:name w:val="tit"/>
    <w:basedOn w:val="1"/>
    <w:uiPriority w:val="0"/>
    <w:pPr>
      <w:spacing w:before="210" w:beforeAutospacing="0"/>
      <w:jc w:val="left"/>
    </w:pPr>
    <w:rPr>
      <w:kern w:val="0"/>
      <w:sz w:val="36"/>
      <w:szCs w:val="36"/>
      <w:lang w:val="en-US" w:eastAsia="zh-CN" w:bidi="ar"/>
    </w:rPr>
  </w:style>
  <w:style w:type="paragraph" w:customStyle="1" w:styleId="36">
    <w:name w:val="tit2"/>
    <w:basedOn w:val="1"/>
    <w:uiPriority w:val="0"/>
    <w:pPr>
      <w:pBdr>
        <w:top w:val="none" w:color="auto" w:sz="0" w:space="0"/>
        <w:left w:val="none" w:color="auto" w:sz="0" w:space="0"/>
        <w:bottom w:val="none" w:color="auto" w:sz="0" w:space="0"/>
        <w:right w:val="none" w:color="auto" w:sz="0" w:space="0"/>
      </w:pBdr>
      <w:spacing w:after="300" w:afterAutospacing="0"/>
      <w:jc w:val="left"/>
    </w:pPr>
    <w:rPr>
      <w:color w:val="333333"/>
      <w:kern w:val="0"/>
      <w:sz w:val="45"/>
      <w:szCs w:val="45"/>
      <w:lang w:val="en-US" w:eastAsia="zh-CN" w:bidi="ar"/>
    </w:rPr>
  </w:style>
  <w:style w:type="paragraph" w:customStyle="1" w:styleId="37">
    <w:name w:val="tit3"/>
    <w:basedOn w:val="1"/>
    <w:uiPriority w:val="0"/>
    <w:pPr>
      <w:spacing w:before="390" w:beforeAutospacing="0"/>
      <w:jc w:val="left"/>
    </w:pPr>
    <w:rPr>
      <w:color w:val="333333"/>
      <w:kern w:val="0"/>
      <w:sz w:val="30"/>
      <w:szCs w:val="30"/>
      <w:lang w:val="en-US" w:eastAsia="zh-CN" w:bidi="ar"/>
    </w:rPr>
  </w:style>
  <w:style w:type="paragraph" w:customStyle="1" w:styleId="38">
    <w:name w:val="tit5"/>
    <w:basedOn w:val="1"/>
    <w:uiPriority w:val="0"/>
    <w:pPr>
      <w:jc w:val="left"/>
    </w:pPr>
    <w:rPr>
      <w:kern w:val="0"/>
      <w:lang w:val="en-US" w:eastAsia="zh-CN" w:bidi="ar"/>
    </w:rPr>
  </w:style>
  <w:style w:type="paragraph" w:customStyle="1" w:styleId="39">
    <w:name w:val="tit7"/>
    <w:basedOn w:val="1"/>
    <w:uiPriority w:val="0"/>
    <w:pPr>
      <w:spacing w:before="300" w:beforeAutospacing="0" w:after="60" w:afterAutospacing="0"/>
      <w:jc w:val="left"/>
    </w:pPr>
    <w:rPr>
      <w:b/>
      <w:color w:val="2760B7"/>
      <w:kern w:val="0"/>
      <w:sz w:val="27"/>
      <w:szCs w:val="27"/>
      <w:lang w:val="en-US" w:eastAsia="zh-CN" w:bidi="ar"/>
    </w:rPr>
  </w:style>
  <w:style w:type="paragraph" w:customStyle="1" w:styleId="40">
    <w:name w:val="tit9"/>
    <w:basedOn w:val="1"/>
    <w:uiPriority w:val="0"/>
    <w:pPr>
      <w:jc w:val="left"/>
    </w:pPr>
    <w:rPr>
      <w:b/>
      <w:color w:val="2760B7"/>
      <w:kern w:val="0"/>
      <w:sz w:val="27"/>
      <w:szCs w:val="27"/>
      <w:lang w:val="en-US" w:eastAsia="zh-CN" w:bidi="ar"/>
    </w:rPr>
  </w:style>
  <w:style w:type="paragraph" w:customStyle="1" w:styleId="41">
    <w:name w:val="tit14"/>
    <w:basedOn w:val="1"/>
    <w:uiPriority w:val="0"/>
    <w:pPr>
      <w:spacing w:line="330" w:lineRule="atLeast"/>
      <w:ind w:right="840"/>
      <w:jc w:val="left"/>
      <w:textAlignment w:val="center"/>
    </w:pPr>
    <w:rPr>
      <w:b/>
      <w:color w:val="2760B7"/>
      <w:kern w:val="0"/>
      <w:sz w:val="27"/>
      <w:szCs w:val="27"/>
      <w:lang w:val="en-US" w:eastAsia="zh-CN" w:bidi="ar"/>
    </w:rPr>
  </w:style>
  <w:style w:type="character" w:customStyle="1" w:styleId="42">
    <w:name w:val="yj-time2"/>
    <w:basedOn w:val="4"/>
    <w:uiPriority w:val="0"/>
    <w:rPr>
      <w:color w:val="AAAAAA"/>
      <w:sz w:val="18"/>
      <w:szCs w:val="18"/>
    </w:rPr>
  </w:style>
  <w:style w:type="character" w:customStyle="1" w:styleId="43">
    <w:name w:val="yj-time3"/>
    <w:basedOn w:val="4"/>
    <w:uiPriority w:val="0"/>
    <w:rPr>
      <w:color w:val="AAAAAA"/>
      <w:sz w:val="18"/>
      <w:szCs w:val="18"/>
    </w:rPr>
  </w:style>
  <w:style w:type="character" w:customStyle="1" w:styleId="44">
    <w:name w:val="tit4"/>
    <w:basedOn w:val="4"/>
    <w:uiPriority w:val="0"/>
    <w:rPr>
      <w:b/>
      <w:color w:val="333333"/>
      <w:sz w:val="39"/>
      <w:szCs w:val="3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2020-06-24T01:34:00Z</dcterms:created>
  <dc:creator>Administrator</dc:creator>
  <cp:lastModifiedBy>Administrator</cp:lastModifiedBy>
  <dcterms:modified xsi:type="dcterms:W3CDTF">2020-06-24T01:37:59Z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