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9"/>
          <w:sz w:val="44"/>
          <w:szCs w:val="44"/>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9"/>
          <w:sz w:val="44"/>
          <w:szCs w:val="44"/>
        </w:rPr>
      </w:pPr>
      <w:r>
        <w:rPr>
          <w:rFonts w:hint="eastAsia" w:ascii="方正小标宋_GBK" w:hAnsi="方正小标宋_GBK" w:eastAsia="方正小标宋_GBK" w:cs="方正小标宋_GBK"/>
          <w:b w:val="0"/>
          <w:bCs w:val="0"/>
          <w:spacing w:val="-9"/>
          <w:sz w:val="44"/>
          <w:szCs w:val="44"/>
        </w:rPr>
        <w:t>重庆市荣昌区农业</w:t>
      </w:r>
      <w:r>
        <w:rPr>
          <w:rFonts w:hint="eastAsia" w:ascii="方正小标宋_GBK" w:hAnsi="方正小标宋_GBK" w:eastAsia="方正小标宋_GBK" w:cs="方正小标宋_GBK"/>
          <w:b w:val="0"/>
          <w:bCs w:val="0"/>
          <w:spacing w:val="-9"/>
          <w:sz w:val="44"/>
          <w:szCs w:val="44"/>
          <w:lang w:eastAsia="zh-CN"/>
        </w:rPr>
        <w:t>农村</w:t>
      </w:r>
      <w:r>
        <w:rPr>
          <w:rFonts w:hint="eastAsia" w:ascii="方正小标宋_GBK" w:hAnsi="方正小标宋_GBK" w:eastAsia="方正小标宋_GBK" w:cs="方正小标宋_GBK"/>
          <w:b w:val="0"/>
          <w:bCs w:val="0"/>
          <w:spacing w:val="-9"/>
          <w:sz w:val="44"/>
          <w:szCs w:val="44"/>
        </w:rPr>
        <w:t>委员会</w:t>
      </w:r>
      <w:r>
        <w:rPr>
          <w:rFonts w:hint="eastAsia" w:ascii="方正小标宋_GBK" w:hAnsi="方正小标宋_GBK" w:eastAsia="方正小标宋_GBK" w:cs="方正小标宋_GBK"/>
          <w:b w:val="0"/>
          <w:bCs w:val="0"/>
          <w:spacing w:val="-9"/>
          <w:sz w:val="44"/>
          <w:szCs w:val="44"/>
          <w:lang w:eastAsia="zh-CN"/>
        </w:rPr>
        <w:t>（原区农委）</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9"/>
          <w:sz w:val="44"/>
          <w:szCs w:val="44"/>
        </w:rPr>
      </w:pPr>
      <w:r>
        <w:rPr>
          <w:rFonts w:hint="eastAsia" w:ascii="方正小标宋_GBK" w:hAnsi="方正小标宋_GBK" w:eastAsia="方正小标宋_GBK" w:cs="方正小标宋_GBK"/>
          <w:b w:val="0"/>
          <w:bCs w:val="0"/>
          <w:spacing w:val="-9"/>
          <w:sz w:val="44"/>
          <w:szCs w:val="44"/>
        </w:rPr>
        <w:t>2018年度部门决算情况说明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sz w:val="32"/>
          <w:szCs w:val="32"/>
        </w:rPr>
      </w:pPr>
      <w:r>
        <w:rPr>
          <w:sz w:val="32"/>
          <w:szCs w:val="32"/>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一、部门基本情况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lang w:val="en-US" w:eastAsia="zh-CN" w:bidi="ar-SA"/>
        </w:rPr>
        <w:t>（一）职能职责。</w:t>
      </w:r>
      <w:r>
        <w:rPr>
          <w:rFonts w:hint="eastAsia" w:ascii="Times New Roman" w:hAnsi="Times New Roman" w:eastAsia="方正仿宋_GBK" w:cs="方正仿宋_GBK"/>
          <w:b w:val="0"/>
          <w:bCs w:val="0"/>
          <w:kern w:val="0"/>
          <w:sz w:val="32"/>
          <w:szCs w:val="32"/>
          <w:lang w:val="en-US" w:eastAsia="zh-CN" w:bidi="ar"/>
        </w:rPr>
        <w:t>主要职能是：（一）贯彻执行党和国家关于农业、农村工作的法律、法规、方针、政策；研究拟定农业和农村经济发展战略、中长期发展规划、现代农业发展规划，报经上级批准后组织实施；引导农业产业结构的合理调整、农业资源的合理配置、产业间的综合平衡和农产品品质的改善；强化各类农业项目资金的统筹协调和备案管理。（二）贯彻国家扶贫开发政策，拟定扶贫开发规划，组织实施扶贫开发项目，搞好扶贫开发的管理、监督、检查工作。（三）贯彻执行农业综合开发政策和法规，拟定农业综合开发总体规划，负责农业综合开发项目及产业化建设项目工作。（四）稳定和完善农村基本经营制度，负责农村承包合同管理、农民负担监督管理，负责农村集体经济组织资产管理、农村财务会计培训指导及其审计工作；指导农村经济组织的建设与发展；指导全区农业社会化服务体系和乡村集体经济组织、合作经济组织建设；实施农业产业化经营；负责农村集体土地流转经营管理。（五）制定全区农业科研、教育、技术推广及其队伍建设的发展规划和有关政策，实施科教兴农战略；组织重大农业科技项目协作攻关，负责粮油、多经、水产等生产技术推广，引进试验示范新技术、新品种，组织农业植物新品种的保护工作；管理农业教育、成人教育、农民职业教育；负责农民技术职称申报、评审、管理工作。（六）负责种植业、渔业及渔药等主管产业的行业管理；组织实施主管产业产品和绿色食品的开发、上报认证、质量监督和管理工作；负责种子、种苗、化肥、农药、渔药等农业投入品的质量监测和鉴定；组织、监督主管产业方面的国家标准和行业标准的实施；组织名牌农产品上报认证工作，实施农业名牌战略。（七）组织实施生态农业和农业可持续发展工作；负责农业资源区划，参与基本农田保护的规划、划定及管理工作；负责农用地、渔业水域、草山草坡、宜农滩涂、宜农湿地的管理和农业、渔业生物物种资源的保护和管理；负责保护水生野生动植物和渔业水域生态环境；代表政府行使渔政渔港监督管理。（八）组织实施农业信息系统建设；预测并发布主管产业产品和农业生产资料供求情况等农村经济信息；参与大宗农产品市场体系建设，促进农产品流通。（九）指导有关社会团体为农业经济发展服务。（十）负责全区种子、种苗、农药、化肥等生产资料以及植物检疫、农村集体资产管理等农业行政综合执法。（十一）负责农村沼气能源建设规划和管理，负责农村中低产田土改造，合理利用和培肥耕地。（十二）负责农机管理、农机监理和农机新机具新技术推广工作。（十三）承办区政府交办的其他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color w:val="auto"/>
          <w:kern w:val="0"/>
          <w:sz w:val="32"/>
          <w:szCs w:val="32"/>
          <w:lang w:val="en-US" w:eastAsia="zh-CN" w:bidi="ar"/>
        </w:rPr>
      </w:pPr>
      <w:r>
        <w:rPr>
          <w:rStyle w:val="7"/>
          <w:rFonts w:hint="eastAsia" w:ascii="方正楷体_GBK" w:hAnsi="方正楷体_GBK" w:eastAsia="方正楷体_GBK" w:cs="方正楷体_GBK"/>
          <w:b w:val="0"/>
          <w:bCs w:val="0"/>
          <w:color w:val="auto"/>
          <w:sz w:val="32"/>
          <w:szCs w:val="32"/>
          <w:lang w:val="en-US" w:eastAsia="zh-CN" w:bidi="ar-SA"/>
        </w:rPr>
        <w:t>（二）机构设置。</w:t>
      </w:r>
      <w:r>
        <w:rPr>
          <w:rFonts w:hint="eastAsia" w:ascii="Times New Roman" w:hAnsi="Times New Roman" w:eastAsia="方正仿宋_GBK" w:cs="方正仿宋_GBK"/>
          <w:b w:val="0"/>
          <w:bCs w:val="0"/>
          <w:color w:val="auto"/>
          <w:kern w:val="0"/>
          <w:sz w:val="32"/>
          <w:szCs w:val="32"/>
          <w:lang w:val="en-US" w:eastAsia="zh-CN" w:bidi="ar"/>
        </w:rPr>
        <w:t>重庆市荣昌区农业农村委员会为区政府组成部门，内设党政办公室、政策法规科、新农村建设办公室、计划财务科、信息科技教育科、农村经营管理科、农业综合开发科、扶贫开发科、农机管理科、农产品质量安全监督管理科等10个科室</w:t>
      </w:r>
      <w:r>
        <w:rPr>
          <w:rFonts w:hint="eastAsia" w:ascii="Times New Roman" w:hAnsi="Times New Roman" w:eastAsia="方正仿宋_GBK" w:cs="方正仿宋_GBK"/>
          <w:b w:val="0"/>
          <w:bCs w:val="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color w:val="auto"/>
          <w:kern w:val="0"/>
          <w:sz w:val="32"/>
          <w:szCs w:val="32"/>
          <w:lang w:val="en-US" w:eastAsia="zh-CN" w:bidi="ar"/>
        </w:rPr>
        <w:t>  </w:t>
      </w:r>
      <w:r>
        <w:rPr>
          <w:rStyle w:val="7"/>
          <w:rFonts w:hint="eastAsia" w:ascii="方正楷体_GBK" w:hAnsi="方正楷体_GBK" w:eastAsia="方正楷体_GBK" w:cs="方正楷体_GBK"/>
          <w:b w:val="0"/>
          <w:bCs w:val="0"/>
          <w:color w:val="auto"/>
          <w:sz w:val="32"/>
          <w:szCs w:val="32"/>
          <w:lang w:val="en-US" w:eastAsia="zh-CN" w:bidi="ar-SA"/>
        </w:rPr>
        <w:t>（三）单位构成。</w:t>
      </w:r>
      <w:r>
        <w:rPr>
          <w:rFonts w:hint="eastAsia" w:ascii="Times New Roman" w:hAnsi="Times New Roman" w:eastAsia="方正仿宋_GBK" w:cs="方正仿宋_GBK"/>
          <w:b w:val="0"/>
          <w:bCs w:val="0"/>
          <w:color w:val="auto"/>
          <w:kern w:val="0"/>
          <w:sz w:val="32"/>
          <w:szCs w:val="32"/>
          <w:lang w:val="en-US" w:eastAsia="zh-CN" w:bidi="ar"/>
        </w:rPr>
        <w:t>从预算单位构成看，纳入本部门2018年度决算编制的二级预算单位主要包括重庆市荣昌区农业综合执法大队、重庆市荣昌区渔政渔监船检站、重庆市荣昌区农机监理站、重庆市荣昌区种子管理站、重庆市荣昌区农村经营管理站、重庆市荣昌区特色经济发展站、重庆市荣昌区农业技术推广站、中央农业广播电视学校重庆市荣昌区分校、重庆市荣昌区农产品质量安全检验检测站等9个直属事业单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 xml:space="preserve">  </w:t>
      </w:r>
      <w:r>
        <w:rPr>
          <w:rStyle w:val="7"/>
          <w:rFonts w:hint="eastAsia" w:ascii="方正楷体_GBK" w:hAnsi="方正楷体_GBK" w:eastAsia="方正楷体_GBK" w:cs="方正楷体_GBK"/>
          <w:b w:val="0"/>
          <w:bCs w:val="0"/>
          <w:sz w:val="32"/>
          <w:szCs w:val="32"/>
          <w:lang w:val="en-US" w:eastAsia="zh-CN" w:bidi="ar-SA"/>
        </w:rPr>
        <w:t>（四）机构改革情况。</w:t>
      </w:r>
      <w:r>
        <w:rPr>
          <w:rFonts w:hint="eastAsia" w:ascii="Times New Roman" w:hAnsi="Times New Roman" w:eastAsia="方正仿宋_GBK" w:cs="方正仿宋_GBK"/>
          <w:b w:val="0"/>
          <w:bCs w:val="0"/>
          <w:kern w:val="0"/>
          <w:sz w:val="32"/>
          <w:szCs w:val="32"/>
          <w:lang w:val="en-US" w:eastAsia="zh-CN" w:bidi="ar"/>
        </w:rPr>
        <w:t>按照重庆市机构改革方案要求，本部门涉及机构改革，对此专门说明如下：一是在2018年我单位未进行机构改革，科室站所没有增减，保持原职能职责及机构设置。二是财政财务未进行调整。根据本部门2018年末财政财务管理实际，2018年度决算反映全年有关情况。2019年我们对预算指标、财务会计、资产等未进行调整。</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黑体_GBK" w:hAnsi="方正黑体_GBK" w:eastAsia="方正黑体_GBK" w:cs="方正黑体_GBK"/>
          <w:b w:val="0"/>
          <w:bCs w:val="0"/>
          <w:sz w:val="32"/>
          <w:szCs w:val="32"/>
        </w:rPr>
        <w:t>二、部门决算情况说明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7"/>
          <w:rFonts w:hint="eastAsia" w:ascii="方正楷体_GBK" w:hAnsi="方正楷体_GBK" w:eastAsia="方正楷体_GBK" w:cs="方正楷体_GBK"/>
          <w:b w:val="0"/>
          <w:bCs w:val="0"/>
          <w:sz w:val="32"/>
          <w:szCs w:val="32"/>
          <w:lang w:val="en-US" w:eastAsia="zh-CN"/>
        </w:rPr>
      </w:pPr>
      <w:r>
        <w:rPr>
          <w:rStyle w:val="7"/>
          <w:rFonts w:hint="eastAsia" w:ascii="方正楷体_GBK" w:hAnsi="方正楷体_GBK" w:eastAsia="方正楷体_GBK" w:cs="方正楷体_GBK"/>
          <w:b w:val="0"/>
          <w:bCs w:val="0"/>
          <w:sz w:val="32"/>
          <w:szCs w:val="32"/>
          <w:lang w:val="en-US" w:eastAsia="zh-CN"/>
        </w:rPr>
        <w:t>（一）收入支出决算总体情况说明。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Style w:val="7"/>
          <w:rFonts w:hint="eastAsia" w:ascii="Times New Roman" w:hAnsi="Times New Roman" w:eastAsia="方正仿宋_GBK" w:cs="方正仿宋_GBK"/>
          <w:b w:val="0"/>
          <w:bCs w:val="0"/>
          <w:sz w:val="32"/>
          <w:szCs w:val="32"/>
        </w:rPr>
        <w:t>1.总体情况。</w:t>
      </w:r>
      <w:r>
        <w:rPr>
          <w:rFonts w:hint="eastAsia" w:ascii="Times New Roman" w:hAnsi="Times New Roman" w:eastAsia="方正仿宋_GBK" w:cs="方正仿宋_GBK"/>
          <w:b w:val="0"/>
          <w:bCs w:val="0"/>
          <w:kern w:val="0"/>
          <w:sz w:val="32"/>
          <w:szCs w:val="32"/>
          <w:lang w:val="en-US" w:eastAsia="zh-CN" w:bidi="ar"/>
        </w:rPr>
        <w:t>本部门2018年度收入总计16,987.35万元，支出总计16,987.35万元。收支较上年决算数增加3,492.11万元、增长25.88%，主要原因是增加了项目资金安排。本部分的收入总计包括收入合计、用事业基金弥补收支差额、年初结转和结余，支出总计包括本年支出合计、结余分配、年末结转和结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Style w:val="7"/>
          <w:rFonts w:hint="eastAsia" w:ascii="Times New Roman" w:hAnsi="Times New Roman" w:eastAsia="方正仿宋_GBK" w:cs="方正仿宋_GBK"/>
          <w:b w:val="0"/>
          <w:bCs w:val="0"/>
          <w:sz w:val="32"/>
          <w:szCs w:val="32"/>
        </w:rPr>
        <w:t> 2.收入情况。</w:t>
      </w:r>
      <w:r>
        <w:rPr>
          <w:rFonts w:hint="eastAsia" w:ascii="Times New Roman" w:hAnsi="Times New Roman" w:eastAsia="方正仿宋_GBK" w:cs="方正仿宋_GBK"/>
          <w:b w:val="0"/>
          <w:bCs w:val="0"/>
          <w:kern w:val="0"/>
          <w:sz w:val="32"/>
          <w:szCs w:val="32"/>
          <w:lang w:val="en-US" w:eastAsia="zh-CN" w:bidi="ar"/>
        </w:rPr>
        <w:t>本部门2018年度收入合计12,062.80万元，较上年决算增加2,750.31万元，增长29.53%，主要原因是主要是增加了专项项目资金安排。其中：财政拨款收入12,062.80万元，占100.00%。年初结转和结余4,924.55万元。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Style w:val="7"/>
          <w:rFonts w:hint="eastAsia" w:ascii="Times New Roman" w:hAnsi="Times New Roman" w:eastAsia="方正仿宋_GBK" w:cs="方正仿宋_GBK"/>
          <w:b w:val="0"/>
          <w:bCs w:val="0"/>
          <w:sz w:val="32"/>
          <w:szCs w:val="32"/>
        </w:rPr>
        <w:t> 3.支出情况。</w:t>
      </w:r>
      <w:r>
        <w:rPr>
          <w:rStyle w:val="7"/>
          <w:rFonts w:hint="eastAsia" w:ascii="Times New Roman" w:hAnsi="Times New Roman" w:eastAsia="方正仿宋_GBK" w:cs="方正仿宋_GBK"/>
          <w:b w:val="0"/>
          <w:bCs w:val="0"/>
          <w:sz w:val="32"/>
          <w:szCs w:val="32"/>
          <w:lang w:val="en-US" w:eastAsia="zh-CN"/>
        </w:rPr>
        <w:t>本</w:t>
      </w:r>
      <w:r>
        <w:rPr>
          <w:rFonts w:hint="eastAsia" w:ascii="Times New Roman" w:hAnsi="Times New Roman" w:eastAsia="方正仿宋_GBK" w:cs="方正仿宋_GBK"/>
          <w:b w:val="0"/>
          <w:bCs w:val="0"/>
          <w:kern w:val="0"/>
          <w:sz w:val="32"/>
          <w:szCs w:val="32"/>
          <w:lang w:val="en-US" w:eastAsia="zh-CN" w:bidi="ar"/>
        </w:rPr>
        <w:t>部门2018年度支出合计10,140.74万元，较上年决算数增加1,040.68万元，增长11.44%，主要原因是增加了专项项目资金的支出。其中：基本支出3,486.89万元，占34.38%；项目支出6,653.86万元，占65.62%。此外，结余分配0.00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Style w:val="7"/>
          <w:rFonts w:hint="eastAsia" w:ascii="Times New Roman" w:hAnsi="Times New Roman" w:eastAsia="方正仿宋_GBK" w:cs="方正仿宋_GBK"/>
          <w:b w:val="0"/>
          <w:bCs w:val="0"/>
          <w:sz w:val="32"/>
          <w:szCs w:val="32"/>
        </w:rPr>
        <w:t xml:space="preserve"> 4.结转结余情况。</w:t>
      </w:r>
      <w:r>
        <w:rPr>
          <w:rFonts w:hint="eastAsia" w:ascii="Times New Roman" w:hAnsi="Times New Roman" w:eastAsia="方正仿宋_GBK" w:cs="方正仿宋_GBK"/>
          <w:b w:val="0"/>
          <w:bCs w:val="0"/>
          <w:kern w:val="0"/>
          <w:sz w:val="32"/>
          <w:szCs w:val="32"/>
          <w:lang w:val="en-US" w:eastAsia="zh-CN" w:bidi="ar"/>
        </w:rPr>
        <w:t>本部门2018年度年末结转和结余6,846.61万元，较上年决算数增加2,451.43万元，增长55.78%，主要原因是未完工项目增多,工程未验收,款项没拨出。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Style w:val="7"/>
          <w:rFonts w:hint="eastAsia" w:ascii="方正楷体_GBK" w:hAnsi="方正楷体_GBK" w:eastAsia="方正楷体_GBK" w:cs="方正楷体_GBK"/>
          <w:b w:val="0"/>
          <w:bCs w:val="0"/>
          <w:sz w:val="32"/>
          <w:szCs w:val="32"/>
          <w:lang w:val="en-US" w:eastAsia="zh-CN"/>
        </w:rPr>
      </w:pPr>
      <w:r>
        <w:rPr>
          <w:rStyle w:val="7"/>
          <w:rFonts w:hint="eastAsia" w:ascii="Times New Roman" w:hAnsi="Times New Roman"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lang w:val="en-US" w:eastAsia="zh-CN"/>
        </w:rPr>
        <w:t>（二）财政拨款收入支出决算总体情况说明。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Style w:val="7"/>
          <w:rFonts w:hint="eastAsia" w:ascii="Times New Roman" w:hAnsi="Times New Roman" w:eastAsia="方正仿宋_GBK" w:cs="方正仿宋_GBK"/>
          <w:b w:val="0"/>
          <w:bCs w:val="0"/>
          <w:sz w:val="32"/>
          <w:szCs w:val="32"/>
        </w:rPr>
        <w:t>1.收入情况。</w:t>
      </w:r>
      <w:r>
        <w:rPr>
          <w:rFonts w:hint="eastAsia" w:ascii="Times New Roman" w:hAnsi="Times New Roman" w:eastAsia="方正仿宋_GBK" w:cs="方正仿宋_GBK"/>
          <w:b w:val="0"/>
          <w:bCs w:val="0"/>
          <w:kern w:val="0"/>
          <w:sz w:val="32"/>
          <w:szCs w:val="32"/>
          <w:lang w:val="en-US" w:eastAsia="zh-CN" w:bidi="ar"/>
        </w:rPr>
        <w:t>本部门2018年度财政拨款收入12,062.80万元，较上年决算数增加2,750.31万元，增长29.53%。主要原因是主要是增加了项目资金安排。较年初预算数增加8,067.97万元，增长201.96%。主要原因是年中追加安排农业综合开发补助资金2976万元，中央财政农业资源及生态保护补助资金及市级农业专项资金5091.97万元。此外，年初财政拨款结转和结余4,924.55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Style w:val="7"/>
          <w:rFonts w:hint="eastAsia" w:ascii="Times New Roman" w:hAnsi="Times New Roman" w:eastAsia="方正仿宋_GBK" w:cs="方正仿宋_GBK"/>
          <w:b w:val="0"/>
          <w:bCs w:val="0"/>
          <w:sz w:val="32"/>
          <w:szCs w:val="32"/>
        </w:rPr>
        <w:t>2.支出情况。</w:t>
      </w:r>
      <w:r>
        <w:rPr>
          <w:rFonts w:hint="eastAsia" w:ascii="Times New Roman" w:hAnsi="Times New Roman" w:eastAsia="方正仿宋_GBK" w:cs="方正仿宋_GBK"/>
          <w:b w:val="0"/>
          <w:bCs w:val="0"/>
          <w:kern w:val="0"/>
          <w:sz w:val="32"/>
          <w:szCs w:val="32"/>
          <w:lang w:val="en-US" w:eastAsia="zh-CN" w:bidi="ar"/>
        </w:rPr>
        <w:t>本部门2018年度财政拨款支出10,140.74万元，较上年决算数增加1,040.68万元，增长11.44%。主要原因是增加了项目资金安排。较年初预算数增加6,145.91万元，增长153.85%。主要原因是年中追加安排农业综合开发补助资金，中央财政农业资源及生态保护补助资金及市级农业专项资金。</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Style w:val="7"/>
          <w:rFonts w:hint="eastAsia" w:ascii="Times New Roman" w:hAnsi="Times New Roman" w:eastAsia="方正仿宋_GBK" w:cs="方正仿宋_GBK"/>
          <w:b w:val="0"/>
          <w:bCs w:val="0"/>
          <w:sz w:val="32"/>
          <w:szCs w:val="32"/>
        </w:rPr>
        <w:t xml:space="preserve"> 3.结转结余情况。</w:t>
      </w:r>
      <w:r>
        <w:rPr>
          <w:rFonts w:hint="eastAsia" w:ascii="Times New Roman" w:hAnsi="Times New Roman" w:eastAsia="方正仿宋_GBK" w:cs="方正仿宋_GBK"/>
          <w:b w:val="0"/>
          <w:bCs w:val="0"/>
          <w:kern w:val="0"/>
          <w:sz w:val="32"/>
          <w:szCs w:val="32"/>
          <w:lang w:val="en-US" w:eastAsia="zh-CN" w:bidi="ar"/>
        </w:rPr>
        <w:t>本部门2018年度年末财政拨款结转和结余6,846.61万元，较上年决算数增加2,451.43万元，增长55.78%，主要原因是未完工项目增多,工程未验收,款项没拨出。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Style w:val="7"/>
          <w:rFonts w:hint="eastAsia" w:ascii="Times New Roman" w:hAnsi="Times New Roman" w:eastAsia="方正仿宋_GBK" w:cs="方正仿宋_GBK"/>
          <w:b w:val="0"/>
          <w:bCs w:val="0"/>
          <w:sz w:val="32"/>
          <w:szCs w:val="32"/>
        </w:rPr>
        <w:t> 4.比较情况。</w:t>
      </w:r>
      <w:r>
        <w:rPr>
          <w:rFonts w:hint="eastAsia" w:ascii="Times New Roman" w:hAnsi="Times New Roman" w:eastAsia="方正仿宋_GBK" w:cs="方正仿宋_GBK"/>
          <w:b w:val="0"/>
          <w:bCs w:val="0"/>
          <w:kern w:val="0"/>
          <w:sz w:val="32"/>
          <w:szCs w:val="32"/>
          <w:lang w:val="en-US" w:eastAsia="zh-CN" w:bidi="ar"/>
        </w:rPr>
        <w:t xml:space="preserve">本部门2018年度财政拨款支出主要用于以下几个方面：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（1）一般公共服务支出20.00万元，占0.20%，较年初预算数增加0.00万元，增长0.00%，主要原因是严格按照较年初预算执行。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（2）社会保障与就业支出500.95万元，占4.94%，较年初预算数增加73.81万元，增长17.28%，主要原因是离退人员增加了离退休金及在职人员调增基本养老保险和职业年金。</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（3）医疗卫生与计划生育支出136.24万元，占1.34%，较年初预算数减少3.86万元，下降2.76%，主要原因是公务员医疗补助减少。</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（4）节能环保支出28.46万元，占0.28%，较年初预算数增加28.46万元，增长0.00%，主要原因是资金批办预算科〔2018〕18号恢复2015年巩固退耕还林成果专项资金基本口粮田建设项目28.46万元，年初没预算此项目。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（5）城乡社区支出793.52万元，占7.83%，较年初预算数增加193.52万元，增长32.25%，主要原因是荣财农〔2017〕67号追加年中追加安排农业土地开发专项项目资金的支出193.52万元。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（6）农林水支出8,496.62万元，占83.79%，较年初预算数增加5,853.98万元，增长221.52%，主要原因是年中争取了中央和市级专项项目资金。</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 （7）住房保障支出164.96万元，占1.63%，较年初预算数增加0.00万元，增长0.00%，主要原因是严格按照较年初预算执行。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7"/>
          <w:rFonts w:hint="eastAsia" w:ascii="Times New Roman" w:hAnsi="Times New Roman" w:eastAsia="方正仿宋_GBK" w:cs="方正仿宋_GBK"/>
          <w:b w:val="0"/>
          <w:bCs w:val="0"/>
          <w:sz w:val="32"/>
          <w:szCs w:val="32"/>
          <w:lang w:val="en-US" w:eastAsia="zh-CN" w:bidi="ar-SA"/>
        </w:rPr>
      </w:pPr>
      <w:r>
        <w:rPr>
          <w:rStyle w:val="7"/>
          <w:rFonts w:hint="eastAsia" w:ascii="方正楷体_GBK" w:hAnsi="方正楷体_GBK" w:eastAsia="方正楷体_GBK" w:cs="方正楷体_GBK"/>
          <w:b w:val="0"/>
          <w:bCs w:val="0"/>
          <w:sz w:val="32"/>
          <w:szCs w:val="32"/>
          <w:lang w:val="en-US" w:eastAsia="zh-CN"/>
        </w:rPr>
        <w:t>（三）一般公共预算财政拨款基本支出决算情况说明。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本部门2018年度一般公共财政拨款基本支出3,486.89万元。其中：人员经费2,504.72万元，较上年决算数增加199.44万元，增长8.65%，主要原因是职工调资及新增职工。人员经费用途主要包括基本工资、津贴补贴、奖金、社会保障缴费等。公用经费982.17万元，较上年决算数增加284.81万元，增长40.84%，主要原因是办公租赁费上年核算成项目,今年核算成了基本支出的日常公用经费了。公用经费用途主要包括办公费、印刷费、咨询费、手续费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7"/>
          <w:rFonts w:hint="eastAsia" w:ascii="Times New Roman" w:hAnsi="Times New Roman" w:eastAsia="方正仿宋_GBK" w:cs="方正仿宋_GBK"/>
          <w:b w:val="0"/>
          <w:bCs w:val="0"/>
          <w:sz w:val="32"/>
          <w:szCs w:val="32"/>
          <w:lang w:val="en-US" w:eastAsia="zh-CN" w:bidi="ar-SA"/>
        </w:rPr>
      </w:pPr>
      <w:r>
        <w:rPr>
          <w:rStyle w:val="7"/>
          <w:rFonts w:hint="eastAsia" w:ascii="方正楷体_GBK" w:hAnsi="方正楷体_GBK" w:eastAsia="方正楷体_GBK" w:cs="方正楷体_GBK"/>
          <w:b w:val="0"/>
          <w:bCs w:val="0"/>
          <w:sz w:val="32"/>
          <w:szCs w:val="32"/>
          <w:lang w:val="en-US" w:eastAsia="zh-CN"/>
        </w:rPr>
        <w:t>（四）政府性基金预算收支决算情况说明。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本部门2018年度政府性基金预算财政拨款年初结转结余193.52万元，年末结转结余0.00万元。本年收入0.00万元，较上年决算数减少200.00万元，下降100.00%，主要原因是2018年度预算无政府性基金预算财政拨款项目。本年支出193.52万元，较上年决算数增加193.52万元，增长0.00%，主要原因是2018年度政府性基金预算财政拨款支出的是本年度年初结转结余193.52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7"/>
          <w:rFonts w:hint="eastAsia" w:ascii="方正黑体_GBK" w:hAnsi="方正黑体_GBK" w:eastAsia="方正黑体_GBK" w:cs="方正黑体_GBK"/>
          <w:b w:val="0"/>
          <w:bCs w:val="0"/>
          <w:sz w:val="32"/>
          <w:szCs w:val="32"/>
        </w:rPr>
      </w:pPr>
      <w:r>
        <w:rPr>
          <w:rFonts w:hint="eastAsia" w:ascii="Times New Roman" w:hAnsi="Times New Roman" w:eastAsia="方正仿宋_GBK" w:cs="方正仿宋_GBK"/>
          <w:b w:val="0"/>
          <w:bCs w:val="0"/>
          <w:sz w:val="32"/>
          <w:szCs w:val="32"/>
        </w:rPr>
        <w:t> </w:t>
      </w:r>
      <w:r>
        <w:rPr>
          <w:rStyle w:val="7"/>
          <w:rFonts w:hint="eastAsia" w:ascii="方正黑体_GBK" w:hAnsi="方正黑体_GBK" w:eastAsia="方正黑体_GBK" w:cs="方正黑体_GBK"/>
          <w:b w:val="0"/>
          <w:bCs w:val="0"/>
          <w:sz w:val="32"/>
          <w:szCs w:val="32"/>
        </w:rPr>
        <w:t>三、“三公”经费情况说明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7"/>
          <w:rFonts w:hint="eastAsia" w:ascii="方正楷体_GBK" w:hAnsi="方正楷体_GBK" w:eastAsia="方正楷体_GBK" w:cs="方正楷体_GBK"/>
          <w:b w:val="0"/>
          <w:bCs w:val="0"/>
          <w:sz w:val="32"/>
          <w:szCs w:val="32"/>
          <w:lang w:val="en-US" w:eastAsia="zh-CN"/>
        </w:rPr>
      </w:pPr>
      <w:r>
        <w:rPr>
          <w:rStyle w:val="7"/>
          <w:rFonts w:hint="eastAsia" w:ascii="方正楷体_GBK" w:hAnsi="方正楷体_GBK" w:eastAsia="方正楷体_GBK" w:cs="方正楷体_GBK"/>
          <w:b w:val="0"/>
          <w:bCs w:val="0"/>
          <w:sz w:val="32"/>
          <w:szCs w:val="32"/>
          <w:lang w:val="en-US" w:eastAsia="zh-CN"/>
        </w:rPr>
        <w:t>（一）“三公”经费支出总体情况说明。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 2018年度本部门“三公”经费支出共计39.77万元，较年初预算数减少22.23万元，下降35.85%，主要原因是厉行节约,减少"三公"经费支出。较上年支出数减少17.72万元，下降30.82%，主要原因是一是认真贯彻落实中央八项规定</w:t>
      </w:r>
      <w:bookmarkStart w:id="0" w:name="_GoBack"/>
      <w:bookmarkEnd w:id="0"/>
      <w:r>
        <w:rPr>
          <w:rFonts w:hint="eastAsia" w:ascii="Times New Roman" w:hAnsi="Times New Roman" w:eastAsia="方正仿宋_GBK" w:cs="方正仿宋_GBK"/>
          <w:b w:val="0"/>
          <w:bCs w:val="0"/>
          <w:kern w:val="0"/>
          <w:sz w:val="32"/>
          <w:szCs w:val="32"/>
          <w:lang w:val="en-US" w:eastAsia="zh-CN" w:bidi="ar"/>
        </w:rPr>
        <w:t>精神和厉行节约要求，按照只减不增的要求从严控制三公经费，全年实际支出较预算和决算均有所下降。二是今年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7"/>
          <w:rFonts w:hint="eastAsia" w:ascii="方正楷体_GBK" w:hAnsi="方正楷体_GBK" w:eastAsia="方正楷体_GBK" w:cs="方正楷体_GBK"/>
          <w:b w:val="0"/>
          <w:bCs w:val="0"/>
          <w:sz w:val="32"/>
          <w:szCs w:val="32"/>
          <w:lang w:val="en-US" w:eastAsia="zh-CN"/>
        </w:rPr>
      </w:pPr>
      <w:r>
        <w:rPr>
          <w:rStyle w:val="7"/>
          <w:rFonts w:hint="eastAsia" w:ascii="方正楷体_GBK" w:hAnsi="方正楷体_GBK" w:eastAsia="方正楷体_GBK" w:cs="方正楷体_GBK"/>
          <w:b w:val="0"/>
          <w:bCs w:val="0"/>
          <w:sz w:val="32"/>
          <w:szCs w:val="32"/>
          <w:lang w:val="en-US" w:eastAsia="zh-CN"/>
        </w:rPr>
        <w:t>（二）“三公”经费分项支出情况。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sz w:val="32"/>
          <w:szCs w:val="32"/>
        </w:rPr>
        <w:t> </w:t>
      </w:r>
      <w:r>
        <w:rPr>
          <w:rFonts w:hint="eastAsia" w:ascii="Times New Roman" w:hAnsi="Times New Roman" w:eastAsia="方正仿宋_GBK" w:cs="方正仿宋_GBK"/>
          <w:b w:val="0"/>
          <w:bCs w:val="0"/>
          <w:kern w:val="0"/>
          <w:sz w:val="32"/>
          <w:szCs w:val="32"/>
          <w:lang w:val="en-US" w:eastAsia="zh-CN" w:bidi="ar"/>
        </w:rPr>
        <w:t>2018年度本部门因公出国（境）费用0.00万元，主要是2018年度本部门未发生因公出国（境）。费用支出较年初预算增加0.00万元，增长0.00%。较上年支出数增加0.00万元，增长0.00%。</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 公务车购置费0.00万元，主要是本单位本年度无公务车购置。费用支出较年初预算数增加0.00万元，增长0.00%，主要原因是本单位本年度无公务车购置。较上年支出数增加0.00万元，增长0.00%，主要原因是本单位本年度无公务车购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公务车运行维护费12.19万元，主要用于主要用于机要文件交换、市内因公出行、财政业务检查等工作所需车辆的燃料费、维修费、过桥过路费、保险费等)。费用支出较年初预算数减少6万元，下降32.28%，主要原因是.今年严格落实公车使用规定，严禁公车私用，公车运行维护成本大幅下降。较上年支出数增加1.51万元，增长14.14%，主要原因是因车辆购置时间已长久，增加了维护。</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公务接待费27.58万元，主要用于接待主要用于接待国内其他省市财政厅到我单位学习调研政府财务报告编制工作，接受相关部门检查指导工作发生的接待支出。费用支出较年初预算数减少16.42万元，下降37.32%，主要原因是压缩了公务接待,降低接待标准。较上年支出数减少19.23万元，下降41.08%，主要原因是压缩了公务接待，降低接待标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7"/>
          <w:rFonts w:hint="eastAsia" w:ascii="方正楷体_GBK" w:hAnsi="方正楷体_GBK" w:eastAsia="方正楷体_GBK" w:cs="方正楷体_GBK"/>
          <w:b w:val="0"/>
          <w:bCs w:val="0"/>
          <w:sz w:val="32"/>
          <w:szCs w:val="32"/>
          <w:lang w:val="en-US" w:eastAsia="zh-CN"/>
        </w:rPr>
      </w:pPr>
      <w:r>
        <w:rPr>
          <w:rStyle w:val="7"/>
          <w:rFonts w:hint="eastAsia" w:ascii="方正楷体_GBK" w:hAnsi="方正楷体_GBK" w:eastAsia="方正楷体_GBK" w:cs="方正楷体_GBK"/>
          <w:b w:val="0"/>
          <w:bCs w:val="0"/>
          <w:sz w:val="32"/>
          <w:szCs w:val="32"/>
          <w:lang w:val="en-US" w:eastAsia="zh-CN"/>
        </w:rPr>
        <w:t>（三）“三公”经费实物量情况。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kern w:val="0"/>
          <w:sz w:val="32"/>
          <w:szCs w:val="32"/>
          <w:lang w:val="en-US" w:eastAsia="zh-CN" w:bidi="ar"/>
        </w:rPr>
        <w:t>2018年度本部门因公出国（境）共计0个团组，0人；公务用车购置0辆，公务车保有量为3辆；国内公务接待312批次3,586人，其中：国内外事接待0批次，0人；国（境）外公务接待0批次，0人。2018年本部门人均接待费76.92元，车均购置费0.00万元，车均维护费4.06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7"/>
          <w:rFonts w:hint="eastAsia" w:ascii="方正黑体_GBK" w:hAnsi="方正黑体_GBK" w:eastAsia="方正黑体_GBK" w:cs="方正黑体_GBK"/>
          <w:b w:val="0"/>
          <w:bCs w:val="0"/>
          <w:sz w:val="32"/>
          <w:szCs w:val="32"/>
        </w:rPr>
      </w:pPr>
      <w:r>
        <w:rPr>
          <w:rFonts w:hint="eastAsia" w:ascii="Times New Roman" w:hAnsi="Times New Roman" w:eastAsia="方正仿宋_GBK" w:cs="方正仿宋_GBK"/>
          <w:b w:val="0"/>
          <w:bCs w:val="0"/>
          <w:sz w:val="32"/>
          <w:szCs w:val="32"/>
        </w:rPr>
        <w:t xml:space="preserve">  </w:t>
      </w:r>
      <w:r>
        <w:rPr>
          <w:rStyle w:val="7"/>
          <w:rFonts w:hint="eastAsia" w:ascii="方正黑体_GBK" w:hAnsi="方正黑体_GBK" w:eastAsia="方正黑体_GBK" w:cs="方正黑体_GBK"/>
          <w:b w:val="0"/>
          <w:bCs w:val="0"/>
          <w:sz w:val="32"/>
          <w:szCs w:val="32"/>
        </w:rPr>
        <w:t>四、其他需要说明的事项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Style w:val="7"/>
          <w:rFonts w:hint="eastAsia" w:ascii="方正楷体_GBK" w:hAnsi="方正楷体_GBK" w:eastAsia="方正楷体_GBK" w:cs="方正楷体_GBK"/>
          <w:b w:val="0"/>
          <w:bCs w:val="0"/>
          <w:sz w:val="32"/>
          <w:szCs w:val="32"/>
          <w:lang w:val="en-US" w:eastAsia="zh-CN"/>
        </w:rPr>
        <w:t>（一）机关运行经费情况说明。</w:t>
      </w:r>
      <w:r>
        <w:rPr>
          <w:rStyle w:val="7"/>
          <w:rFonts w:hint="eastAsia" w:ascii="Times New Roman" w:hAnsi="Times New Roman" w:eastAsia="方正仿宋_GBK" w:cs="方正仿宋_GBK"/>
          <w:b w:val="0"/>
          <w:bCs w:val="0"/>
          <w:sz w:val="32"/>
          <w:szCs w:val="32"/>
          <w:lang w:val="en-US" w:eastAsia="zh-CN" w:bidi="ar-SA"/>
        </w:rPr>
        <w:t>2</w:t>
      </w:r>
      <w:r>
        <w:rPr>
          <w:rFonts w:hint="eastAsia" w:ascii="Times New Roman" w:hAnsi="Times New Roman" w:eastAsia="方正仿宋_GBK" w:cs="方正仿宋_GBK"/>
          <w:b w:val="0"/>
          <w:bCs w:val="0"/>
          <w:kern w:val="0"/>
          <w:sz w:val="32"/>
          <w:szCs w:val="32"/>
          <w:lang w:val="en-US" w:eastAsia="zh-CN" w:bidi="ar"/>
        </w:rPr>
        <w:t>018年度本部门机关运行经费支出982.17万元，机关运行经费主要用于开支主要用于办公费、公务车运行维护费、信息网络购置更新费。机关运行经费较上年决算数增加284.81万元，增长40.84%，主要原因是办公租赁费上年核算成项目,今年核算成了基本支出的日常公用经费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Style w:val="7"/>
          <w:rFonts w:hint="eastAsia" w:ascii="方正楷体_GBK" w:hAnsi="方正楷体_GBK" w:eastAsia="方正楷体_GBK" w:cs="方正楷体_GBK"/>
          <w:b w:val="0"/>
          <w:bCs w:val="0"/>
          <w:sz w:val="32"/>
          <w:szCs w:val="32"/>
          <w:lang w:val="en-US" w:eastAsia="zh-CN"/>
        </w:rPr>
        <w:t>（二）国有资产占用情况说明。</w:t>
      </w:r>
      <w:r>
        <w:rPr>
          <w:rFonts w:hint="eastAsia" w:ascii="Times New Roman" w:hAnsi="Times New Roman" w:eastAsia="方正仿宋_GBK" w:cs="方正仿宋_GBK"/>
          <w:b w:val="0"/>
          <w:bCs w:val="0"/>
          <w:kern w:val="0"/>
          <w:sz w:val="32"/>
          <w:szCs w:val="32"/>
          <w:lang w:val="en-US" w:eastAsia="zh-CN" w:bidi="ar"/>
        </w:rPr>
        <w:t>截至2018年12月31日，本部门共有车辆3辆，其中，副部（省）级及以上领导用车0辆、主要领导干部用车0辆、机要通信用车0辆、应急保障用车3辆、执法执勤用车0辆，特种专业技术用车0辆，离退休干部用车0辆，其他用车0辆，无其他用车。单价50万元以上通用设备0台（套），单价100万元以上专用设备0台（套）。</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Times New Roman" w:hAnsi="Times New Roman" w:eastAsia="方正仿宋_GBK" w:cs="方正仿宋_GBK"/>
          <w:b w:val="0"/>
          <w:bCs w:val="0"/>
          <w:color w:val="auto"/>
          <w:sz w:val="32"/>
          <w:szCs w:val="32"/>
        </w:rPr>
      </w:pPr>
      <w:r>
        <w:rPr>
          <w:rStyle w:val="7"/>
          <w:rFonts w:hint="eastAsia" w:ascii="方正楷体_GBK" w:hAnsi="方正楷体_GBK" w:eastAsia="方正楷体_GBK" w:cs="方正楷体_GBK"/>
          <w:b w:val="0"/>
          <w:bCs w:val="0"/>
          <w:color w:val="auto"/>
          <w:sz w:val="32"/>
          <w:szCs w:val="32"/>
          <w:lang w:val="en-US" w:eastAsia="zh-CN"/>
        </w:rPr>
        <w:t>（三）政府采购支出情况说明。</w:t>
      </w:r>
      <w:r>
        <w:rPr>
          <w:rFonts w:hint="eastAsia" w:ascii="Times New Roman" w:hAnsi="Times New Roman" w:eastAsia="方正仿宋_GBK" w:cs="方正仿宋_GBK"/>
          <w:b w:val="0"/>
          <w:bCs w:val="0"/>
          <w:color w:val="auto"/>
          <w:kern w:val="0"/>
          <w:sz w:val="32"/>
          <w:szCs w:val="32"/>
          <w:lang w:val="en-US" w:eastAsia="zh-CN" w:bidi="ar"/>
        </w:rPr>
        <w:t>2018年度本部门政府采购支出总额1,865.41万元，其中：政府采购货物支出149.28万元、政府采购工程支出0.00万元、政府采购服务支出1,716.13万元。授予中小企业合同金额1,865.41万元，占政府采购支出总额的100%，其中：授予小微企业合同金额149.28万元，占政府采购支出总额的8%。主要用于采购 办公电脑及打印设备等</w:t>
      </w:r>
      <w:r>
        <w:rPr>
          <w:rFonts w:hint="eastAsia" w:ascii="Times New Roman" w:hAnsi="Times New Roman" w:eastAsia="方正仿宋_GBK" w:cs="方正仿宋_GBK"/>
          <w:b w:val="0"/>
          <w:bCs w:val="0"/>
          <w:kern w:val="0"/>
          <w:sz w:val="32"/>
          <w:szCs w:val="32"/>
          <w:lang w:val="en-US" w:eastAsia="zh-CN" w:bidi="ar"/>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7"/>
          <w:rFonts w:hint="eastAsia" w:ascii="方正黑体_GBK" w:hAnsi="方正黑体_GBK" w:eastAsia="方正黑体_GBK" w:cs="方正黑体_GBK"/>
          <w:b w:val="0"/>
          <w:bCs w:val="0"/>
          <w:sz w:val="32"/>
          <w:szCs w:val="32"/>
        </w:rPr>
      </w:pPr>
      <w:r>
        <w:rPr>
          <w:rFonts w:hint="eastAsia" w:ascii="Times New Roman" w:hAnsi="Times New Roman" w:eastAsia="方正仿宋_GBK" w:cs="方正仿宋_GBK"/>
          <w:b w:val="0"/>
          <w:bCs w:val="0"/>
          <w:sz w:val="32"/>
          <w:szCs w:val="32"/>
        </w:rPr>
        <w:t>  </w:t>
      </w:r>
      <w:r>
        <w:rPr>
          <w:rStyle w:val="7"/>
          <w:rFonts w:hint="eastAsia" w:ascii="方正黑体_GBK" w:hAnsi="方正黑体_GBK" w:eastAsia="方正黑体_GBK" w:cs="方正黑体_GBK"/>
          <w:b w:val="0"/>
          <w:bCs w:val="0"/>
          <w:sz w:val="32"/>
          <w:szCs w:val="32"/>
        </w:rPr>
        <w:t>五、预算绩效管理情况说明</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Style w:val="7"/>
          <w:rFonts w:hint="eastAsia" w:ascii="方正楷体_GBK" w:hAnsi="方正楷体_GBK" w:eastAsia="方正楷体_GBK" w:cs="方正楷体_GBK"/>
          <w:b w:val="0"/>
          <w:bCs w:val="0"/>
          <w:sz w:val="32"/>
          <w:szCs w:val="32"/>
          <w:lang w:val="en-US" w:eastAsia="zh-CN" w:bidi="ar-SA"/>
        </w:rPr>
      </w:pPr>
      <w:r>
        <w:rPr>
          <w:rStyle w:val="7"/>
          <w:rFonts w:hint="eastAsia" w:ascii="方正楷体_GBK" w:hAnsi="方正楷体_GBK" w:eastAsia="方正楷体_GBK" w:cs="方正楷体_GBK"/>
          <w:b w:val="0"/>
          <w:bCs w:val="0"/>
          <w:sz w:val="32"/>
          <w:szCs w:val="32"/>
          <w:lang w:val="en-US" w:eastAsia="zh-CN" w:bidi="ar-SA"/>
        </w:rPr>
        <w:t>（一）预算绩效管理工作情况。</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根据预算绩效管理要求，我委对5个项目开展了绩效自评,涉及资金7614万元。其中，耕地地力保护和种粮大户补贴项目涉及资金5571万元，耕地保护与质量项目115万元，农业生产救灾补助资金116万元，市级农业产业发展资金1065万元，市级农业行业管理与服务项目362万元。</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Style w:val="7"/>
          <w:rFonts w:hint="eastAsia" w:ascii="方正楷体_GBK" w:hAnsi="方正楷体_GBK" w:eastAsia="方正楷体_GBK" w:cs="方正楷体_GBK"/>
          <w:b w:val="0"/>
          <w:bCs w:val="0"/>
          <w:sz w:val="32"/>
          <w:szCs w:val="32"/>
          <w:lang w:val="en-US" w:eastAsia="zh-CN" w:bidi="ar-SA"/>
        </w:rPr>
      </w:pPr>
      <w:r>
        <w:rPr>
          <w:rStyle w:val="7"/>
          <w:rFonts w:hint="eastAsia" w:ascii="方正楷体_GBK" w:hAnsi="方正楷体_GBK" w:eastAsia="方正楷体_GBK" w:cs="方正楷体_GBK"/>
          <w:b w:val="0"/>
          <w:bCs w:val="0"/>
          <w:sz w:val="32"/>
          <w:szCs w:val="32"/>
          <w:lang w:val="en-US" w:eastAsia="zh-CN" w:bidi="ar-SA"/>
        </w:rPr>
        <w:t>（二）绩效目标自评结果。</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1</w:t>
      </w:r>
      <w:r>
        <w:rPr>
          <w:rFonts w:hint="eastAsia" w:ascii="方正书宋_GBK" w:hAnsi="方正书宋_GBK" w:eastAsia="方正书宋_GBK" w:cs="方正书宋_GBK"/>
          <w:b w:val="0"/>
          <w:bCs w:val="0"/>
          <w:kern w:val="0"/>
          <w:sz w:val="32"/>
          <w:szCs w:val="32"/>
          <w:lang w:val="en-US" w:eastAsia="zh-CN" w:bidi="ar"/>
        </w:rPr>
        <w:t>．</w:t>
      </w:r>
      <w:r>
        <w:rPr>
          <w:rFonts w:hint="eastAsia" w:ascii="Times New Roman" w:hAnsi="Times New Roman" w:eastAsia="方正仿宋_GBK" w:cs="方正仿宋_GBK"/>
          <w:b w:val="0"/>
          <w:bCs w:val="0"/>
          <w:kern w:val="0"/>
          <w:sz w:val="32"/>
          <w:szCs w:val="32"/>
          <w:lang w:val="en-US" w:eastAsia="zh-CN" w:bidi="ar"/>
        </w:rPr>
        <w:t>2018年重庆市荣昌区耕地地力保护和种粮大户补贴项目绩效目标自评综述：根据年初设定的绩效目标，项目总体完成兑付5571万元。项目全年预算数为5571万元，执行数为5571万元，完成预算的100%。一是完成数量。按照市级部门要求，按时、足额、保质、保量的完成耕地地力保护补贴资金兑付工作。2018年度实际发放耕地地力保护补贴资金5571万元，共兑付大户122户、一般农户165225户，且2018年耕地地力保护补贴资已经全部发放到户。二是完成质量。一般农户耕地地力保护补贴和种粮大户耕地地力保护补贴发放按规定农户或大户申报，社长登记核实，村（社区）统计汇总，同时公示，镇街统计汇总、公示。报区汇总，区级再审查程序。上级下达当年资金加上历年累计资金减去大户资金额，除以种粮面积等统一资金审核和登记核实、公示、审核无异议再发放。</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2</w:t>
      </w:r>
      <w:r>
        <w:rPr>
          <w:rFonts w:hint="eastAsia" w:ascii="方正书宋_GBK" w:hAnsi="方正书宋_GBK" w:eastAsia="方正书宋_GBK" w:cs="方正书宋_GBK"/>
          <w:b w:val="0"/>
          <w:bCs w:val="0"/>
          <w:kern w:val="0"/>
          <w:sz w:val="32"/>
          <w:szCs w:val="32"/>
          <w:lang w:val="en-US" w:eastAsia="zh-CN" w:bidi="ar"/>
        </w:rPr>
        <w:t>．</w:t>
      </w:r>
      <w:r>
        <w:rPr>
          <w:rFonts w:hint="eastAsia" w:ascii="Times New Roman" w:hAnsi="Times New Roman" w:eastAsia="方正仿宋_GBK" w:cs="方正仿宋_GBK"/>
          <w:b w:val="0"/>
          <w:bCs w:val="0"/>
          <w:kern w:val="0"/>
          <w:sz w:val="32"/>
          <w:szCs w:val="32"/>
          <w:lang w:val="en-US" w:eastAsia="zh-CN" w:bidi="ar"/>
        </w:rPr>
        <w:t>2018年度耕地保护与质量项目绩效目标自评综述：根据年初设定的绩效目标：建立1.0万亩有机肥替代示范片，开展试验4个，采集化验土样90个。项目总体完成情况建立1.12万亩有机肥替代示范片，开展试验4个，采集化验土样90个。项目全年预算数为115万元，执行数为121.2万元，完成预算的105.3%。主要产出和效果：一是测土配方施肥技术覆盖率≥95.0%，实际达到95.3%；二是项目区土壤有机质含量提升5%以上，耕地质量等级持平或提升，目前土壤检测尚未完成，完成后即开展评价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Times New Roman" w:hAnsi="Times New Roman" w:eastAsia="方正仿宋_GBK" w:cs="方正仿宋_GBK"/>
          <w:b w:val="0"/>
          <w:bCs w:val="0"/>
          <w:kern w:val="0"/>
          <w:sz w:val="32"/>
          <w:szCs w:val="32"/>
          <w:lang w:val="en-US" w:eastAsia="zh-CN" w:bidi="ar"/>
        </w:rPr>
      </w:pPr>
      <w:r>
        <w:rPr>
          <w:rFonts w:hint="eastAsia" w:ascii="Times New Roman" w:hAnsi="Times New Roman" w:eastAsia="方正仿宋_GBK" w:cs="方正仿宋_GBK"/>
          <w:b w:val="0"/>
          <w:bCs w:val="0"/>
          <w:kern w:val="0"/>
          <w:sz w:val="32"/>
          <w:szCs w:val="32"/>
          <w:lang w:val="en-US" w:eastAsia="zh-CN" w:bidi="ar"/>
        </w:rPr>
        <w:t>3</w:t>
      </w:r>
      <w:r>
        <w:rPr>
          <w:rFonts w:hint="eastAsia" w:ascii="方正书宋_GBK" w:hAnsi="方正书宋_GBK" w:eastAsia="方正书宋_GBK" w:cs="方正书宋_GBK"/>
          <w:b w:val="0"/>
          <w:bCs w:val="0"/>
          <w:kern w:val="0"/>
          <w:sz w:val="32"/>
          <w:szCs w:val="32"/>
          <w:lang w:val="en-US" w:eastAsia="zh-CN" w:bidi="ar"/>
        </w:rPr>
        <w:t>．</w:t>
      </w:r>
      <w:r>
        <w:rPr>
          <w:rFonts w:hint="eastAsia" w:ascii="Times New Roman" w:hAnsi="Times New Roman" w:eastAsia="方正仿宋_GBK" w:cs="方正仿宋_GBK"/>
          <w:b w:val="0"/>
          <w:bCs w:val="0"/>
          <w:kern w:val="0"/>
          <w:sz w:val="32"/>
          <w:szCs w:val="32"/>
          <w:lang w:val="en-US" w:eastAsia="zh-CN" w:bidi="ar"/>
        </w:rPr>
        <w:t>农业生产救灾补助资金项目绩效目标自评综述：根据年初设定的绩效目标：农作物病虫疫情防治任务3.1万亩以上，其中小麦病虫疫情防治面积0.1万亩以上、水稻病虫害疫情防治面积3.0万亩以上。项目实施区统防统治覆盖率达到50%以上，绿色防控覆盖率达到30%以上，实现重大病虫不大面积暴发成灾；进一步稳定粮食生产水平≥90%。项目总体完成情况全部完成年初设定目标。项目全年预算数为116万元，执行数为116万元，完成预算的100%。主要产出和效果：一是病虫危害总体损失率5%以下，实际为1.64%；二是保障农业生产安全，重大病虫不大面积暴发成灾，进一步稳定粮食生产水平≥90%，实施后全区未因农作物病虫危害造成大面积成灾，100%稳定粮食生产水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kern w:val="0"/>
          <w:sz w:val="32"/>
          <w:szCs w:val="32"/>
          <w:lang w:val="en-US" w:eastAsia="zh-CN" w:bidi="ar"/>
        </w:rPr>
        <w:t>4</w:t>
      </w:r>
      <w:r>
        <w:rPr>
          <w:rFonts w:hint="eastAsia" w:ascii="方正书宋_GBK" w:hAnsi="方正书宋_GBK" w:eastAsia="方正书宋_GBK" w:cs="方正书宋_GBK"/>
          <w:b w:val="0"/>
          <w:bCs w:val="0"/>
          <w:kern w:val="0"/>
          <w:sz w:val="32"/>
          <w:szCs w:val="32"/>
          <w:lang w:val="en-US" w:eastAsia="zh-CN" w:bidi="ar"/>
        </w:rPr>
        <w:t>．</w:t>
      </w:r>
      <w:r>
        <w:rPr>
          <w:rFonts w:hint="eastAsia" w:ascii="Times New Roman" w:hAnsi="Times New Roman" w:eastAsia="方正仿宋_GBK" w:cs="方正仿宋_GBK"/>
          <w:b w:val="0"/>
          <w:bCs w:val="0"/>
          <w:kern w:val="0"/>
          <w:sz w:val="32"/>
          <w:szCs w:val="32"/>
          <w:lang w:val="en-US" w:eastAsia="zh-CN" w:bidi="ar"/>
        </w:rPr>
        <w:t>市级农业发展资金项目、市级农业行业管理与服务项目绩效目标自评：市级农业发展资金项目、市级农业行业管理与服务项目共计52个子项目，涉及资金1427万元。根据年初设定的绩效目标，自评总体情况优，46子个项目已通过验收完成资金拨付，资金1122.8553万元，完成78.34%。还有6个项目未完成，观胜镇凉坪社区乡村治理试点项目、新型职业农民创业孵化基地、重庆市乐禾无人机有限公司柑橘茶叶主要病虫害防治社会化服务项目、荣昌区双流蔬菜标准园建设项目、优质粮油加工仓储设施设备建设和肉兔科技园区标准化兔场建设项目有些已实施完成、待验收，有些正在实施中。通过项目的实施，辐射带动特色效益农业产业面积的扩大，带动了产业发展，提高了全区农产品质量；促进农民就业，增加了农民收入，同时推进了特色产业的产业化进程，促进了规模化种植；存在问题：一是根据市级文件要求，一个项目实施业主在一个年度内只能承担一次市级财政补助项目，造成部分实施项目建设进度快、经济效益和社会效益高的业主失去了再次申报项目的机会，只能由项目实施进度慢和效果差的业主得到机会；二是部分业主实施项目经验不足，虽然建设任务完成了，但项目验收资料收集不齐，造成拖延验收，影响了整个项目的完成；三是部分业主实施方案规划不细、不实，造成项目检查、验收困难。</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Style w:val="7"/>
          <w:rFonts w:hint="eastAsia" w:ascii="方正黑体_GBK" w:hAnsi="方正黑体_GBK" w:eastAsia="方正黑体_GBK" w:cs="方正黑体_GBK"/>
          <w:b w:val="0"/>
          <w:bCs w:val="0"/>
          <w:sz w:val="32"/>
          <w:szCs w:val="32"/>
        </w:rPr>
      </w:pPr>
      <w:r>
        <w:rPr>
          <w:rFonts w:hint="eastAsia" w:ascii="Times New Roman" w:hAnsi="Times New Roman" w:eastAsia="方正仿宋_GBK" w:cs="方正仿宋_GBK"/>
          <w:b w:val="0"/>
          <w:bCs w:val="0"/>
          <w:sz w:val="32"/>
          <w:szCs w:val="32"/>
        </w:rPr>
        <w:t xml:space="preserve"> </w:t>
      </w:r>
      <w:r>
        <w:rPr>
          <w:rStyle w:val="7"/>
          <w:rFonts w:hint="eastAsia" w:ascii="方正黑体_GBK" w:hAnsi="方正黑体_GBK" w:eastAsia="方正黑体_GBK" w:cs="方正黑体_GBK"/>
          <w:b w:val="0"/>
          <w:bCs w:val="0"/>
          <w:sz w:val="32"/>
          <w:szCs w:val="32"/>
        </w:rPr>
        <w:t>六、专业名词解释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（一）财政拨款收入：</w:t>
      </w:r>
      <w:r>
        <w:rPr>
          <w:rFonts w:hint="eastAsia" w:ascii="Times New Roman" w:hAnsi="Times New Roman" w:eastAsia="方正仿宋_GBK" w:cs="方正仿宋_GBK"/>
          <w:b w:val="0"/>
          <w:bCs w:val="0"/>
          <w:sz w:val="32"/>
          <w:szCs w:val="32"/>
        </w:rPr>
        <w:t>指本年度从本级财政部门取得的财政拨款，包括一般公共预算财政拨款和政府性基金预算财政拨款。</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（二）事业收入：</w:t>
      </w:r>
      <w:r>
        <w:rPr>
          <w:rFonts w:hint="eastAsia" w:ascii="Times New Roman" w:hAnsi="Times New Roman" w:eastAsia="方正仿宋_GBK" w:cs="方正仿宋_GBK"/>
          <w:b w:val="0"/>
          <w:bCs w:val="0"/>
          <w:sz w:val="32"/>
          <w:szCs w:val="32"/>
        </w:rPr>
        <w:t>指事业单位开展专业业务活动及其辅助活动取得的收入；事业单位收到的财政专户实际核拨的教育收费等资金在此反映。</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（三）经营收入：</w:t>
      </w:r>
      <w:r>
        <w:rPr>
          <w:rFonts w:hint="eastAsia" w:ascii="Times New Roman" w:hAnsi="Times New Roman" w:eastAsia="方正仿宋_GBK" w:cs="方正仿宋_GBK"/>
          <w:b w:val="0"/>
          <w:bCs w:val="0"/>
          <w:sz w:val="32"/>
          <w:szCs w:val="32"/>
        </w:rPr>
        <w:t>指事业单位在专业业务活动及其辅助活动之外开展非独立核算经营活动取得的收入。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（四）其他收入：</w:t>
      </w:r>
      <w:r>
        <w:rPr>
          <w:rFonts w:hint="eastAsia" w:ascii="Times New Roman" w:hAnsi="Times New Roman" w:eastAsia="方正仿宋_GBK" w:cs="方正仿宋_GBK"/>
          <w:b w:val="0"/>
          <w:bCs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（五）用事业基金弥补收支差额：</w:t>
      </w:r>
      <w:r>
        <w:rPr>
          <w:rFonts w:hint="eastAsia" w:ascii="Times New Roman" w:hAnsi="Times New Roman" w:eastAsia="方正仿宋_GBK" w:cs="方正仿宋_GBK"/>
          <w:b w:val="0"/>
          <w:bCs w:val="0"/>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（六）年初结转和结余：</w:t>
      </w:r>
      <w:r>
        <w:rPr>
          <w:rFonts w:hint="eastAsia" w:ascii="Times New Roman" w:hAnsi="Times New Roman" w:eastAsia="方正仿宋_GBK" w:cs="方正仿宋_GBK"/>
          <w:b w:val="0"/>
          <w:bCs w:val="0"/>
          <w:sz w:val="32"/>
          <w:szCs w:val="32"/>
        </w:rPr>
        <w:t>指单位上年结转本年使用的基本支出结转、项目支出结转和结余、经营结余。不包括事业单位净资产项下的事业基金和专用基金。</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（七）结余分配：</w:t>
      </w:r>
      <w:r>
        <w:rPr>
          <w:rFonts w:hint="eastAsia" w:ascii="Times New Roman" w:hAnsi="Times New Roman" w:eastAsia="方正仿宋_GBK" w:cs="方正仿宋_GBK"/>
          <w:b w:val="0"/>
          <w:bCs w:val="0"/>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（八）年末结转和结余：</w:t>
      </w:r>
      <w:r>
        <w:rPr>
          <w:rFonts w:hint="eastAsia" w:ascii="Times New Roman" w:hAnsi="Times New Roman" w:eastAsia="方正仿宋_GBK" w:cs="方正仿宋_GBK"/>
          <w:b w:val="0"/>
          <w:bCs w:val="0"/>
          <w:sz w:val="32"/>
          <w:szCs w:val="32"/>
        </w:rPr>
        <w:t>指单位结转下年的基本支出结转、项目支出结转和结余、经营结余。不包括事业单位净资产项下的事业基金和专用基金。</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（九）基本支出：</w:t>
      </w:r>
      <w:r>
        <w:rPr>
          <w:rFonts w:hint="eastAsia" w:ascii="Times New Roman" w:hAnsi="Times New Roman" w:eastAsia="方正仿宋_GBK" w:cs="方正仿宋_GBK"/>
          <w:b w:val="0"/>
          <w:bCs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（十）项目支出：</w:t>
      </w:r>
      <w:r>
        <w:rPr>
          <w:rFonts w:hint="eastAsia" w:ascii="Times New Roman" w:hAnsi="Times New Roman" w:eastAsia="方正仿宋_GBK" w:cs="方正仿宋_GBK"/>
          <w:b w:val="0"/>
          <w:bCs w:val="0"/>
          <w:sz w:val="32"/>
          <w:szCs w:val="32"/>
        </w:rPr>
        <w:t>指在基本支出之外为完成特定行政任务和事业发展目标所发生的支出。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（十一）经营支出：</w:t>
      </w:r>
      <w:r>
        <w:rPr>
          <w:rFonts w:hint="eastAsia" w:ascii="Times New Roman" w:hAnsi="Times New Roman" w:eastAsia="方正仿宋_GBK" w:cs="方正仿宋_GBK"/>
          <w:b w:val="0"/>
          <w:bCs w:val="0"/>
          <w:sz w:val="32"/>
          <w:szCs w:val="32"/>
        </w:rPr>
        <w:t>指事业单位在专业业务活动及其辅助活动之外开展非独立核算经营活动发生的支出。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（十二）“三公”经费：</w:t>
      </w:r>
      <w:r>
        <w:rPr>
          <w:rFonts w:hint="eastAsia" w:ascii="Times New Roman" w:hAnsi="Times New Roman" w:eastAsia="方正仿宋_GBK" w:cs="方正仿宋_GBK"/>
          <w:b w:val="0"/>
          <w:bCs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（十三）机关运行经费：</w:t>
      </w:r>
      <w:r>
        <w:rPr>
          <w:rFonts w:hint="eastAsia" w:ascii="Times New Roman" w:hAnsi="Times New Roman" w:eastAsia="方正仿宋_GBK" w:cs="方正仿宋_GBK"/>
          <w:b w:val="0"/>
          <w:bCs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（十四）工资福利支出（支出经济分类科目类级）：</w:t>
      </w:r>
      <w:r>
        <w:rPr>
          <w:rFonts w:hint="eastAsia" w:ascii="Times New Roman" w:hAnsi="Times New Roman" w:eastAsia="方正仿宋_GBK" w:cs="方正仿宋_GBK"/>
          <w:b w:val="0"/>
          <w:bCs w:val="0"/>
          <w:sz w:val="32"/>
          <w:szCs w:val="32"/>
        </w:rPr>
        <w:t>反映单位开支的在职职工和编制外长期聘用人员的各类劳动报酬，以及为上述人员缴纳的各项社会保险费等。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（十五）商品和服务支出（支出经济分类科目类级）：</w:t>
      </w:r>
      <w:r>
        <w:rPr>
          <w:rFonts w:hint="eastAsia" w:ascii="Times New Roman" w:hAnsi="Times New Roman" w:eastAsia="方正仿宋_GBK" w:cs="方正仿宋_GBK"/>
          <w:b w:val="0"/>
          <w:bCs w:val="0"/>
          <w:sz w:val="32"/>
          <w:szCs w:val="32"/>
        </w:rPr>
        <w:t>反映单位购买商品和服务的支出（不包括用于购置固定资产的支出、战略性和应急储备支出）。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（十六）对个人和家庭的补助（支出经济分类科目类级）：</w:t>
      </w:r>
      <w:r>
        <w:rPr>
          <w:rFonts w:hint="eastAsia" w:ascii="Times New Roman" w:hAnsi="Times New Roman" w:eastAsia="方正仿宋_GBK" w:cs="方正仿宋_GBK"/>
          <w:b w:val="0"/>
          <w:bCs w:val="0"/>
          <w:sz w:val="32"/>
          <w:szCs w:val="32"/>
        </w:rPr>
        <w:t>反映用于对个人和家庭的补助支出。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（十七）其他资本性支出（支出经济分类科目类级）</w:t>
      </w:r>
      <w:r>
        <w:rPr>
          <w:rFonts w:hint="eastAsia" w:ascii="方正楷体_GBK" w:hAnsi="方正楷体_GBK" w:eastAsia="方正楷体_GBK" w:cs="方正楷体_GBK"/>
          <w:b w:val="0"/>
          <w:bCs w:val="0"/>
          <w:sz w:val="32"/>
          <w:szCs w:val="32"/>
        </w:rPr>
        <w:t>：</w:t>
      </w:r>
      <w:r>
        <w:rPr>
          <w:rFonts w:hint="eastAsia" w:ascii="Times New Roman" w:hAnsi="Times New Roman" w:eastAsia="方正仿宋_GBK" w:cs="方正仿宋_GBK"/>
          <w:b w:val="0"/>
          <w:bCs w:val="0"/>
          <w:sz w:val="32"/>
          <w:szCs w:val="32"/>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7"/>
          <w:rFonts w:hint="eastAsia" w:ascii="方正黑体_GBK" w:hAnsi="方正黑体_GBK" w:eastAsia="方正黑体_GBK" w:cs="方正黑体_GBK"/>
          <w:b w:val="0"/>
          <w:bCs w:val="0"/>
          <w:sz w:val="32"/>
          <w:szCs w:val="32"/>
        </w:rPr>
      </w:pPr>
      <w:r>
        <w:rPr>
          <w:rFonts w:hint="eastAsia" w:ascii="Times New Roman" w:hAnsi="Times New Roman" w:eastAsia="方正仿宋_GBK" w:cs="方正仿宋_GBK"/>
          <w:b w:val="0"/>
          <w:bCs w:val="0"/>
          <w:sz w:val="32"/>
          <w:szCs w:val="32"/>
        </w:rPr>
        <w:t xml:space="preserve">  </w:t>
      </w:r>
      <w:r>
        <w:rPr>
          <w:rStyle w:val="7"/>
          <w:rFonts w:hint="eastAsia" w:ascii="方正黑体_GBK" w:hAnsi="方正黑体_GBK" w:eastAsia="方正黑体_GBK" w:cs="方正黑体_GBK"/>
          <w:b w:val="0"/>
          <w:bCs w:val="0"/>
          <w:sz w:val="32"/>
          <w:szCs w:val="32"/>
        </w:rPr>
        <w:t>七、决算公开联系方式及信息反馈渠道</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sz w:val="32"/>
          <w:szCs w:val="32"/>
        </w:rPr>
        <w:t> </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rPr>
        <w:t>本单位决算公开信息反馈和联系方式：</w:t>
      </w:r>
      <w:r>
        <w:rPr>
          <w:rFonts w:hint="eastAsia" w:ascii="Times New Roman" w:hAnsi="Times New Roman" w:eastAsia="方正仿宋_GBK" w:cs="方正仿宋_GBK"/>
          <w:b w:val="0"/>
          <w:bCs w:val="0"/>
          <w:color w:val="FF0000"/>
          <w:sz w:val="32"/>
          <w:szCs w:val="32"/>
          <w:lang w:val="en-US" w:eastAsia="zh-CN"/>
        </w:rPr>
        <w:t xml:space="preserve"> </w:t>
      </w:r>
      <w:r>
        <w:rPr>
          <w:rFonts w:hint="eastAsia" w:ascii="Times New Roman" w:hAnsi="Times New Roman" w:eastAsia="方正仿宋_GBK" w:cs="方正仿宋_GBK"/>
          <w:b w:val="0"/>
          <w:bCs w:val="0"/>
          <w:color w:val="auto"/>
          <w:sz w:val="32"/>
          <w:szCs w:val="32"/>
          <w:lang w:eastAsia="zh-CN"/>
        </w:rPr>
        <w:t>联系人：郑伟，联系电话：</w:t>
      </w:r>
      <w:r>
        <w:rPr>
          <w:rFonts w:hint="eastAsia" w:ascii="Times New Roman" w:hAnsi="Times New Roman" w:eastAsia="方正仿宋_GBK" w:cs="方正仿宋_GBK"/>
          <w:b w:val="0"/>
          <w:bCs w:val="0"/>
          <w:color w:val="auto"/>
          <w:sz w:val="32"/>
          <w:szCs w:val="32"/>
          <w:lang w:val="en-US" w:eastAsia="zh-CN"/>
        </w:rPr>
        <w:t>85265041。</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shd w:val="clear" w:color="auto" w:fill="FFFF00"/>
        </w:rPr>
        <w:sectPr>
          <w:footerReference r:id="rId3" w:type="default"/>
          <w:footerReference r:id="rId4" w:type="even"/>
          <w:pgSz w:w="16840" w:h="11907" w:orient="landscape"/>
          <w:pgMar w:top="1531" w:right="2098" w:bottom="1531" w:left="1984" w:header="851" w:footer="1474" w:gutter="0"/>
          <w:cols w:space="0" w:num="1"/>
          <w:rtlGutter w:val="0"/>
          <w:docGrid w:type="lines" w:linePitch="327" w:charSpace="0"/>
        </w:sectPr>
      </w:pPr>
      <w:r>
        <w:rPr>
          <w:rFonts w:hint="eastAsia"/>
          <w:color w:val="auto"/>
          <w:sz w:val="32"/>
          <w:szCs w:val="32"/>
          <w:lang w:val="en-US" w:eastAsia="zh-CN"/>
        </w:rPr>
        <w:br w:type="page"/>
      </w:r>
    </w:p>
    <w:p>
      <w:pPr>
        <w:pStyle w:val="4"/>
        <w:shd w:val="clear" w:color="auto" w:fill="FFFFFF"/>
        <w:rPr>
          <w:shd w:val="clear" w:color="auto" w:fill="FFFF00"/>
        </w:rPr>
      </w:pPr>
    </w:p>
    <w:tbl>
      <w:tblPr>
        <w:tblStyle w:val="5"/>
        <w:tblW w:w="13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77"/>
        <w:gridCol w:w="3860"/>
        <w:gridCol w:w="339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877" w:type="dxa"/>
            <w:gridSpan w:val="4"/>
            <w:tcBorders>
              <w:right w:val="single" w:color="808080" w:sz="4" w:space="0"/>
            </w:tcBorders>
            <w:shd w:val="clear" w:color="auto" w:fill="FFFFFF"/>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shd w:val="clear" w:color="auto" w:fill="FFFFFF"/>
            <w:vAlign w:val="center"/>
          </w:tcPr>
          <w:p>
            <w:pPr>
              <w:jc w:val="left"/>
              <w:rPr>
                <w:rFonts w:hint="default" w:ascii="Tahoma" w:hAnsi="Tahoma" w:eastAsia="Tahoma" w:cs="Tahoma"/>
                <w:i w:val="0"/>
                <w:color w:val="000000"/>
                <w:sz w:val="16"/>
                <w:szCs w:val="16"/>
                <w:u w:val="none"/>
              </w:rPr>
            </w:pPr>
          </w:p>
        </w:tc>
        <w:tc>
          <w:tcPr>
            <w:tcW w:w="3860" w:type="dxa"/>
            <w:shd w:val="clear" w:color="auto" w:fill="FFFFFF"/>
            <w:vAlign w:val="center"/>
          </w:tcPr>
          <w:p>
            <w:pPr>
              <w:jc w:val="left"/>
              <w:rPr>
                <w:rFonts w:hint="eastAsia" w:ascii="宋体" w:hAnsi="宋体" w:eastAsia="宋体" w:cs="宋体"/>
                <w:i w:val="0"/>
                <w:color w:val="000000"/>
                <w:sz w:val="18"/>
                <w:szCs w:val="18"/>
                <w:u w:val="none"/>
              </w:rPr>
            </w:pPr>
          </w:p>
        </w:tc>
        <w:tc>
          <w:tcPr>
            <w:tcW w:w="3390" w:type="dxa"/>
            <w:shd w:val="clear" w:color="auto" w:fill="FFFFFF"/>
            <w:vAlign w:val="center"/>
          </w:tcPr>
          <w:p>
            <w:pPr>
              <w:jc w:val="left"/>
              <w:rPr>
                <w:rFonts w:hint="eastAsia" w:ascii="宋体" w:hAnsi="宋体" w:eastAsia="宋体" w:cs="宋体"/>
                <w:i w:val="0"/>
                <w:color w:val="000000"/>
                <w:sz w:val="18"/>
                <w:szCs w:val="18"/>
                <w:u w:val="none"/>
              </w:rPr>
            </w:pPr>
          </w:p>
        </w:tc>
        <w:tc>
          <w:tcPr>
            <w:tcW w:w="2850"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7637"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公开部门：重庆市荣昌区农业委员会</w:t>
            </w:r>
          </w:p>
        </w:tc>
        <w:tc>
          <w:tcPr>
            <w:tcW w:w="33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c>
          <w:tcPr>
            <w:tcW w:w="2850"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jc w:val="center"/>
        </w:trPr>
        <w:tc>
          <w:tcPr>
            <w:tcW w:w="7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w:t>
            </w:r>
          </w:p>
        </w:tc>
        <w:tc>
          <w:tcPr>
            <w:tcW w:w="62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3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一、财政拨款收入</w:t>
            </w:r>
          </w:p>
        </w:tc>
        <w:tc>
          <w:tcPr>
            <w:tcW w:w="3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12,062.80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二、上级补助收入</w:t>
            </w:r>
          </w:p>
        </w:tc>
        <w:tc>
          <w:tcPr>
            <w:tcW w:w="3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三、事业收入</w:t>
            </w: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四、经营收入</w:t>
            </w: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五、附属单位上缴收入</w:t>
            </w: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六、其他收入</w:t>
            </w: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七、文化体育与传媒支出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28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九、医疗卫生与计划生育支出</w:t>
            </w:r>
          </w:p>
        </w:tc>
        <w:tc>
          <w:tcPr>
            <w:tcW w:w="28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28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28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28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8,496.62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十八、国土海洋气象等支出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28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二十一、其他支出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二十二、债务还本支出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二十三、债务付息支出</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386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12,062.80</w:t>
            </w: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28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386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28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386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4,924.55</w:t>
            </w: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28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jc w:val="center"/>
        </w:trPr>
        <w:tc>
          <w:tcPr>
            <w:tcW w:w="377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86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16,987.35</w:t>
            </w:r>
          </w:p>
        </w:tc>
        <w:tc>
          <w:tcPr>
            <w:tcW w:w="3390"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8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3877"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备注：本表反映部门本年度的总收支和年末结转结余等情况。   </w:t>
            </w:r>
          </w:p>
        </w:tc>
      </w:tr>
    </w:tbl>
    <w:p>
      <w:pPr>
        <w:pStyle w:val="4"/>
        <w:shd w:val="clear" w:color="auto" w:fill="FFFFFF"/>
        <w:rPr>
          <w:shd w:val="clear" w:color="auto" w:fill="FFFF00"/>
        </w:rPr>
      </w:pPr>
      <w:r>
        <w:rPr>
          <w:shd w:val="clear" w:color="auto" w:fill="FFFF00"/>
        </w:rPr>
        <w:br w:type="page"/>
      </w:r>
    </w:p>
    <w:tbl>
      <w:tblPr>
        <w:tblStyle w:val="5"/>
        <w:tblW w:w="145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2"/>
        <w:gridCol w:w="81"/>
        <w:gridCol w:w="885"/>
        <w:gridCol w:w="297"/>
        <w:gridCol w:w="443"/>
        <w:gridCol w:w="227"/>
        <w:gridCol w:w="531"/>
        <w:gridCol w:w="2880"/>
        <w:gridCol w:w="210"/>
        <w:gridCol w:w="564"/>
        <w:gridCol w:w="676"/>
        <w:gridCol w:w="591"/>
        <w:gridCol w:w="514"/>
        <w:gridCol w:w="680"/>
        <w:gridCol w:w="162"/>
        <w:gridCol w:w="262"/>
        <w:gridCol w:w="475"/>
        <w:gridCol w:w="493"/>
        <w:gridCol w:w="252"/>
        <w:gridCol w:w="433"/>
        <w:gridCol w:w="428"/>
        <w:gridCol w:w="268"/>
        <w:gridCol w:w="482"/>
        <w:gridCol w:w="245"/>
        <w:gridCol w:w="933"/>
        <w:gridCol w:w="419"/>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4547" w:type="dxa"/>
            <w:gridSpan w:val="27"/>
            <w:tcBorders>
              <w:right w:val="single" w:color="80808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jc w:val="center"/>
        </w:trPr>
        <w:tc>
          <w:tcPr>
            <w:tcW w:w="443" w:type="dxa"/>
            <w:gridSpan w:val="2"/>
            <w:shd w:val="clear" w:color="auto" w:fill="FFFFFF"/>
            <w:vAlign w:val="center"/>
          </w:tcPr>
          <w:p>
            <w:pPr>
              <w:jc w:val="left"/>
              <w:rPr>
                <w:rFonts w:hint="eastAsia" w:ascii="Tahoma" w:hAnsi="Tahoma" w:eastAsia="Tahoma" w:cs="Tahoma"/>
                <w:i w:val="0"/>
                <w:color w:val="000000"/>
                <w:sz w:val="16"/>
                <w:szCs w:val="16"/>
                <w:u w:val="none"/>
              </w:rPr>
            </w:pPr>
          </w:p>
        </w:tc>
        <w:tc>
          <w:tcPr>
            <w:tcW w:w="1182"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443" w:type="dxa"/>
            <w:shd w:val="clear" w:color="auto" w:fill="FFFFFF"/>
            <w:vAlign w:val="center"/>
          </w:tcPr>
          <w:p>
            <w:pPr>
              <w:jc w:val="left"/>
              <w:rPr>
                <w:rFonts w:hint="eastAsia" w:ascii="宋体" w:hAnsi="宋体" w:eastAsia="宋体" w:cs="宋体"/>
                <w:i w:val="0"/>
                <w:color w:val="000000"/>
                <w:sz w:val="18"/>
                <w:szCs w:val="18"/>
                <w:u w:val="none"/>
              </w:rPr>
            </w:pPr>
          </w:p>
        </w:tc>
        <w:tc>
          <w:tcPr>
            <w:tcW w:w="4412" w:type="dxa"/>
            <w:gridSpan w:val="5"/>
            <w:shd w:val="clear" w:color="auto" w:fill="FFFFFF"/>
            <w:vAlign w:val="center"/>
          </w:tcPr>
          <w:p>
            <w:pPr>
              <w:jc w:val="left"/>
              <w:rPr>
                <w:rFonts w:hint="eastAsia" w:ascii="宋体" w:hAnsi="宋体" w:eastAsia="宋体" w:cs="宋体"/>
                <w:i w:val="0"/>
                <w:color w:val="000000"/>
                <w:sz w:val="18"/>
                <w:szCs w:val="18"/>
                <w:u w:val="none"/>
              </w:rPr>
            </w:pPr>
          </w:p>
        </w:tc>
        <w:tc>
          <w:tcPr>
            <w:tcW w:w="1267"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1194" w:type="dxa"/>
            <w:gridSpan w:val="2"/>
            <w:shd w:val="clear" w:color="auto" w:fill="auto"/>
            <w:vAlign w:val="bottom"/>
          </w:tcPr>
          <w:p>
            <w:pPr>
              <w:rPr>
                <w:rFonts w:hint="eastAsia" w:ascii="Arial" w:hAnsi="Arial" w:cs="Arial"/>
                <w:i w:val="0"/>
                <w:color w:val="000000"/>
                <w:sz w:val="20"/>
                <w:szCs w:val="20"/>
                <w:u w:val="none"/>
              </w:rPr>
            </w:pPr>
          </w:p>
        </w:tc>
        <w:tc>
          <w:tcPr>
            <w:tcW w:w="899" w:type="dxa"/>
            <w:gridSpan w:val="3"/>
            <w:shd w:val="clear" w:color="auto" w:fill="FFFFFF"/>
            <w:vAlign w:val="center"/>
          </w:tcPr>
          <w:p>
            <w:pPr>
              <w:jc w:val="left"/>
              <w:rPr>
                <w:rFonts w:hint="eastAsia" w:ascii="宋体" w:hAnsi="宋体" w:eastAsia="宋体" w:cs="宋体"/>
                <w:i w:val="0"/>
                <w:color w:val="000000"/>
                <w:sz w:val="18"/>
                <w:szCs w:val="18"/>
                <w:u w:val="none"/>
              </w:rPr>
            </w:pPr>
          </w:p>
        </w:tc>
        <w:tc>
          <w:tcPr>
            <w:tcW w:w="1178" w:type="dxa"/>
            <w:gridSpan w:val="3"/>
            <w:shd w:val="clear" w:color="auto" w:fill="FFFFFF"/>
            <w:vAlign w:val="center"/>
          </w:tcPr>
          <w:p>
            <w:pPr>
              <w:jc w:val="left"/>
              <w:rPr>
                <w:rFonts w:hint="eastAsia" w:ascii="宋体" w:hAnsi="宋体" w:eastAsia="宋体" w:cs="宋体"/>
                <w:i w:val="0"/>
                <w:color w:val="000000"/>
                <w:sz w:val="18"/>
                <w:szCs w:val="18"/>
                <w:u w:val="none"/>
              </w:rPr>
            </w:pPr>
          </w:p>
        </w:tc>
        <w:tc>
          <w:tcPr>
            <w:tcW w:w="3529" w:type="dxa"/>
            <w:gridSpan w:val="7"/>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jc w:val="center"/>
        </w:trPr>
        <w:tc>
          <w:tcPr>
            <w:tcW w:w="6480" w:type="dxa"/>
            <w:gridSpan w:val="10"/>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公开部门：重庆市荣昌区农业委员会</w:t>
            </w:r>
          </w:p>
        </w:tc>
        <w:tc>
          <w:tcPr>
            <w:tcW w:w="1267" w:type="dxa"/>
            <w:gridSpan w:val="2"/>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c>
          <w:tcPr>
            <w:tcW w:w="1194" w:type="dxa"/>
            <w:gridSpan w:val="2"/>
            <w:shd w:val="clear" w:color="auto" w:fill="auto"/>
            <w:vAlign w:val="bottom"/>
          </w:tcPr>
          <w:p>
            <w:pPr>
              <w:rPr>
                <w:rFonts w:hint="default" w:ascii="Arial" w:hAnsi="Arial" w:cs="Arial"/>
                <w:i w:val="0"/>
                <w:color w:val="000000"/>
                <w:sz w:val="20"/>
                <w:szCs w:val="20"/>
                <w:u w:val="none"/>
              </w:rPr>
            </w:pPr>
          </w:p>
        </w:tc>
        <w:tc>
          <w:tcPr>
            <w:tcW w:w="899" w:type="dxa"/>
            <w:gridSpan w:val="3"/>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178" w:type="dxa"/>
            <w:gridSpan w:val="3"/>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3529" w:type="dxa"/>
            <w:gridSpan w:val="7"/>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6480" w:type="dxa"/>
            <w:gridSpan w:val="10"/>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267" w:type="dxa"/>
            <w:gridSpan w:val="2"/>
            <w:vMerge w:val="restart"/>
            <w:tcBorders>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19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财政拨款收入</w:t>
            </w:r>
          </w:p>
        </w:tc>
        <w:tc>
          <w:tcPr>
            <w:tcW w:w="899" w:type="dxa"/>
            <w:gridSpan w:val="3"/>
            <w:vMerge w:val="restart"/>
            <w:tcBorders>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1178" w:type="dxa"/>
            <w:gridSpan w:val="3"/>
            <w:vMerge w:val="restart"/>
            <w:tcBorders>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1178" w:type="dxa"/>
            <w:gridSpan w:val="3"/>
            <w:vMerge w:val="restart"/>
            <w:tcBorders>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经营收入</w:t>
            </w:r>
          </w:p>
        </w:tc>
        <w:tc>
          <w:tcPr>
            <w:tcW w:w="1178" w:type="dxa"/>
            <w:gridSpan w:val="2"/>
            <w:vMerge w:val="restart"/>
            <w:tcBorders>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1173" w:type="dxa"/>
            <w:gridSpan w:val="2"/>
            <w:vMerge w:val="restart"/>
            <w:tcBorders>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jc w:val="center"/>
        </w:trPr>
        <w:tc>
          <w:tcPr>
            <w:tcW w:w="2068" w:type="dxa"/>
            <w:gridSpan w:val="5"/>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4412" w:type="dxa"/>
            <w:gridSpan w:val="5"/>
            <w:vMerge w:val="restart"/>
            <w:tcBorders>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项目（按“项”级功能分类科目）</w:t>
            </w:r>
          </w:p>
        </w:tc>
        <w:tc>
          <w:tcPr>
            <w:tcW w:w="1267" w:type="dxa"/>
            <w:gridSpan w:val="2"/>
            <w:vMerge w:val="continue"/>
            <w:tcBorders>
              <w:bottom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000000"/>
                <w:sz w:val="20"/>
                <w:szCs w:val="20"/>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000000"/>
                <w:sz w:val="20"/>
                <w:szCs w:val="20"/>
                <w:u w:val="none"/>
              </w:rPr>
            </w:pPr>
          </w:p>
        </w:tc>
        <w:tc>
          <w:tcPr>
            <w:tcW w:w="899" w:type="dxa"/>
            <w:gridSpan w:val="3"/>
            <w:vMerge w:val="continue"/>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000000"/>
                <w:sz w:val="20"/>
                <w:szCs w:val="20"/>
                <w:u w:val="none"/>
              </w:rPr>
            </w:pPr>
          </w:p>
        </w:tc>
        <w:tc>
          <w:tcPr>
            <w:tcW w:w="1178" w:type="dxa"/>
            <w:gridSpan w:val="3"/>
            <w:vMerge w:val="continue"/>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000000"/>
                <w:sz w:val="20"/>
                <w:szCs w:val="20"/>
                <w:u w:val="none"/>
              </w:rPr>
            </w:pPr>
          </w:p>
        </w:tc>
        <w:tc>
          <w:tcPr>
            <w:tcW w:w="1178" w:type="dxa"/>
            <w:gridSpan w:val="3"/>
            <w:vMerge w:val="continue"/>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000000"/>
                <w:sz w:val="20"/>
                <w:szCs w:val="20"/>
                <w:u w:val="none"/>
              </w:rPr>
            </w:pPr>
          </w:p>
        </w:tc>
        <w:tc>
          <w:tcPr>
            <w:tcW w:w="1178" w:type="dxa"/>
            <w:gridSpan w:val="2"/>
            <w:vMerge w:val="continue"/>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000000"/>
                <w:sz w:val="20"/>
                <w:szCs w:val="20"/>
                <w:u w:val="none"/>
              </w:rPr>
            </w:pPr>
          </w:p>
        </w:tc>
        <w:tc>
          <w:tcPr>
            <w:tcW w:w="1173" w:type="dxa"/>
            <w:gridSpan w:val="2"/>
            <w:vMerge w:val="continue"/>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2068" w:type="dxa"/>
            <w:gridSpan w:val="5"/>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412" w:type="dxa"/>
            <w:gridSpan w:val="5"/>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bottom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99"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78"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78"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78"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73"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068" w:type="dxa"/>
            <w:gridSpan w:val="5"/>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412" w:type="dxa"/>
            <w:gridSpan w:val="5"/>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bottom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99"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78"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78"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78"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73"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6480" w:type="dxa"/>
            <w:gridSpan w:val="10"/>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12,062.80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12,062.80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2011308</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招商引资</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500.94</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500.94</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169.87</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169.87</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73.29</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73.29</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244.89</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244.89</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医疗卫生与计划生育支出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136.23</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136.23</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85.77</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85.77</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25.84</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25.84</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24.62</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24.62</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其他城乡社区公共设施支出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农林水支出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10,640.67</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10,640.67</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2130101</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2,138.55</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2,138.55</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2130102</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2130104</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546.20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546.20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2130106</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科技转化与推广服务</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128.50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128.50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2130108</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病虫害控制</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2130109</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农产品质量安全</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218.23</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218.23</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2130122</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农业生产支持补贴</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2130124</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农业组织化与产业化经营</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1,737.24</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1,737.24</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2130125</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农产品加工与促销</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34.26</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34.26</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2130135</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农业资源保护修复与利用</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2130148</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成品油价格改革对渔业的补贴</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36.96</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36.96</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2130199</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其他农业支出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165.80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165.80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2130505</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生产发展</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2130506</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社会发展</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793.16</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793.16</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2130599</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其他扶贫支出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98.43</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98.43</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2130602</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土地治理</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2,750.00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2,750.00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2130603</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产业化发展</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2130701</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对村级一事一议的补助</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740.00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740.00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2130803</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农业保险保费补贴</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689.80</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689.80</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068"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4412"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267"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164.96</w:t>
            </w:r>
          </w:p>
        </w:tc>
        <w:tc>
          <w:tcPr>
            <w:tcW w:w="1194"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164.96</w:t>
            </w:r>
          </w:p>
        </w:tc>
        <w:tc>
          <w:tcPr>
            <w:tcW w:w="89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73"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4547" w:type="dxa"/>
            <w:gridSpan w:val="27"/>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3"/>
          <w:wAfter w:w="2106" w:type="dxa"/>
          <w:trHeight w:val="690" w:hRule="atLeast"/>
          <w:jc w:val="center"/>
        </w:trPr>
        <w:tc>
          <w:tcPr>
            <w:tcW w:w="12441" w:type="dxa"/>
            <w:gridSpan w:val="24"/>
            <w:tcBorders>
              <w:right w:val="single" w:color="80808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362" w:type="dxa"/>
            <w:shd w:val="clear" w:color="auto" w:fill="FFFFFF"/>
            <w:vAlign w:val="center"/>
          </w:tcPr>
          <w:p>
            <w:pPr>
              <w:jc w:val="left"/>
              <w:rPr>
                <w:rFonts w:hint="eastAsia" w:ascii="Tahoma" w:hAnsi="Tahoma" w:eastAsia="Tahoma" w:cs="Tahoma"/>
                <w:i w:val="0"/>
                <w:color w:val="000000"/>
                <w:sz w:val="16"/>
                <w:szCs w:val="16"/>
                <w:u w:val="none"/>
              </w:rPr>
            </w:pPr>
          </w:p>
        </w:tc>
        <w:tc>
          <w:tcPr>
            <w:tcW w:w="966"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967" w:type="dxa"/>
            <w:gridSpan w:val="3"/>
            <w:shd w:val="clear" w:color="auto" w:fill="FFFFFF"/>
            <w:vAlign w:val="center"/>
          </w:tcPr>
          <w:p>
            <w:pPr>
              <w:jc w:val="left"/>
              <w:rPr>
                <w:rFonts w:hint="eastAsia" w:ascii="宋体" w:hAnsi="宋体" w:eastAsia="宋体" w:cs="宋体"/>
                <w:i w:val="0"/>
                <w:color w:val="000000"/>
                <w:sz w:val="18"/>
                <w:szCs w:val="18"/>
                <w:u w:val="none"/>
              </w:rPr>
            </w:pPr>
          </w:p>
        </w:tc>
        <w:tc>
          <w:tcPr>
            <w:tcW w:w="3621" w:type="dxa"/>
            <w:gridSpan w:val="3"/>
            <w:shd w:val="clear" w:color="auto" w:fill="FFFFFF"/>
            <w:vAlign w:val="center"/>
          </w:tcPr>
          <w:p>
            <w:pPr>
              <w:jc w:val="left"/>
              <w:rPr>
                <w:rFonts w:hint="eastAsia" w:ascii="宋体" w:hAnsi="宋体" w:eastAsia="宋体" w:cs="宋体"/>
                <w:i w:val="0"/>
                <w:color w:val="000000"/>
                <w:sz w:val="18"/>
                <w:szCs w:val="18"/>
                <w:u w:val="none"/>
              </w:rPr>
            </w:pPr>
          </w:p>
        </w:tc>
        <w:tc>
          <w:tcPr>
            <w:tcW w:w="1240"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1105"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1104" w:type="dxa"/>
            <w:gridSpan w:val="3"/>
            <w:shd w:val="clear" w:color="auto" w:fill="FFFFFF"/>
            <w:vAlign w:val="center"/>
          </w:tcPr>
          <w:p>
            <w:pPr>
              <w:jc w:val="left"/>
              <w:rPr>
                <w:rFonts w:hint="eastAsia" w:ascii="宋体" w:hAnsi="宋体" w:eastAsia="宋体" w:cs="宋体"/>
                <w:i w:val="0"/>
                <w:color w:val="000000"/>
                <w:sz w:val="18"/>
                <w:szCs w:val="18"/>
                <w:u w:val="none"/>
              </w:rPr>
            </w:pPr>
          </w:p>
        </w:tc>
        <w:tc>
          <w:tcPr>
            <w:tcW w:w="968"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2108" w:type="dxa"/>
            <w:gridSpan w:val="6"/>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5916" w:type="dxa"/>
            <w:gridSpan w:val="9"/>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公开部门：重庆市荣昌区农业委员会</w:t>
            </w:r>
          </w:p>
        </w:tc>
        <w:tc>
          <w:tcPr>
            <w:tcW w:w="1240" w:type="dxa"/>
            <w:gridSpan w:val="2"/>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c>
          <w:tcPr>
            <w:tcW w:w="1105" w:type="dxa"/>
            <w:gridSpan w:val="2"/>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104" w:type="dxa"/>
            <w:gridSpan w:val="3"/>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968" w:type="dxa"/>
            <w:gridSpan w:val="2"/>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2108" w:type="dxa"/>
            <w:gridSpan w:val="6"/>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5916" w:type="dxa"/>
            <w:gridSpan w:val="9"/>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240" w:type="dxa"/>
            <w:gridSpan w:val="2"/>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105" w:type="dxa"/>
            <w:gridSpan w:val="2"/>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104" w:type="dxa"/>
            <w:gridSpan w:val="3"/>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968" w:type="dxa"/>
            <w:gridSpan w:val="2"/>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1113" w:type="dxa"/>
            <w:gridSpan w:val="3"/>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经营支出</w:t>
            </w:r>
          </w:p>
        </w:tc>
        <w:tc>
          <w:tcPr>
            <w:tcW w:w="995" w:type="dxa"/>
            <w:gridSpan w:val="3"/>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00" w:hRule="atLeast"/>
          <w:jc w:val="center"/>
        </w:trPr>
        <w:tc>
          <w:tcPr>
            <w:tcW w:w="2295" w:type="dxa"/>
            <w:gridSpan w:val="6"/>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3621" w:type="dxa"/>
            <w:gridSpan w:val="3"/>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项目（按“项”级功能分类科目）</w:t>
            </w:r>
          </w:p>
        </w:tc>
        <w:tc>
          <w:tcPr>
            <w:tcW w:w="1240"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05"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04"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68"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13"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95"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00" w:hRule="atLeast"/>
          <w:jc w:val="center"/>
        </w:trPr>
        <w:tc>
          <w:tcPr>
            <w:tcW w:w="2295" w:type="dxa"/>
            <w:gridSpan w:val="6"/>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621"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40"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05"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04"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68"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13"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95"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00" w:hRule="atLeast"/>
          <w:jc w:val="center"/>
        </w:trPr>
        <w:tc>
          <w:tcPr>
            <w:tcW w:w="2295" w:type="dxa"/>
            <w:gridSpan w:val="6"/>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621"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40"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05"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04"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68"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13"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95"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5916" w:type="dxa"/>
            <w:gridSpan w:val="9"/>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10,140.74</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3,486.89</w:t>
            </w: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6,653.86</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20113</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商贸事务</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2011308</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招商引资</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500.94</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500.94</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行政事业单位离退休</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500.94</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500.94</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169.87</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169.87</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73.29</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73.29</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244.89</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244.89</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医疗卫生与计划生育支出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136.23</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136.23</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2106"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136.23</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136.23</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95"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85.77</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85.77</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25.84</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25.84</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24.62</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24.62</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21106</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退耕还林</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2110699</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其他退耕还林支出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4"/>
                <w:szCs w:val="14"/>
                <w:u w:val="none"/>
              </w:rPr>
            </w:pPr>
            <w:r>
              <w:rPr>
                <w:rFonts w:hint="eastAsia" w:ascii="宋体" w:hAnsi="宋体" w:eastAsia="宋体" w:cs="宋体"/>
                <w:b/>
                <w:i w:val="0"/>
                <w:color w:val="000000"/>
                <w:kern w:val="0"/>
                <w:sz w:val="14"/>
                <w:szCs w:val="14"/>
                <w:u w:val="none"/>
                <w:lang w:val="en-US" w:eastAsia="zh-CN" w:bidi="ar"/>
              </w:rPr>
              <w:t>城乡社区支出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793.52</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793.52</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21203</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城乡社区公共设施</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其他城乡社区公共设施支出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21211</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4"/>
                <w:szCs w:val="14"/>
                <w:u w:val="none"/>
              </w:rPr>
            </w:pPr>
            <w:r>
              <w:rPr>
                <w:rFonts w:hint="eastAsia" w:ascii="宋体" w:hAnsi="宋体" w:eastAsia="宋体" w:cs="宋体"/>
                <w:b/>
                <w:i w:val="0"/>
                <w:color w:val="000000"/>
                <w:kern w:val="0"/>
                <w:sz w:val="14"/>
                <w:szCs w:val="14"/>
                <w:u w:val="none"/>
                <w:lang w:val="en-US" w:eastAsia="zh-CN" w:bidi="ar"/>
              </w:rPr>
              <w:t>农业土地开发资金及对应专项债务收入安排的支出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193.52</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193.52</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2121100</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农业土地开发资金及对应专项债务收入安排的支出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农林水支出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8,496.63</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2,684.75</w:t>
            </w: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5,811.88</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5,293.87</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2,684.75</w:t>
            </w: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2,609.12</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2130101</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2,138.55</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2,138.55</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2130102</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2130104</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546.20</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546.20</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2130106</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科技转化与推广服务</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542.68</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542.68</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2130108</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病虫害控制</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2130109</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农产品质量安全</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85.71</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85.71</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2130111</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统计监测与信息服务</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2130112</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农业行业业务管理</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56.45</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56.45</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2130119</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防灾救灾</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2130122</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农业生产支持补贴</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2130124</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农业组织化与产业化经营</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1,411.46</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1,411.46</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2130125</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农产品加工与促销</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34.26</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34.26</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2130135</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农业资源保护修复与利用</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2130148</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成品油价格改革对渔业的补贴</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45.75</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45.75</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2130199</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其他农业支出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331.03</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331.03</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21305</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扶贫</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2,071.59</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2,071.59</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2130505</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生产发展</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2130506</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社会发展</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793.16</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793.16</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2130507</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扶贫贷款奖补和贴息</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2130599</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其他扶贫支出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98.43</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98.43</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21306</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农业综合开发</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729.67</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729.67</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2130602</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土地治理</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591.67</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591.67</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2130603</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产业化发展</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138.00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138.00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21308</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普惠金融发展支出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401.50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401.50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2130803</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农业保险保费补贴</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401.50</w:t>
            </w:r>
          </w:p>
        </w:tc>
        <w:tc>
          <w:tcPr>
            <w:tcW w:w="1105"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04"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401.50</w:t>
            </w: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295"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62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240"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164.96</w:t>
            </w:r>
          </w:p>
        </w:tc>
        <w:tc>
          <w:tcPr>
            <w:tcW w:w="1105"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164.96</w:t>
            </w:r>
          </w:p>
        </w:tc>
        <w:tc>
          <w:tcPr>
            <w:tcW w:w="1104"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68"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13"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7" w:type="dxa"/>
            <w:gridSpan w:val="5"/>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13793" w:type="dxa"/>
            <w:gridSpan w:val="26"/>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754" w:type="dxa"/>
          <w:trHeight w:val="690" w:hRule="atLeast"/>
          <w:jc w:val="center"/>
        </w:trPr>
        <w:tc>
          <w:tcPr>
            <w:tcW w:w="13793" w:type="dxa"/>
            <w:gridSpan w:val="26"/>
            <w:tcBorders>
              <w:right w:val="single" w:color="80808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shd w:val="clear" w:color="auto" w:fill="FFFFFF"/>
            <w:vAlign w:val="center"/>
          </w:tcPr>
          <w:p>
            <w:pPr>
              <w:jc w:val="left"/>
              <w:rPr>
                <w:rFonts w:hint="eastAsia" w:ascii="Tahoma" w:hAnsi="Tahoma" w:eastAsia="Tahoma" w:cs="Tahoma"/>
                <w:i w:val="0"/>
                <w:color w:val="000000"/>
                <w:sz w:val="16"/>
                <w:szCs w:val="16"/>
                <w:u w:val="none"/>
              </w:rPr>
            </w:pPr>
          </w:p>
        </w:tc>
        <w:tc>
          <w:tcPr>
            <w:tcW w:w="2880" w:type="dxa"/>
            <w:shd w:val="clear" w:color="auto" w:fill="FFFFFF"/>
            <w:vAlign w:val="center"/>
          </w:tcPr>
          <w:p>
            <w:pPr>
              <w:jc w:val="left"/>
              <w:rPr>
                <w:rFonts w:hint="eastAsia" w:ascii="宋体" w:hAnsi="宋体" w:eastAsia="宋体" w:cs="宋体"/>
                <w:i w:val="0"/>
                <w:color w:val="000000"/>
                <w:sz w:val="18"/>
                <w:szCs w:val="18"/>
                <w:u w:val="none"/>
              </w:rPr>
            </w:pPr>
          </w:p>
        </w:tc>
        <w:tc>
          <w:tcPr>
            <w:tcW w:w="3397" w:type="dxa"/>
            <w:gridSpan w:val="7"/>
            <w:shd w:val="clear" w:color="auto" w:fill="FFFFFF"/>
            <w:vAlign w:val="center"/>
          </w:tcPr>
          <w:p>
            <w:pPr>
              <w:jc w:val="left"/>
              <w:rPr>
                <w:rFonts w:hint="eastAsia" w:ascii="宋体" w:hAnsi="宋体" w:eastAsia="宋体" w:cs="宋体"/>
                <w:i w:val="0"/>
                <w:color w:val="000000"/>
                <w:sz w:val="18"/>
                <w:szCs w:val="18"/>
                <w:u w:val="none"/>
              </w:rPr>
            </w:pPr>
          </w:p>
        </w:tc>
        <w:tc>
          <w:tcPr>
            <w:tcW w:w="1482" w:type="dxa"/>
            <w:gridSpan w:val="4"/>
            <w:shd w:val="clear" w:color="auto" w:fill="FFFFFF"/>
            <w:vAlign w:val="center"/>
          </w:tcPr>
          <w:p>
            <w:pPr>
              <w:jc w:val="left"/>
              <w:rPr>
                <w:rFonts w:hint="eastAsia" w:ascii="宋体" w:hAnsi="宋体" w:eastAsia="宋体" w:cs="宋体"/>
                <w:i w:val="0"/>
                <w:color w:val="000000"/>
                <w:sz w:val="18"/>
                <w:szCs w:val="18"/>
                <w:u w:val="none"/>
              </w:rPr>
            </w:pPr>
          </w:p>
        </w:tc>
        <w:tc>
          <w:tcPr>
            <w:tcW w:w="3208" w:type="dxa"/>
            <w:gridSpan w:val="7"/>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5706" w:type="dxa"/>
            <w:gridSpan w:val="8"/>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公开部门：重庆市荣昌区农业委员会</w:t>
            </w:r>
          </w:p>
        </w:tc>
        <w:tc>
          <w:tcPr>
            <w:tcW w:w="3397" w:type="dxa"/>
            <w:gridSpan w:val="7"/>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c>
          <w:tcPr>
            <w:tcW w:w="1482" w:type="dxa"/>
            <w:gridSpan w:val="4"/>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3208" w:type="dxa"/>
            <w:gridSpan w:val="7"/>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5706" w:type="dxa"/>
            <w:gridSpan w:val="8"/>
            <w:tcBorders>
              <w:left w:val="single" w:color="000000" w:sz="1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8087" w:type="dxa"/>
            <w:gridSpan w:val="18"/>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45" w:hRule="atLeast"/>
          <w:jc w:val="center"/>
        </w:trPr>
        <w:tc>
          <w:tcPr>
            <w:tcW w:w="2826" w:type="dxa"/>
            <w:gridSpan w:val="7"/>
            <w:vMerge w:val="restart"/>
            <w:tcBorders>
              <w:left w:val="single" w:color="000000" w:sz="1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2880"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3397" w:type="dxa"/>
            <w:gridSpan w:val="7"/>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4690" w:type="dxa"/>
            <w:gridSpan w:val="11"/>
            <w:tcBorders>
              <w:bottom w:val="single" w:color="000000" w:sz="4" w:space="0"/>
              <w:right w:val="single" w:color="000000" w:sz="1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750" w:hRule="atLeast"/>
          <w:jc w:val="center"/>
        </w:trPr>
        <w:tc>
          <w:tcPr>
            <w:tcW w:w="2826" w:type="dxa"/>
            <w:gridSpan w:val="7"/>
            <w:vMerge w:val="continue"/>
            <w:tcBorders>
              <w:left w:val="single" w:color="000000" w:sz="18"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880"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397" w:type="dxa"/>
            <w:gridSpan w:val="7"/>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482"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29"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w:t>
            </w:r>
          </w:p>
        </w:tc>
        <w:tc>
          <w:tcPr>
            <w:tcW w:w="2079" w:type="dxa"/>
            <w:gridSpan w:val="4"/>
            <w:tcBorders>
              <w:bottom w:val="single" w:color="000000" w:sz="4" w:space="0"/>
              <w:right w:val="single" w:color="000000" w:sz="1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28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12,062.80</w:t>
            </w: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482"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129"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七、文化体育与传媒支出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482"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500.95</w:t>
            </w:r>
          </w:p>
        </w:tc>
        <w:tc>
          <w:tcPr>
            <w:tcW w:w="1129"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500.95</w:t>
            </w: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九、医疗卫生与计划生育支出</w:t>
            </w:r>
          </w:p>
        </w:tc>
        <w:tc>
          <w:tcPr>
            <w:tcW w:w="1482"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136.24</w:t>
            </w:r>
          </w:p>
        </w:tc>
        <w:tc>
          <w:tcPr>
            <w:tcW w:w="1129"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136.24</w:t>
            </w: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482"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w:t>
            </w:r>
          </w:p>
        </w:tc>
        <w:tc>
          <w:tcPr>
            <w:tcW w:w="1129"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w:t>
            </w: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482"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793.52</w:t>
            </w:r>
          </w:p>
        </w:tc>
        <w:tc>
          <w:tcPr>
            <w:tcW w:w="1129"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c>
          <w:tcPr>
            <w:tcW w:w="2079" w:type="dxa"/>
            <w:gridSpan w:val="4"/>
            <w:tcBorders>
              <w:bottom w:val="single" w:color="000000" w:sz="4" w:space="0"/>
              <w:right w:val="single" w:color="000000" w:sz="1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482"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8,496.62</w:t>
            </w:r>
          </w:p>
        </w:tc>
        <w:tc>
          <w:tcPr>
            <w:tcW w:w="1129"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8,496.62</w:t>
            </w: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十八、国土海洋气象等支出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482"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164.96</w:t>
            </w:r>
          </w:p>
        </w:tc>
        <w:tc>
          <w:tcPr>
            <w:tcW w:w="1129"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164.96</w:t>
            </w: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二十一、其他支出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二十二、债务还本支出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8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二十三、债务付息支出</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1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28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12,062.80</w:t>
            </w: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482"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10,140.74</w:t>
            </w:r>
          </w:p>
        </w:tc>
        <w:tc>
          <w:tcPr>
            <w:tcW w:w="1129"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9,947.22</w:t>
            </w:r>
          </w:p>
        </w:tc>
        <w:tc>
          <w:tcPr>
            <w:tcW w:w="2079" w:type="dxa"/>
            <w:gridSpan w:val="4"/>
            <w:tcBorders>
              <w:bottom w:val="single" w:color="000000" w:sz="4" w:space="0"/>
              <w:right w:val="single" w:color="000000" w:sz="1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28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4,924.55</w:t>
            </w: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482"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6,846.61</w:t>
            </w:r>
          </w:p>
        </w:tc>
        <w:tc>
          <w:tcPr>
            <w:tcW w:w="1129"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6,846.61</w:t>
            </w: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28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4,731.03</w:t>
            </w: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基本支出结转</w:t>
            </w:r>
          </w:p>
        </w:tc>
        <w:tc>
          <w:tcPr>
            <w:tcW w:w="1482" w:type="dxa"/>
            <w:gridSpan w:val="4"/>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129" w:type="dxa"/>
            <w:gridSpan w:val="3"/>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28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c>
          <w:tcPr>
            <w:tcW w:w="3397" w:type="dxa"/>
            <w:gridSpan w:val="7"/>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项目支出结转和结余</w:t>
            </w:r>
          </w:p>
        </w:tc>
        <w:tc>
          <w:tcPr>
            <w:tcW w:w="1482"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6,846.61</w:t>
            </w:r>
          </w:p>
        </w:tc>
        <w:tc>
          <w:tcPr>
            <w:tcW w:w="1129"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6,846.61</w:t>
            </w:r>
          </w:p>
        </w:tc>
        <w:tc>
          <w:tcPr>
            <w:tcW w:w="2079" w:type="dxa"/>
            <w:gridSpan w:val="4"/>
            <w:tcBorders>
              <w:bottom w:val="single" w:color="000000" w:sz="4" w:space="0"/>
              <w:right w:val="single" w:color="000000" w:sz="18"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2826" w:type="dxa"/>
            <w:gridSpan w:val="7"/>
            <w:tcBorders>
              <w:left w:val="single" w:color="000000" w:sz="18" w:space="0"/>
              <w:bottom w:val="single" w:color="000000" w:sz="1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880" w:type="dxa"/>
            <w:tcBorders>
              <w:bottom w:val="single" w:color="000000" w:sz="18"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16,987.35</w:t>
            </w:r>
          </w:p>
        </w:tc>
        <w:tc>
          <w:tcPr>
            <w:tcW w:w="3397" w:type="dxa"/>
            <w:gridSpan w:val="7"/>
            <w:tcBorders>
              <w:bottom w:val="single" w:color="000000" w:sz="1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82" w:type="dxa"/>
            <w:gridSpan w:val="4"/>
            <w:tcBorders>
              <w:bottom w:val="single" w:color="000000" w:sz="18"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16,987.35</w:t>
            </w:r>
          </w:p>
        </w:tc>
        <w:tc>
          <w:tcPr>
            <w:tcW w:w="1129" w:type="dxa"/>
            <w:gridSpan w:val="3"/>
            <w:tcBorders>
              <w:bottom w:val="single" w:color="000000" w:sz="18"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16,793.83</w:t>
            </w:r>
          </w:p>
        </w:tc>
        <w:tc>
          <w:tcPr>
            <w:tcW w:w="2079" w:type="dxa"/>
            <w:gridSpan w:val="4"/>
            <w:tcBorders>
              <w:bottom w:val="single" w:color="000000" w:sz="18" w:space="0"/>
              <w:right w:val="single" w:color="000000" w:sz="1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754" w:type="dxa"/>
          <w:trHeight w:val="375" w:hRule="atLeast"/>
          <w:jc w:val="center"/>
        </w:trPr>
        <w:tc>
          <w:tcPr>
            <w:tcW w:w="13793" w:type="dxa"/>
            <w:gridSpan w:val="26"/>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备注：本表反映部门本年度一般公共预算财政拨款和政府性基金预算财政拨款的总收支和年末结转结余情况。</w:t>
            </w:r>
          </w:p>
        </w:tc>
      </w:tr>
    </w:tbl>
    <w:p>
      <w:pPr>
        <w:keepNext w:val="0"/>
        <w:keepLines w:val="0"/>
        <w:widowControl/>
        <w:suppressLineNumbers w:val="0"/>
        <w:jc w:val="center"/>
        <w:textAlignment w:val="center"/>
        <w:rPr>
          <w:rFonts w:hint="eastAsia" w:ascii="黑体" w:hAnsi="宋体" w:eastAsia="黑体" w:cs="黑体"/>
          <w:i w:val="0"/>
          <w:color w:val="000000"/>
          <w:kern w:val="0"/>
          <w:sz w:val="44"/>
          <w:szCs w:val="44"/>
          <w:u w:val="none"/>
          <w:lang w:val="en-US" w:eastAsia="zh-CN" w:bidi="ar"/>
        </w:rPr>
      </w:pPr>
      <w:r>
        <w:rPr>
          <w:rFonts w:hint="eastAsia" w:ascii="黑体" w:hAnsi="宋体" w:eastAsia="黑体" w:cs="黑体"/>
          <w:i w:val="0"/>
          <w:color w:val="000000"/>
          <w:kern w:val="0"/>
          <w:sz w:val="44"/>
          <w:szCs w:val="44"/>
          <w:u w:val="none"/>
          <w:lang w:val="en-US" w:eastAsia="zh-CN" w:bidi="ar"/>
        </w:rPr>
        <w:br w:type="page"/>
      </w:r>
    </w:p>
    <w:tbl>
      <w:tblPr>
        <w:tblStyle w:val="5"/>
        <w:tblW w:w="137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0"/>
        <w:gridCol w:w="1200"/>
        <w:gridCol w:w="1200"/>
        <w:gridCol w:w="3600"/>
        <w:gridCol w:w="2402"/>
        <w:gridCol w:w="1200"/>
        <w:gridCol w:w="3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13793" w:type="dxa"/>
            <w:gridSpan w:val="7"/>
            <w:vMerge w:val="restart"/>
            <w:tcBorders>
              <w:right w:val="single" w:color="80808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793" w:type="dxa"/>
            <w:gridSpan w:val="7"/>
            <w:vMerge w:val="continue"/>
            <w:tcBorders>
              <w:right w:val="single" w:color="808080" w:sz="4" w:space="0"/>
            </w:tcBorders>
            <w:shd w:val="clear" w:color="auto" w:fill="FFFFFF"/>
            <w:vAlign w:val="center"/>
          </w:tcPr>
          <w:p>
            <w:pPr>
              <w:jc w:val="center"/>
              <w:rPr>
                <w:rFonts w:hint="eastAsia" w:ascii="黑体" w:hAnsi="宋体" w:eastAsia="黑体" w:cs="黑体"/>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50" w:type="dxa"/>
            <w:shd w:val="clear" w:color="auto" w:fill="FFFFFF"/>
            <w:vAlign w:val="center"/>
          </w:tcPr>
          <w:p>
            <w:pPr>
              <w:jc w:val="left"/>
              <w:rPr>
                <w:rFonts w:hint="eastAsia" w:ascii="Tahoma" w:hAnsi="Tahoma" w:eastAsia="Tahoma" w:cs="Tahoma"/>
                <w:i w:val="0"/>
                <w:color w:val="000000"/>
                <w:sz w:val="16"/>
                <w:szCs w:val="16"/>
                <w:u w:val="none"/>
              </w:rPr>
            </w:pPr>
          </w:p>
        </w:tc>
        <w:tc>
          <w:tcPr>
            <w:tcW w:w="1200" w:type="dxa"/>
            <w:shd w:val="clear" w:color="auto" w:fill="FFFFFF"/>
            <w:vAlign w:val="center"/>
          </w:tcPr>
          <w:p>
            <w:pPr>
              <w:jc w:val="left"/>
              <w:rPr>
                <w:rFonts w:hint="eastAsia" w:ascii="宋体" w:hAnsi="宋体" w:eastAsia="宋体" w:cs="宋体"/>
                <w:i w:val="0"/>
                <w:color w:val="000000"/>
                <w:sz w:val="18"/>
                <w:szCs w:val="18"/>
                <w:u w:val="none"/>
              </w:rPr>
            </w:pPr>
          </w:p>
        </w:tc>
        <w:tc>
          <w:tcPr>
            <w:tcW w:w="1200" w:type="dxa"/>
            <w:shd w:val="clear" w:color="auto" w:fill="FFFFFF"/>
            <w:vAlign w:val="center"/>
          </w:tcPr>
          <w:p>
            <w:pPr>
              <w:jc w:val="left"/>
              <w:rPr>
                <w:rFonts w:hint="eastAsia" w:ascii="宋体" w:hAnsi="宋体" w:eastAsia="宋体" w:cs="宋体"/>
                <w:i w:val="0"/>
                <w:color w:val="000000"/>
                <w:sz w:val="18"/>
                <w:szCs w:val="18"/>
                <w:u w:val="none"/>
              </w:rPr>
            </w:pPr>
          </w:p>
        </w:tc>
        <w:tc>
          <w:tcPr>
            <w:tcW w:w="3600" w:type="dxa"/>
            <w:shd w:val="clear" w:color="auto" w:fill="FFFFFF"/>
            <w:vAlign w:val="center"/>
          </w:tcPr>
          <w:p>
            <w:pPr>
              <w:jc w:val="left"/>
              <w:rPr>
                <w:rFonts w:hint="eastAsia" w:ascii="宋体" w:hAnsi="宋体" w:eastAsia="宋体" w:cs="宋体"/>
                <w:i w:val="0"/>
                <w:color w:val="000000"/>
                <w:sz w:val="18"/>
                <w:szCs w:val="18"/>
                <w:u w:val="none"/>
              </w:rPr>
            </w:pPr>
          </w:p>
        </w:tc>
        <w:tc>
          <w:tcPr>
            <w:tcW w:w="2402" w:type="dxa"/>
            <w:shd w:val="clear" w:color="auto" w:fill="FFFFFF"/>
            <w:vAlign w:val="center"/>
          </w:tcPr>
          <w:p>
            <w:pPr>
              <w:jc w:val="left"/>
              <w:rPr>
                <w:rFonts w:hint="eastAsia" w:ascii="宋体" w:hAnsi="宋体" w:eastAsia="宋体" w:cs="宋体"/>
                <w:i w:val="0"/>
                <w:color w:val="000000"/>
                <w:sz w:val="18"/>
                <w:szCs w:val="18"/>
                <w:u w:val="none"/>
              </w:rPr>
            </w:pPr>
          </w:p>
        </w:tc>
        <w:tc>
          <w:tcPr>
            <w:tcW w:w="4941" w:type="dxa"/>
            <w:gridSpan w:val="2"/>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450"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公开部门：重庆市荣昌区农业委员会</w:t>
            </w:r>
          </w:p>
        </w:tc>
        <w:tc>
          <w:tcPr>
            <w:tcW w:w="2402"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c>
          <w:tcPr>
            <w:tcW w:w="4941" w:type="dxa"/>
            <w:gridSpan w:val="2"/>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450" w:type="dxa"/>
            <w:gridSpan w:val="4"/>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7343"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50" w:type="dxa"/>
            <w:gridSpan w:val="3"/>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3600"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项目（按“项”级功能分类科目）</w:t>
            </w:r>
          </w:p>
        </w:tc>
        <w:tc>
          <w:tcPr>
            <w:tcW w:w="2402"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200"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3741"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2850" w:type="dxa"/>
            <w:gridSpan w:val="3"/>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600"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402"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00"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741"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 w:hRule="atLeast"/>
        </w:trPr>
        <w:tc>
          <w:tcPr>
            <w:tcW w:w="2850" w:type="dxa"/>
            <w:gridSpan w:val="3"/>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600"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402"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00"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741"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450" w:type="dxa"/>
            <w:gridSpan w:val="4"/>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9,947.22</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3,486.89</w:t>
            </w: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20113</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商贸事务</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2011308</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招商引资</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2011308</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招商引资</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500.94</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500.94</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行政事业单位离退休</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500.94</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500.94</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归口管理的行政单位离退休</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12.89</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12.89</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2080505</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机关事业单位基本养老保险缴费支出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169.87</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169.87</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169.87</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169.87</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2080506</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机关事业单位职业年金缴费支出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73.29</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73.29</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73.29</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73.29</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2080599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其他行政事业单位离退休支出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244.89</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244.89</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244.89</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244.89</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医疗卫生与计划生育支出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136.23</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136.23</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136.23</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136.23</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2101101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行政单位医疗</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85.77</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85.77</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85.77</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85.77</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2101102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事业单位医疗</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25.84</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25.84</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25.84</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25.84</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2101103</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公务员医疗补助</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24.62</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24.62</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24.62</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24.62</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21106</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退耕还林</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2110699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其他退耕还林支出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2110699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其他退耕还林支出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21203</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城乡社区公共设施</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2120399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其他城乡社区公共设施支出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其他城乡社区公共设施支出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农林水支出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8,496.63</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2,684.75</w:t>
            </w: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5,293.87</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2,684.75</w:t>
            </w: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2130101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行政运行</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2,138.55</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2,138.55</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2,138.55</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2,138.55</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2130102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一般行政管理事务</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2130104</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事业运行</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546.20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546.20</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2130104</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546.20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546.20</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2130106</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科技转化与推广服务</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542.68</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2130106</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科技转化与推广服务</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542.68</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2130108</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病虫害控制</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3.11</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2130108</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病虫害控制</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2130109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农产品质量安全</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85.71</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农产品质量安全</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85.71</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2130111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统计监测与信息服务</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2130111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统计监测与信息服务</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2130112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农业行业业务管理</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56.45</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2130112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农业行业业务管理</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56.45</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2130119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防灾救灾</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2130119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防灾救灾</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2130122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农业生产支持补贴</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15.43</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2130122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农业生产支持补贴</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2130124</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农业组织化与产业化经营</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1,411.46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2130124</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农业组织化与产业化经营</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1,411.46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2130125</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农产品加工与促销</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34.26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2130125</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农产品加工与促销</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2130135</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农业资源保护修复与利用</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16.24</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2130135</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农业资源保护修复与利用</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2130148</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成品油价格改革对渔业的补贴</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45.75</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2130148</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成品油价格改革对渔业的补贴</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45.75</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2130199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其他农业支出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331.03</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2130199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其他农业支出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331.03</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21305</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扶贫</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2,071.59</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2130505</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生产发展</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2130505</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生产发展</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2130506</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社会发展</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793.16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793.16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2130506</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社会发展</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793.16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2130507</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扶贫贷款奖补和贴息</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2130507</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扶贫贷款奖补和贴息</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2130599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其他扶贫支出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98.43</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2130599</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其他扶贫支出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98.43</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21306</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农业综合开发</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729.67</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2130602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土地治理</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591.67</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2130602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土地治理</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591.67</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2130603</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产业化发展</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2130603</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产业化发展</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138.00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21308</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普惠金融发展支出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401.50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2130803</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农业保险保费补贴</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401.50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2130803</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农业保险保费补贴</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401.50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7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2210201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住房公积金</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164.96</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50"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6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164.96</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164.96</w:t>
            </w:r>
          </w:p>
        </w:tc>
        <w:tc>
          <w:tcPr>
            <w:tcW w:w="374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793" w:type="dxa"/>
            <w:gridSpan w:val="7"/>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备注：本表反映部门本年度一般公共预算财政拨款支出情况。</w:t>
            </w:r>
          </w:p>
        </w:tc>
      </w:tr>
    </w:tbl>
    <w:p>
      <w:pPr>
        <w:pStyle w:val="4"/>
        <w:shd w:val="clear" w:color="auto" w:fill="FFFFFF"/>
        <w:rPr>
          <w:shd w:val="clear" w:color="auto" w:fill="FFFF00"/>
        </w:rPr>
      </w:pPr>
    </w:p>
    <w:p>
      <w:pPr>
        <w:keepNext w:val="0"/>
        <w:keepLines w:val="0"/>
        <w:widowControl/>
        <w:suppressLineNumbers w:val="0"/>
        <w:jc w:val="center"/>
        <w:textAlignment w:val="center"/>
        <w:rPr>
          <w:rFonts w:hint="eastAsia" w:ascii="黑体" w:hAnsi="宋体" w:eastAsia="黑体" w:cs="黑体"/>
          <w:i w:val="0"/>
          <w:color w:val="000000"/>
          <w:kern w:val="0"/>
          <w:sz w:val="44"/>
          <w:szCs w:val="44"/>
          <w:u w:val="none"/>
          <w:lang w:val="en-US" w:eastAsia="zh-CN" w:bidi="ar"/>
        </w:rPr>
      </w:pPr>
      <w:r>
        <w:rPr>
          <w:rFonts w:hint="eastAsia" w:ascii="黑体" w:hAnsi="宋体" w:eastAsia="黑体" w:cs="黑体"/>
          <w:i w:val="0"/>
          <w:color w:val="000000"/>
          <w:kern w:val="0"/>
          <w:sz w:val="44"/>
          <w:szCs w:val="44"/>
          <w:u w:val="none"/>
          <w:lang w:val="en-US" w:eastAsia="zh-CN" w:bidi="ar"/>
        </w:rPr>
        <w:br w:type="page"/>
      </w:r>
    </w:p>
    <w:tbl>
      <w:tblPr>
        <w:tblStyle w:val="5"/>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2"/>
        <w:gridCol w:w="365"/>
        <w:gridCol w:w="691"/>
        <w:gridCol w:w="358"/>
        <w:gridCol w:w="1433"/>
        <w:gridCol w:w="1009"/>
        <w:gridCol w:w="757"/>
        <w:gridCol w:w="877"/>
        <w:gridCol w:w="1289"/>
        <w:gridCol w:w="231"/>
        <w:gridCol w:w="416"/>
        <w:gridCol w:w="555"/>
        <w:gridCol w:w="757"/>
        <w:gridCol w:w="24"/>
        <w:gridCol w:w="762"/>
        <w:gridCol w:w="1289"/>
        <w:gridCol w:w="385"/>
        <w:gridCol w:w="2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3987" w:type="dxa"/>
            <w:gridSpan w:val="18"/>
            <w:tcBorders>
              <w:right w:val="single" w:color="80808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57" w:type="dxa"/>
            <w:gridSpan w:val="2"/>
            <w:shd w:val="clear" w:color="auto" w:fill="FFFFFF"/>
            <w:vAlign w:val="center"/>
          </w:tcPr>
          <w:p>
            <w:pPr>
              <w:jc w:val="left"/>
              <w:rPr>
                <w:rFonts w:hint="eastAsia" w:ascii="Tahoma" w:hAnsi="Tahoma" w:eastAsia="Tahoma" w:cs="Tahoma"/>
                <w:i w:val="0"/>
                <w:color w:val="000000"/>
                <w:sz w:val="16"/>
                <w:szCs w:val="16"/>
                <w:u w:val="none"/>
              </w:rPr>
            </w:pPr>
          </w:p>
        </w:tc>
        <w:tc>
          <w:tcPr>
            <w:tcW w:w="2482" w:type="dxa"/>
            <w:gridSpan w:val="3"/>
            <w:shd w:val="clear" w:color="auto" w:fill="FFFFFF"/>
            <w:vAlign w:val="center"/>
          </w:tcPr>
          <w:p>
            <w:pPr>
              <w:jc w:val="left"/>
              <w:rPr>
                <w:rFonts w:hint="eastAsia" w:ascii="宋体" w:hAnsi="宋体" w:eastAsia="宋体" w:cs="宋体"/>
                <w:i w:val="0"/>
                <w:color w:val="000000"/>
                <w:sz w:val="18"/>
                <w:szCs w:val="18"/>
                <w:u w:val="none"/>
              </w:rPr>
            </w:pPr>
          </w:p>
        </w:tc>
        <w:tc>
          <w:tcPr>
            <w:tcW w:w="1009" w:type="dxa"/>
            <w:shd w:val="clear" w:color="auto" w:fill="FFFFFF"/>
            <w:vAlign w:val="center"/>
          </w:tcPr>
          <w:p>
            <w:pPr>
              <w:jc w:val="left"/>
              <w:rPr>
                <w:rFonts w:hint="eastAsia" w:ascii="宋体" w:hAnsi="宋体" w:eastAsia="宋体" w:cs="宋体"/>
                <w:i w:val="0"/>
                <w:color w:val="000000"/>
                <w:sz w:val="18"/>
                <w:szCs w:val="18"/>
                <w:u w:val="none"/>
              </w:rPr>
            </w:pPr>
          </w:p>
        </w:tc>
        <w:tc>
          <w:tcPr>
            <w:tcW w:w="757" w:type="dxa"/>
            <w:shd w:val="clear" w:color="auto" w:fill="FFFFFF"/>
            <w:vAlign w:val="center"/>
          </w:tcPr>
          <w:p>
            <w:pPr>
              <w:jc w:val="left"/>
              <w:rPr>
                <w:rFonts w:hint="eastAsia" w:ascii="宋体" w:hAnsi="宋体" w:eastAsia="宋体" w:cs="宋体"/>
                <w:i w:val="0"/>
                <w:color w:val="000000"/>
                <w:sz w:val="18"/>
                <w:szCs w:val="18"/>
                <w:u w:val="none"/>
              </w:rPr>
            </w:pPr>
          </w:p>
        </w:tc>
        <w:tc>
          <w:tcPr>
            <w:tcW w:w="2397" w:type="dxa"/>
            <w:gridSpan w:val="3"/>
            <w:shd w:val="clear" w:color="auto" w:fill="FFFFFF"/>
            <w:vAlign w:val="center"/>
          </w:tcPr>
          <w:p>
            <w:pPr>
              <w:jc w:val="left"/>
              <w:rPr>
                <w:rFonts w:hint="eastAsia" w:ascii="宋体" w:hAnsi="宋体" w:eastAsia="宋体" w:cs="宋体"/>
                <w:i w:val="0"/>
                <w:color w:val="000000"/>
                <w:sz w:val="18"/>
                <w:szCs w:val="18"/>
                <w:u w:val="none"/>
              </w:rPr>
            </w:pPr>
          </w:p>
        </w:tc>
        <w:tc>
          <w:tcPr>
            <w:tcW w:w="971"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757" w:type="dxa"/>
            <w:shd w:val="clear" w:color="auto" w:fill="FFFFFF"/>
            <w:vAlign w:val="center"/>
          </w:tcPr>
          <w:p>
            <w:pPr>
              <w:jc w:val="left"/>
              <w:rPr>
                <w:rFonts w:hint="eastAsia" w:ascii="宋体" w:hAnsi="宋体" w:eastAsia="宋体" w:cs="宋体"/>
                <w:i w:val="0"/>
                <w:color w:val="000000"/>
                <w:sz w:val="18"/>
                <w:szCs w:val="18"/>
                <w:u w:val="none"/>
              </w:rPr>
            </w:pPr>
          </w:p>
        </w:tc>
        <w:tc>
          <w:tcPr>
            <w:tcW w:w="4857" w:type="dxa"/>
            <w:gridSpan w:val="5"/>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005" w:type="dxa"/>
            <w:gridSpan w:val="7"/>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公开部门：重庆市荣昌区农业委员会</w:t>
            </w:r>
          </w:p>
        </w:tc>
        <w:tc>
          <w:tcPr>
            <w:tcW w:w="2397" w:type="dxa"/>
            <w:gridSpan w:val="3"/>
            <w:tcBorders>
              <w:bottom w:val="single" w:color="80808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71" w:type="dxa"/>
            <w:gridSpan w:val="2"/>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757"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857" w:type="dxa"/>
            <w:gridSpan w:val="5"/>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48" w:type="dxa"/>
            <w:gridSpan w:val="6"/>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9739" w:type="dxa"/>
            <w:gridSpan w:val="12"/>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7" w:type="dxa"/>
            <w:gridSpan w:val="2"/>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经济分类科目编码</w:t>
            </w:r>
          </w:p>
        </w:tc>
        <w:tc>
          <w:tcPr>
            <w:tcW w:w="2482" w:type="dxa"/>
            <w:gridSpan w:val="3"/>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经济分类科目（按“款”级功能分类科目）</w:t>
            </w:r>
          </w:p>
        </w:tc>
        <w:tc>
          <w:tcPr>
            <w:tcW w:w="1009"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c>
          <w:tcPr>
            <w:tcW w:w="757"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经济分类科目编码</w:t>
            </w:r>
          </w:p>
        </w:tc>
        <w:tc>
          <w:tcPr>
            <w:tcW w:w="2397" w:type="dxa"/>
            <w:gridSpan w:val="3"/>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经济分类科目（按“款”级功能分类科目）</w:t>
            </w:r>
          </w:p>
        </w:tc>
        <w:tc>
          <w:tcPr>
            <w:tcW w:w="971" w:type="dxa"/>
            <w:gridSpan w:val="2"/>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c>
          <w:tcPr>
            <w:tcW w:w="757"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经济分类科目编码</w:t>
            </w:r>
          </w:p>
        </w:tc>
        <w:tc>
          <w:tcPr>
            <w:tcW w:w="2460" w:type="dxa"/>
            <w:gridSpan w:val="4"/>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经济分类科目（按“款”级功能分类科目）</w:t>
            </w:r>
          </w:p>
        </w:tc>
        <w:tc>
          <w:tcPr>
            <w:tcW w:w="2397"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57"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482"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09"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57"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397"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71"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57"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460" w:type="dxa"/>
            <w:gridSpan w:val="4"/>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397"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2,122.65</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982.17</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481.17</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367.74</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125.58</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971"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148.18</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0.91</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机关事业单位基本养老保险费</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169.87</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19.97</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73.29</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77.87</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971"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24.62</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18.32</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217.91</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164.96</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971"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451.04</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398.63</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382.07</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12.10</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14.92</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0.46</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69.36</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971"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31201</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128.25</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971"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31203</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10.62</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31204</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56.19</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31205</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61.24</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31299</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51.64</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13.24</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9.45</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482"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其他个人和家庭的补助支出</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63.74</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66.05</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82" w:type="dxa"/>
            <w:gridSpan w:val="3"/>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971"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82" w:type="dxa"/>
            <w:gridSpan w:val="3"/>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971" w:type="dxa"/>
            <w:gridSpan w:val="2"/>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125.00</w:t>
            </w: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46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82" w:type="dxa"/>
            <w:gridSpan w:val="3"/>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971"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60" w:type="dxa"/>
            <w:gridSpan w:val="4"/>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82" w:type="dxa"/>
            <w:gridSpan w:val="3"/>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971"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60" w:type="dxa"/>
            <w:gridSpan w:val="4"/>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82" w:type="dxa"/>
            <w:gridSpan w:val="3"/>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971"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60" w:type="dxa"/>
            <w:gridSpan w:val="4"/>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82" w:type="dxa"/>
            <w:gridSpan w:val="3"/>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30703</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971"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60" w:type="dxa"/>
            <w:gridSpan w:val="4"/>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7" w:type="dxa"/>
            <w:gridSpan w:val="2"/>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82" w:type="dxa"/>
            <w:gridSpan w:val="3"/>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0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30704</w:t>
            </w:r>
          </w:p>
        </w:tc>
        <w:tc>
          <w:tcPr>
            <w:tcW w:w="239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971"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7"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460" w:type="dxa"/>
            <w:gridSpan w:val="4"/>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23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239"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00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2,504.72</w:t>
            </w:r>
          </w:p>
        </w:tc>
        <w:tc>
          <w:tcPr>
            <w:tcW w:w="7342" w:type="dxa"/>
            <w:gridSpan w:val="11"/>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23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987" w:type="dxa"/>
            <w:gridSpan w:val="18"/>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3987" w:type="dxa"/>
            <w:gridSpan w:val="18"/>
            <w:tcBorders>
              <w:right w:val="single" w:color="80808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92" w:type="dxa"/>
            <w:shd w:val="clear" w:color="auto" w:fill="FFFFFF"/>
            <w:vAlign w:val="center"/>
          </w:tcPr>
          <w:p>
            <w:pPr>
              <w:jc w:val="left"/>
              <w:rPr>
                <w:rFonts w:hint="eastAsia" w:ascii="Tahoma" w:hAnsi="Tahoma" w:eastAsia="Tahoma" w:cs="Tahoma"/>
                <w:i w:val="0"/>
                <w:color w:val="000000"/>
                <w:sz w:val="16"/>
                <w:szCs w:val="16"/>
                <w:u w:val="none"/>
              </w:rPr>
            </w:pPr>
          </w:p>
        </w:tc>
        <w:tc>
          <w:tcPr>
            <w:tcW w:w="1056"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358" w:type="dxa"/>
            <w:shd w:val="clear" w:color="auto" w:fill="FFFFFF"/>
            <w:vAlign w:val="center"/>
          </w:tcPr>
          <w:p>
            <w:pPr>
              <w:jc w:val="left"/>
              <w:rPr>
                <w:rFonts w:hint="eastAsia" w:ascii="宋体" w:hAnsi="宋体" w:eastAsia="宋体" w:cs="宋体"/>
                <w:i w:val="0"/>
                <w:color w:val="000000"/>
                <w:sz w:val="18"/>
                <w:szCs w:val="18"/>
                <w:u w:val="none"/>
              </w:rPr>
            </w:pPr>
          </w:p>
        </w:tc>
        <w:tc>
          <w:tcPr>
            <w:tcW w:w="4076" w:type="dxa"/>
            <w:gridSpan w:val="4"/>
            <w:shd w:val="clear" w:color="auto" w:fill="FFFFFF"/>
            <w:vAlign w:val="center"/>
          </w:tcPr>
          <w:p>
            <w:pPr>
              <w:jc w:val="left"/>
              <w:rPr>
                <w:rFonts w:hint="eastAsia" w:ascii="宋体" w:hAnsi="宋体" w:eastAsia="宋体" w:cs="宋体"/>
                <w:i w:val="0"/>
                <w:color w:val="000000"/>
                <w:sz w:val="18"/>
                <w:szCs w:val="18"/>
                <w:u w:val="none"/>
              </w:rPr>
            </w:pPr>
          </w:p>
        </w:tc>
        <w:tc>
          <w:tcPr>
            <w:tcW w:w="1289" w:type="dxa"/>
            <w:shd w:val="clear" w:color="auto" w:fill="FFFFFF"/>
            <w:vAlign w:val="center"/>
          </w:tcPr>
          <w:p>
            <w:pPr>
              <w:jc w:val="left"/>
              <w:rPr>
                <w:rFonts w:hint="eastAsia" w:ascii="宋体" w:hAnsi="宋体" w:eastAsia="宋体" w:cs="宋体"/>
                <w:i w:val="0"/>
                <w:color w:val="000000"/>
                <w:sz w:val="18"/>
                <w:szCs w:val="18"/>
                <w:u w:val="none"/>
              </w:rPr>
            </w:pPr>
          </w:p>
        </w:tc>
        <w:tc>
          <w:tcPr>
            <w:tcW w:w="647"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1336" w:type="dxa"/>
            <w:gridSpan w:val="3"/>
            <w:shd w:val="clear" w:color="auto" w:fill="FFFFFF"/>
            <w:vAlign w:val="center"/>
          </w:tcPr>
          <w:p>
            <w:pPr>
              <w:jc w:val="left"/>
              <w:rPr>
                <w:rFonts w:hint="eastAsia" w:ascii="宋体" w:hAnsi="宋体" w:eastAsia="宋体" w:cs="宋体"/>
                <w:i w:val="0"/>
                <w:color w:val="000000"/>
                <w:sz w:val="18"/>
                <w:szCs w:val="18"/>
                <w:u w:val="none"/>
              </w:rPr>
            </w:pPr>
          </w:p>
        </w:tc>
        <w:tc>
          <w:tcPr>
            <w:tcW w:w="4833" w:type="dxa"/>
            <w:gridSpan w:val="4"/>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882" w:type="dxa"/>
            <w:gridSpan w:val="8"/>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公开部门：重庆市荣昌区农业委员会</w:t>
            </w:r>
          </w:p>
        </w:tc>
        <w:tc>
          <w:tcPr>
            <w:tcW w:w="1289"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c>
          <w:tcPr>
            <w:tcW w:w="647" w:type="dxa"/>
            <w:gridSpan w:val="2"/>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336" w:type="dxa"/>
            <w:gridSpan w:val="3"/>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4833" w:type="dxa"/>
            <w:gridSpan w:val="4"/>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882" w:type="dxa"/>
            <w:gridSpan w:val="8"/>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289"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年初结转和结余</w:t>
            </w:r>
          </w:p>
        </w:tc>
        <w:tc>
          <w:tcPr>
            <w:tcW w:w="647" w:type="dxa"/>
            <w:gridSpan w:val="2"/>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3387"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w:t>
            </w:r>
          </w:p>
        </w:tc>
        <w:tc>
          <w:tcPr>
            <w:tcW w:w="2782" w:type="dxa"/>
            <w:gridSpan w:val="2"/>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06" w:type="dxa"/>
            <w:gridSpan w:val="4"/>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4076" w:type="dxa"/>
            <w:gridSpan w:val="4"/>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项目（按“项”级功能分类科目）</w:t>
            </w:r>
          </w:p>
        </w:tc>
        <w:tc>
          <w:tcPr>
            <w:tcW w:w="1289"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47"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336" w:type="dxa"/>
            <w:gridSpan w:val="3"/>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762"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289" w:type="dxa"/>
            <w:vMerge w:val="restart"/>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2782"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06" w:type="dxa"/>
            <w:gridSpan w:val="4"/>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076" w:type="dxa"/>
            <w:gridSpan w:val="4"/>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89"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47"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336"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62"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89"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782"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06" w:type="dxa"/>
            <w:gridSpan w:val="4"/>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076" w:type="dxa"/>
            <w:gridSpan w:val="4"/>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89"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47"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336" w:type="dxa"/>
            <w:gridSpan w:val="3"/>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62"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89" w:type="dxa"/>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782" w:type="dxa"/>
            <w:gridSpan w:val="2"/>
            <w:vMerge w:val="continue"/>
            <w:tcBorders>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882" w:type="dxa"/>
            <w:gridSpan w:val="8"/>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28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c>
          <w:tcPr>
            <w:tcW w:w="647"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336"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c>
          <w:tcPr>
            <w:tcW w:w="76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28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c>
          <w:tcPr>
            <w:tcW w:w="2782"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06" w:type="dxa"/>
            <w:gridSpan w:val="4"/>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4076"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4"/>
                <w:szCs w:val="14"/>
                <w:u w:val="none"/>
              </w:rPr>
            </w:pPr>
            <w:r>
              <w:rPr>
                <w:rFonts w:hint="eastAsia" w:ascii="宋体" w:hAnsi="宋体" w:eastAsia="宋体" w:cs="宋体"/>
                <w:b/>
                <w:i w:val="0"/>
                <w:color w:val="000000"/>
                <w:kern w:val="0"/>
                <w:sz w:val="14"/>
                <w:szCs w:val="14"/>
                <w:u w:val="none"/>
                <w:lang w:val="en-US" w:eastAsia="zh-CN" w:bidi="ar"/>
              </w:rPr>
              <w:t>城乡社区支出</w:t>
            </w:r>
          </w:p>
        </w:tc>
        <w:tc>
          <w:tcPr>
            <w:tcW w:w="128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193.52</w:t>
            </w:r>
          </w:p>
        </w:tc>
        <w:tc>
          <w:tcPr>
            <w:tcW w:w="647"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336"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193.52</w:t>
            </w:r>
          </w:p>
        </w:tc>
        <w:tc>
          <w:tcPr>
            <w:tcW w:w="76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28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193.52</w:t>
            </w:r>
          </w:p>
        </w:tc>
        <w:tc>
          <w:tcPr>
            <w:tcW w:w="2782"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06" w:type="dxa"/>
            <w:gridSpan w:val="4"/>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21211</w:t>
            </w:r>
          </w:p>
        </w:tc>
        <w:tc>
          <w:tcPr>
            <w:tcW w:w="4076"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14"/>
                <w:szCs w:val="14"/>
                <w:u w:val="none"/>
              </w:rPr>
            </w:pPr>
            <w:r>
              <w:rPr>
                <w:rFonts w:hint="eastAsia" w:ascii="宋体" w:hAnsi="宋体" w:eastAsia="宋体" w:cs="宋体"/>
                <w:b/>
                <w:i w:val="0"/>
                <w:color w:val="000000"/>
                <w:kern w:val="0"/>
                <w:sz w:val="14"/>
                <w:szCs w:val="14"/>
                <w:u w:val="none"/>
                <w:lang w:val="en-US" w:eastAsia="zh-CN" w:bidi="ar"/>
              </w:rPr>
              <w:t>农业土地开发资金及对应专项债务收入安排的支出</w:t>
            </w:r>
          </w:p>
        </w:tc>
        <w:tc>
          <w:tcPr>
            <w:tcW w:w="128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193.52</w:t>
            </w:r>
          </w:p>
        </w:tc>
        <w:tc>
          <w:tcPr>
            <w:tcW w:w="647"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336"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193.52</w:t>
            </w:r>
          </w:p>
        </w:tc>
        <w:tc>
          <w:tcPr>
            <w:tcW w:w="76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28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193.52</w:t>
            </w:r>
          </w:p>
        </w:tc>
        <w:tc>
          <w:tcPr>
            <w:tcW w:w="2782"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06" w:type="dxa"/>
            <w:gridSpan w:val="4"/>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2121100</w:t>
            </w:r>
          </w:p>
        </w:tc>
        <w:tc>
          <w:tcPr>
            <w:tcW w:w="4076"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农业土地开发资金及对应专项债务收入安排的支出</w:t>
            </w:r>
          </w:p>
        </w:tc>
        <w:tc>
          <w:tcPr>
            <w:tcW w:w="128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c>
          <w:tcPr>
            <w:tcW w:w="647"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336"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c>
          <w:tcPr>
            <w:tcW w:w="76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28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193.52</w:t>
            </w:r>
          </w:p>
        </w:tc>
        <w:tc>
          <w:tcPr>
            <w:tcW w:w="2782" w:type="dxa"/>
            <w:gridSpan w:val="2"/>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987" w:type="dxa"/>
            <w:gridSpan w:val="18"/>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备注：本表反映部门本年度政府性基金预算财政拨款收入支出及结转和结余情况。</w:t>
            </w:r>
          </w:p>
        </w:tc>
      </w:tr>
    </w:tbl>
    <w:p>
      <w:pPr>
        <w:pStyle w:val="4"/>
        <w:shd w:val="clear" w:color="auto" w:fill="FFFFFF"/>
        <w:rPr>
          <w:shd w:val="clear" w:color="auto" w:fill="FFFF00"/>
        </w:rPr>
      </w:pPr>
    </w:p>
    <w:p>
      <w:pPr>
        <w:keepNext w:val="0"/>
        <w:keepLines w:val="0"/>
        <w:widowControl/>
        <w:suppressLineNumbers w:val="0"/>
        <w:jc w:val="center"/>
        <w:textAlignment w:val="center"/>
        <w:rPr>
          <w:rFonts w:hint="eastAsia" w:ascii="黑体" w:hAnsi="宋体" w:eastAsia="黑体" w:cs="黑体"/>
          <w:i w:val="0"/>
          <w:color w:val="000000"/>
          <w:kern w:val="0"/>
          <w:sz w:val="44"/>
          <w:szCs w:val="44"/>
          <w:u w:val="none"/>
          <w:lang w:val="en-US" w:eastAsia="zh-CN" w:bidi="ar"/>
        </w:rPr>
      </w:pPr>
      <w:r>
        <w:rPr>
          <w:rFonts w:hint="eastAsia" w:ascii="黑体" w:hAnsi="宋体" w:eastAsia="黑体" w:cs="黑体"/>
          <w:i w:val="0"/>
          <w:color w:val="000000"/>
          <w:kern w:val="0"/>
          <w:sz w:val="44"/>
          <w:szCs w:val="44"/>
          <w:u w:val="none"/>
          <w:lang w:val="en-US" w:eastAsia="zh-CN" w:bidi="ar"/>
        </w:rPr>
        <w:br w:type="page"/>
      </w:r>
    </w:p>
    <w:tbl>
      <w:tblPr>
        <w:tblStyle w:val="5"/>
        <w:tblW w:w="13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86"/>
        <w:gridCol w:w="2842"/>
        <w:gridCol w:w="915"/>
        <w:gridCol w:w="3135"/>
        <w:gridCol w:w="4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3896" w:type="dxa"/>
            <w:gridSpan w:val="5"/>
            <w:tcBorders>
              <w:right w:val="single" w:color="80808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部门决算相关信息统计表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shd w:val="clear" w:color="auto" w:fill="FFFFFF"/>
            <w:vAlign w:val="center"/>
          </w:tcPr>
          <w:p>
            <w:pPr>
              <w:jc w:val="left"/>
              <w:rPr>
                <w:rFonts w:hint="eastAsia" w:ascii="Tahoma" w:hAnsi="Tahoma" w:eastAsia="Tahoma" w:cs="Tahoma"/>
                <w:i w:val="0"/>
                <w:color w:val="000000"/>
                <w:sz w:val="16"/>
                <w:szCs w:val="16"/>
                <w:u w:val="none"/>
              </w:rPr>
            </w:pPr>
          </w:p>
        </w:tc>
        <w:tc>
          <w:tcPr>
            <w:tcW w:w="2842" w:type="dxa"/>
            <w:shd w:val="clear" w:color="auto" w:fill="FFFFFF"/>
            <w:vAlign w:val="center"/>
          </w:tcPr>
          <w:p>
            <w:pPr>
              <w:jc w:val="left"/>
              <w:rPr>
                <w:rFonts w:hint="eastAsia" w:ascii="宋体" w:hAnsi="宋体" w:eastAsia="宋体" w:cs="宋体"/>
                <w:i w:val="0"/>
                <w:color w:val="000000"/>
                <w:sz w:val="18"/>
                <w:szCs w:val="18"/>
                <w:u w:val="none"/>
              </w:rPr>
            </w:pPr>
          </w:p>
        </w:tc>
        <w:tc>
          <w:tcPr>
            <w:tcW w:w="915" w:type="dxa"/>
            <w:shd w:val="clear" w:color="auto" w:fill="FFFFFF"/>
            <w:vAlign w:val="center"/>
          </w:tcPr>
          <w:p>
            <w:pPr>
              <w:jc w:val="left"/>
              <w:rPr>
                <w:rFonts w:hint="eastAsia" w:ascii="宋体" w:hAnsi="宋体" w:eastAsia="宋体" w:cs="宋体"/>
                <w:i w:val="0"/>
                <w:color w:val="000000"/>
                <w:sz w:val="18"/>
                <w:szCs w:val="18"/>
                <w:u w:val="none"/>
              </w:rPr>
            </w:pPr>
          </w:p>
        </w:tc>
        <w:tc>
          <w:tcPr>
            <w:tcW w:w="7253" w:type="dxa"/>
            <w:gridSpan w:val="2"/>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28" w:type="dxa"/>
            <w:gridSpan w:val="2"/>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公开部门：重庆市荣昌区农业委员会</w:t>
            </w:r>
          </w:p>
        </w:tc>
        <w:tc>
          <w:tcPr>
            <w:tcW w:w="915"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c>
          <w:tcPr>
            <w:tcW w:w="7253" w:type="dxa"/>
            <w:gridSpan w:val="2"/>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915"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4118"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一、“三公”经费支出</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二、机关运行经费</w:t>
            </w:r>
          </w:p>
        </w:tc>
        <w:tc>
          <w:tcPr>
            <w:tcW w:w="41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（一）支出合计</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91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39.77</w:t>
            </w: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（一）行政单位</w:t>
            </w:r>
          </w:p>
        </w:tc>
        <w:tc>
          <w:tcPr>
            <w:tcW w:w="41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1．因公出国（境）费</w:t>
            </w:r>
          </w:p>
        </w:tc>
        <w:tc>
          <w:tcPr>
            <w:tcW w:w="284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（二）参照公务员法管理事业单位</w:t>
            </w:r>
          </w:p>
        </w:tc>
        <w:tc>
          <w:tcPr>
            <w:tcW w:w="411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2．公务用车购置及运行维护费</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91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w:t>
            </w:r>
          </w:p>
        </w:tc>
        <w:tc>
          <w:tcPr>
            <w:tcW w:w="3135"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118"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（1）公务用车购置费</w:t>
            </w:r>
          </w:p>
        </w:tc>
        <w:tc>
          <w:tcPr>
            <w:tcW w:w="284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三、国有资产占用情况</w:t>
            </w:r>
          </w:p>
        </w:tc>
        <w:tc>
          <w:tcPr>
            <w:tcW w:w="4118"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（2）公务用车运行维护费</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91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w:t>
            </w: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（一）车辆数合计（辆）</w:t>
            </w:r>
          </w:p>
        </w:tc>
        <w:tc>
          <w:tcPr>
            <w:tcW w:w="41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3．公务接待费</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w:t>
            </w:r>
          </w:p>
        </w:tc>
        <w:tc>
          <w:tcPr>
            <w:tcW w:w="91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27.58</w:t>
            </w: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1.副部（省）级及以上领导用车</w:t>
            </w:r>
          </w:p>
        </w:tc>
        <w:tc>
          <w:tcPr>
            <w:tcW w:w="411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（1）国内接待费</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w:t>
            </w:r>
          </w:p>
        </w:tc>
        <w:tc>
          <w:tcPr>
            <w:tcW w:w="91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27.58</w:t>
            </w: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2.主要领导干部用车</w:t>
            </w:r>
          </w:p>
        </w:tc>
        <w:tc>
          <w:tcPr>
            <w:tcW w:w="411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其中：外事接待费</w:t>
            </w:r>
          </w:p>
        </w:tc>
        <w:tc>
          <w:tcPr>
            <w:tcW w:w="284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3.机要通信用车</w:t>
            </w:r>
          </w:p>
        </w:tc>
        <w:tc>
          <w:tcPr>
            <w:tcW w:w="411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（2）国（境）外接待费</w:t>
            </w:r>
          </w:p>
        </w:tc>
        <w:tc>
          <w:tcPr>
            <w:tcW w:w="284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9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4.应急保障用车</w:t>
            </w:r>
          </w:p>
        </w:tc>
        <w:tc>
          <w:tcPr>
            <w:tcW w:w="41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（二）相关统计数</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5.执法执勤用车</w:t>
            </w:r>
          </w:p>
        </w:tc>
        <w:tc>
          <w:tcPr>
            <w:tcW w:w="411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1．因公出国（境）团组数（个）</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6.特种专业技术用车</w:t>
            </w:r>
          </w:p>
        </w:tc>
        <w:tc>
          <w:tcPr>
            <w:tcW w:w="411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2．因公出国（境）人次数（人）</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7.离退休干部用车</w:t>
            </w:r>
          </w:p>
        </w:tc>
        <w:tc>
          <w:tcPr>
            <w:tcW w:w="411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3．公务用车购置数（辆）</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8.其他用车</w:t>
            </w:r>
          </w:p>
        </w:tc>
        <w:tc>
          <w:tcPr>
            <w:tcW w:w="411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4．公务用车保有量（辆）</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135"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11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5．国内公务接待批次（个）</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（二）单价50万元以上通用设备（台，套）</w:t>
            </w:r>
          </w:p>
        </w:tc>
        <w:tc>
          <w:tcPr>
            <w:tcW w:w="411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其中：外事接待批次（个）</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（三）单价100万元以上专用设备（台，套）</w:t>
            </w:r>
          </w:p>
        </w:tc>
        <w:tc>
          <w:tcPr>
            <w:tcW w:w="411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6．国内公务接待人次（人）</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3,586</w:t>
            </w: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118"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其中：外事接待人次（人）</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135"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118"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7．国（境）外公务接待批次（个）</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118"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88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8．国（境）外公务接待人次（人）</w:t>
            </w:r>
          </w:p>
        </w:tc>
        <w:tc>
          <w:tcPr>
            <w:tcW w:w="284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313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118"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896"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备注：预算数为“三公”经费年初预算数，决算数是包括当年财政拨款预算和以前年度结转结余资金安排的实际支出。</w:t>
            </w:r>
          </w:p>
        </w:tc>
      </w:tr>
    </w:tbl>
    <w:p>
      <w:pPr>
        <w:pStyle w:val="4"/>
        <w:shd w:val="clear" w:color="auto" w:fill="FFFFFF"/>
        <w:rPr>
          <w:shd w:val="clear" w:color="auto" w:fill="FFFF00"/>
        </w:rPr>
      </w:pPr>
    </w:p>
    <w:sectPr>
      <w:footerReference r:id="rId5" w:type="default"/>
      <w:footerReference r:id="rId6" w:type="even"/>
      <w:pgSz w:w="16840" w:h="11907" w:orient="landscape"/>
      <w:pgMar w:top="1531" w:right="2098" w:bottom="1531" w:left="1984" w:header="851" w:footer="1474"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4786630</wp:posOffset>
              </wp:positionH>
              <wp:positionV relativeFrom="paragraph">
                <wp:posOffset>-52705</wp:posOffset>
              </wp:positionV>
              <wp:extent cx="829945" cy="20701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29945" cy="207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6.9pt;margin-top:-4.15pt;height:16.3pt;width:65.35pt;mso-position-horizontal-relative:margin;z-index:251658240;mso-width-relative:page;mso-height-relative:page;" filled="f" stroked="f" coordsize="21600,21600" o:gfxdata="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ZBwVX2QAAAAkBAAAPAAAAAAAAAAEAIAAAADgAAABkcnMvZG93bnJl&#10;di54bWxQSwECFAAUAAAACACHTuJAziuhPh8CAAApBAAADgAAAAAAAAABACAAAAA+AQAAZHJzL2Uy&#10;b0RvYy54bWxQSwUGAAAAAAYABgBZAQAAzwUAAAAA&#10;">
              <v:fill on="f" focussize="0,0"/>
              <v:stroke on="f" weight="0.5pt"/>
              <v:imagedata o:title=""/>
              <o:lock v:ext="edit" aspectratio="f"/>
              <v:textbox inset="0mm,0mm,0mm,0mm">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7900" cy="24892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977900"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280" w:firstLineChars="10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9.6pt;width:77pt;mso-position-horizontal:outside;mso-position-horizontal-relative:margin;z-index:251659264;mso-width-relative:page;mso-height-relative:page;" filled="f" stroked="f" coordsize="21600,21600" o:gfxdata="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NrkB5/TAAAABAEAAA8AAAAAAAAAAQAgAAAAOAAAAGRycy9kb3ducmV2Lnht&#10;bFBLAQIUABQAAAAIAIdO4kBAT+diIQIAACkEAAAOAAAAAAAAAAEAIAAAADgBAABkcnMvZTJvRG9j&#10;LnhtbFBLBQYAAAAABgAGAFkBAADLBQAAAAA=&#10;">
              <v:fill on="f" focussize="0,0"/>
              <v:stroke on="f" weight="0.5pt"/>
              <v:imagedata o:title=""/>
              <o:lock v:ext="edit" aspectratio="f"/>
              <v:textbox inset="0mm,0mm,0mm,0mm">
                <w:txbxContent>
                  <w:p>
                    <w:pPr>
                      <w:snapToGrid w:val="0"/>
                      <w:ind w:firstLine="280" w:firstLineChars="10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-52705</wp:posOffset>
              </wp:positionV>
              <wp:extent cx="829945" cy="20701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829945" cy="207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4.15pt;height:16.3pt;width:65.35pt;mso-position-horizontal:outside;mso-position-horizontal-relative:margin;z-index:251660288;mso-width-relative:page;mso-height-relative:page;" filled="f" stroked="f" coordsize="21600,21600" o:gfxdata="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JJWOHTWAAAABgEAAA8AAAAAAAAAAQAgAAAAOAAAAGRycy9kb3ducmV2&#10;LnhtbFBLAQIUABQAAAAIAIdO4kAd3tFgIQIAACkEAAAOAAAAAAAAAAEAIAAAADsBAABkcnMvZTJv&#10;RG9jLnhtbFBLBQYAAAAABgAGAFkBAADOBQAAAAA=&#10;">
              <v:fill on="f" focussize="0,0"/>
              <v:stroke on="f" weight="0.5pt"/>
              <v:imagedata o:title=""/>
              <o:lock v:ext="edit" aspectratio="f"/>
              <v:textbox inset="0mm,0mm,0mm,0mm">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977900" cy="24892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977900"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280" w:firstLineChars="10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9.6pt;width:77pt;mso-position-horizontal:outside;mso-position-horizontal-relative:margin;z-index:251662336;mso-width-relative:page;mso-height-relative:page;" filled="f" stroked="f" coordsize="21600,21600" o:gfxdata="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NrkB5/TAAAABAEAAA8AAAAAAAAAAQAgAAAAOAAAAGRycy9kb3ducmV2Lnht&#10;bFBLAQIUABQAAAAIAIdO4kA1UXaAIQIAACkEAAAOAAAAAAAAAAEAIAAAADgBAABkcnMvZTJvRG9j&#10;LnhtbFBLBQYAAAAABgAGAFkBAADLBQAAAAA=&#10;">
              <v:fill on="f" focussize="0,0"/>
              <v:stroke on="f" weight="0.5pt"/>
              <v:imagedata o:title=""/>
              <o:lock v:ext="edit" aspectratio="f"/>
              <v:textbox inset="0mm,0mm,0mm,0mm">
                <w:txbxContent>
                  <w:p>
                    <w:pPr>
                      <w:snapToGrid w:val="0"/>
                      <w:ind w:firstLine="280" w:firstLineChars="10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attachedTemplate r:id="rId1"/>
  <w:documentProtection w:enforcement="0"/>
  <w:defaultTabStop w:val="420"/>
  <w:hyphenationZone w:val="360"/>
  <w:evenAndOddHeaders w:val="true"/>
  <w:drawingGridVerticalSpacing w:val="164"/>
  <w:displayHorizontalDrawingGridEvery w:val="1"/>
  <w:displayVerticalDrawingGridEvery w:val="2"/>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B09C3"/>
    <w:rsid w:val="00045294"/>
    <w:rsid w:val="00180FF9"/>
    <w:rsid w:val="00A64E5F"/>
    <w:rsid w:val="042325B4"/>
    <w:rsid w:val="04C37C2F"/>
    <w:rsid w:val="052D5F51"/>
    <w:rsid w:val="05473495"/>
    <w:rsid w:val="0578181E"/>
    <w:rsid w:val="0589458C"/>
    <w:rsid w:val="058952F4"/>
    <w:rsid w:val="05DB44AD"/>
    <w:rsid w:val="05F83B0B"/>
    <w:rsid w:val="06B6463A"/>
    <w:rsid w:val="07873CA4"/>
    <w:rsid w:val="07CB77F2"/>
    <w:rsid w:val="080E193C"/>
    <w:rsid w:val="081976A3"/>
    <w:rsid w:val="089A0BBD"/>
    <w:rsid w:val="0A7C77A2"/>
    <w:rsid w:val="0B7507DC"/>
    <w:rsid w:val="0BE134D5"/>
    <w:rsid w:val="0E36333A"/>
    <w:rsid w:val="0EAC139D"/>
    <w:rsid w:val="0ECC3639"/>
    <w:rsid w:val="0EE01612"/>
    <w:rsid w:val="0F844BB9"/>
    <w:rsid w:val="0FE0171C"/>
    <w:rsid w:val="10D45711"/>
    <w:rsid w:val="112B3F3A"/>
    <w:rsid w:val="112D39B4"/>
    <w:rsid w:val="11836260"/>
    <w:rsid w:val="11CF3464"/>
    <w:rsid w:val="13DD6AA1"/>
    <w:rsid w:val="161535CF"/>
    <w:rsid w:val="176A0524"/>
    <w:rsid w:val="18F26D2B"/>
    <w:rsid w:val="1B8B5D44"/>
    <w:rsid w:val="1BD432E5"/>
    <w:rsid w:val="1BDB5A82"/>
    <w:rsid w:val="1BF77399"/>
    <w:rsid w:val="1E9C47FB"/>
    <w:rsid w:val="1EB96310"/>
    <w:rsid w:val="1F4A3BB1"/>
    <w:rsid w:val="203B72B1"/>
    <w:rsid w:val="213C76B6"/>
    <w:rsid w:val="22E30222"/>
    <w:rsid w:val="235B352D"/>
    <w:rsid w:val="23D81812"/>
    <w:rsid w:val="246855E5"/>
    <w:rsid w:val="25F7538B"/>
    <w:rsid w:val="269F0952"/>
    <w:rsid w:val="27194E4F"/>
    <w:rsid w:val="271B1CE4"/>
    <w:rsid w:val="27A353A1"/>
    <w:rsid w:val="27A533E0"/>
    <w:rsid w:val="29093BA1"/>
    <w:rsid w:val="29A86028"/>
    <w:rsid w:val="2A9E12D4"/>
    <w:rsid w:val="2B436F76"/>
    <w:rsid w:val="2B604CF0"/>
    <w:rsid w:val="2C2F772C"/>
    <w:rsid w:val="2CC10893"/>
    <w:rsid w:val="2EA160FB"/>
    <w:rsid w:val="2EEB09C3"/>
    <w:rsid w:val="2F6A23F3"/>
    <w:rsid w:val="2FC7364B"/>
    <w:rsid w:val="311A016B"/>
    <w:rsid w:val="31D44E30"/>
    <w:rsid w:val="32033AD0"/>
    <w:rsid w:val="322C1388"/>
    <w:rsid w:val="32662DA0"/>
    <w:rsid w:val="339C16E9"/>
    <w:rsid w:val="3412418B"/>
    <w:rsid w:val="34673668"/>
    <w:rsid w:val="351169F1"/>
    <w:rsid w:val="35BE7F12"/>
    <w:rsid w:val="36236E22"/>
    <w:rsid w:val="36654834"/>
    <w:rsid w:val="36B468EB"/>
    <w:rsid w:val="36B71314"/>
    <w:rsid w:val="36B847DF"/>
    <w:rsid w:val="36F017DF"/>
    <w:rsid w:val="3727504F"/>
    <w:rsid w:val="38B06792"/>
    <w:rsid w:val="39F5782C"/>
    <w:rsid w:val="3A5649B5"/>
    <w:rsid w:val="3B251BB5"/>
    <w:rsid w:val="3BBD5BC7"/>
    <w:rsid w:val="3BE152D2"/>
    <w:rsid w:val="3DA717D4"/>
    <w:rsid w:val="3EAE2157"/>
    <w:rsid w:val="3ED8798B"/>
    <w:rsid w:val="3FB7C648"/>
    <w:rsid w:val="405076B9"/>
    <w:rsid w:val="41071446"/>
    <w:rsid w:val="41C57E79"/>
    <w:rsid w:val="43904A41"/>
    <w:rsid w:val="43C26E88"/>
    <w:rsid w:val="441B30BB"/>
    <w:rsid w:val="44956831"/>
    <w:rsid w:val="44AD6E2A"/>
    <w:rsid w:val="44AF3A53"/>
    <w:rsid w:val="459374C7"/>
    <w:rsid w:val="45D65531"/>
    <w:rsid w:val="46782431"/>
    <w:rsid w:val="46EF160A"/>
    <w:rsid w:val="485D2D22"/>
    <w:rsid w:val="486B48F8"/>
    <w:rsid w:val="48F8433E"/>
    <w:rsid w:val="49CD27F2"/>
    <w:rsid w:val="49D5664E"/>
    <w:rsid w:val="49FC7EE2"/>
    <w:rsid w:val="4A5C45E7"/>
    <w:rsid w:val="4AFA1E90"/>
    <w:rsid w:val="4B67484F"/>
    <w:rsid w:val="4B6C235B"/>
    <w:rsid w:val="4B6F4D02"/>
    <w:rsid w:val="4D0251A2"/>
    <w:rsid w:val="4DCC41B1"/>
    <w:rsid w:val="4E130FD4"/>
    <w:rsid w:val="4E21598B"/>
    <w:rsid w:val="4E9F6D91"/>
    <w:rsid w:val="4F18150F"/>
    <w:rsid w:val="4F6B12F3"/>
    <w:rsid w:val="51435177"/>
    <w:rsid w:val="52103270"/>
    <w:rsid w:val="525211DC"/>
    <w:rsid w:val="52D60782"/>
    <w:rsid w:val="52E82116"/>
    <w:rsid w:val="53272369"/>
    <w:rsid w:val="53511443"/>
    <w:rsid w:val="53DC348E"/>
    <w:rsid w:val="543E1DAB"/>
    <w:rsid w:val="54750A59"/>
    <w:rsid w:val="569E2F86"/>
    <w:rsid w:val="56D30F70"/>
    <w:rsid w:val="572D3B8D"/>
    <w:rsid w:val="57AB6046"/>
    <w:rsid w:val="581F7D34"/>
    <w:rsid w:val="584B2261"/>
    <w:rsid w:val="5882490B"/>
    <w:rsid w:val="58CB7F11"/>
    <w:rsid w:val="5A225792"/>
    <w:rsid w:val="5A6D7D85"/>
    <w:rsid w:val="5AE25C49"/>
    <w:rsid w:val="5B1F4BDA"/>
    <w:rsid w:val="5BF51D26"/>
    <w:rsid w:val="5C3A1E30"/>
    <w:rsid w:val="5F703176"/>
    <w:rsid w:val="60B42257"/>
    <w:rsid w:val="60F0513F"/>
    <w:rsid w:val="625E62E5"/>
    <w:rsid w:val="62762E1F"/>
    <w:rsid w:val="62D27C2C"/>
    <w:rsid w:val="63A13C60"/>
    <w:rsid w:val="64871D6D"/>
    <w:rsid w:val="64C338EF"/>
    <w:rsid w:val="655A346D"/>
    <w:rsid w:val="655D5054"/>
    <w:rsid w:val="65F42776"/>
    <w:rsid w:val="666041BE"/>
    <w:rsid w:val="67091A63"/>
    <w:rsid w:val="6836674F"/>
    <w:rsid w:val="684F0D91"/>
    <w:rsid w:val="686B3E7A"/>
    <w:rsid w:val="693E36F9"/>
    <w:rsid w:val="69505728"/>
    <w:rsid w:val="69D459D1"/>
    <w:rsid w:val="6BCB66DF"/>
    <w:rsid w:val="6C317B6E"/>
    <w:rsid w:val="6E512B9F"/>
    <w:rsid w:val="6E5B26C7"/>
    <w:rsid w:val="6E7D3DAA"/>
    <w:rsid w:val="6F341FB7"/>
    <w:rsid w:val="6F796CDC"/>
    <w:rsid w:val="71987A0B"/>
    <w:rsid w:val="72127CC2"/>
    <w:rsid w:val="727408F7"/>
    <w:rsid w:val="73F40AB0"/>
    <w:rsid w:val="744E2D55"/>
    <w:rsid w:val="74927765"/>
    <w:rsid w:val="763A0CBB"/>
    <w:rsid w:val="765145E5"/>
    <w:rsid w:val="76CA4DE0"/>
    <w:rsid w:val="77343B61"/>
    <w:rsid w:val="77892636"/>
    <w:rsid w:val="784625A1"/>
    <w:rsid w:val="7A481768"/>
    <w:rsid w:val="7A8645A6"/>
    <w:rsid w:val="7B1B172B"/>
    <w:rsid w:val="7C08267D"/>
    <w:rsid w:val="7C10505E"/>
    <w:rsid w:val="7C8F75FC"/>
    <w:rsid w:val="7CDC6E1C"/>
    <w:rsid w:val="7D277902"/>
    <w:rsid w:val="7D5741A4"/>
    <w:rsid w:val="7E89236A"/>
    <w:rsid w:val="7FDC49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p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est/C:\Users\Administrator\Desktop\2018&#24180;&#24230;&#20915;&#31639;&#20844;&#24320;-&#26446;&#24311;&#26631;773836\&#37325;&#24198;&#24066;&#33635;&#26124;&#21306;&#20892;&#19994;&#20892;&#26449;&#22996;&#21592;&#20250;(&#21407;&#21306;&#20892;&#22996;)2018&#24180;&#24230;&#20915;&#31639;&#20449;&#24687;&#20844;&#243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重庆市荣昌区农业农村委员会(原区农委)2018年度决算信息公开.dot</Template>
  <Pages>10</Pages>
  <Words>7916</Words>
  <Characters>9164</Characters>
  <Lines>67</Lines>
  <Paragraphs>19</Paragraphs>
  <TotalTime>0</TotalTime>
  <ScaleCrop>false</ScaleCrop>
  <LinksUpToDate>false</LinksUpToDate>
  <CharactersWithSpaces>9435</CharactersWithSpaces>
  <Application>WPS Office_11.8.2.10125_F1E327BC-269C-435d-A152-05C5408002CA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2019-07-23T17:09:00Z</dcterms:created>
  <dc:creator>Administrator</dc:creator>
  <cp:lastModifiedBy>guest</cp:lastModifiedBy>
  <dcterms:modified xsi:type="dcterms:W3CDTF">2022-04-11T18:21:35Z</dcterms:modified>
  <dc:title>公开报告模板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