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49"/>
          <w:tab w:val="center" w:pos="7040"/>
        </w:tabs>
        <w:jc w:val="both"/>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pPr>
        <w:tabs>
          <w:tab w:val="left" w:pos="349"/>
          <w:tab w:val="center" w:pos="7040"/>
        </w:tabs>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荣昌区202</w:t>
      </w:r>
      <w:r>
        <w:rPr>
          <w:rFonts w:hint="eastAsia" w:ascii="方正小标宋_GBK" w:hAnsi="方正小标宋_GBK" w:eastAsia="方正小标宋_GBK" w:cs="方正小标宋_GBK"/>
          <w:sz w:val="36"/>
          <w:szCs w:val="36"/>
          <w:lang w:val="en-US" w:eastAsia="zh-CN"/>
        </w:rPr>
        <w:t>3</w:t>
      </w:r>
      <w:r>
        <w:rPr>
          <w:rFonts w:hint="eastAsia" w:ascii="方正小标宋_GBK" w:hAnsi="方正小标宋_GBK" w:eastAsia="方正小标宋_GBK" w:cs="方正小标宋_GBK"/>
          <w:sz w:val="36"/>
          <w:szCs w:val="36"/>
        </w:rPr>
        <w:t>年生猪</w:t>
      </w:r>
      <w:r>
        <w:rPr>
          <w:rFonts w:hint="eastAsia" w:ascii="方正小标宋_GBK" w:hAnsi="方正小标宋_GBK" w:eastAsia="方正小标宋_GBK" w:cs="方正小标宋_GBK"/>
          <w:sz w:val="36"/>
          <w:szCs w:val="36"/>
          <w:lang w:eastAsia="zh-CN"/>
        </w:rPr>
        <w:t>（牛羊）</w:t>
      </w:r>
      <w:r>
        <w:rPr>
          <w:rFonts w:hint="eastAsia" w:ascii="方正小标宋_GBK" w:hAnsi="方正小标宋_GBK" w:eastAsia="方正小标宋_GBK" w:cs="方正小标宋_GBK"/>
          <w:sz w:val="36"/>
          <w:szCs w:val="36"/>
        </w:rPr>
        <w:t>调出大县奖励资金</w:t>
      </w:r>
      <w:r>
        <w:rPr>
          <w:rFonts w:hint="eastAsia" w:ascii="方正小标宋_GBK" w:hAnsi="方正小标宋_GBK" w:eastAsia="方正小标宋_GBK" w:cs="方正小标宋_GBK"/>
          <w:b w:val="0"/>
          <w:bCs w:val="0"/>
          <w:sz w:val="36"/>
          <w:szCs w:val="36"/>
          <w:lang w:eastAsia="zh-CN"/>
        </w:rPr>
        <w:t>拟上报公示</w:t>
      </w:r>
      <w:r>
        <w:rPr>
          <w:rFonts w:hint="eastAsia" w:ascii="方正小标宋_GBK" w:hAnsi="方正小标宋_GBK" w:eastAsia="方正小标宋_GBK" w:cs="方正小标宋_GBK"/>
          <w:sz w:val="36"/>
          <w:szCs w:val="36"/>
        </w:rPr>
        <w:t>表</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1260" w:firstLineChars="700"/>
        <w:jc w:val="both"/>
        <w:textAlignment w:val="auto"/>
        <w:outlineLvl w:val="9"/>
        <w:rPr>
          <w:rFonts w:hint="eastAsia" w:asciiTheme="minorEastAsia" w:hAnsiTheme="minorEastAsia" w:eastAsiaTheme="minorEastAsia" w:cstheme="minorEastAsia"/>
          <w:sz w:val="18"/>
          <w:szCs w:val="18"/>
          <w:lang w:eastAsia="zh-CN"/>
        </w:rPr>
      </w:pPr>
    </w:p>
    <w:tbl>
      <w:tblPr>
        <w:tblStyle w:val="5"/>
        <w:tblpPr w:leftFromText="180" w:rightFromText="180" w:vertAnchor="text" w:horzAnchor="page" w:tblpX="1186" w:tblpY="367"/>
        <w:tblOverlap w:val="never"/>
        <w:tblW w:w="142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2772"/>
        <w:gridCol w:w="1603"/>
        <w:gridCol w:w="2281"/>
        <w:gridCol w:w="3065"/>
        <w:gridCol w:w="1287"/>
        <w:gridCol w:w="1211"/>
        <w:gridCol w:w="13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4" w:hRule="atLeast"/>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序号</w:t>
            </w:r>
          </w:p>
        </w:tc>
        <w:tc>
          <w:tcPr>
            <w:tcW w:w="2772"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项目名称</w:t>
            </w:r>
          </w:p>
        </w:tc>
        <w:tc>
          <w:tcPr>
            <w:tcW w:w="16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支持对象</w:t>
            </w:r>
          </w:p>
        </w:tc>
        <w:tc>
          <w:tcPr>
            <w:tcW w:w="2281"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项目内容</w:t>
            </w:r>
          </w:p>
        </w:tc>
        <w:tc>
          <w:tcPr>
            <w:tcW w:w="306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项目绩效</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支持</w:t>
            </w:r>
            <w:bookmarkStart w:id="0" w:name="_GoBack"/>
            <w:bookmarkEnd w:id="0"/>
            <w:r>
              <w:rPr>
                <w:rFonts w:hint="eastAsia" w:ascii="宋体" w:hAnsi="宋体" w:eastAsia="宋体" w:cs="宋体"/>
                <w:b/>
                <w:bCs/>
                <w:sz w:val="18"/>
                <w:szCs w:val="18"/>
              </w:rPr>
              <w:t>方式</w:t>
            </w:r>
          </w:p>
        </w:tc>
        <w:tc>
          <w:tcPr>
            <w:tcW w:w="1211"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支持金额</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（万元）</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项目责任人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2" w:hRule="atLeast"/>
        </w:trPr>
        <w:tc>
          <w:tcPr>
            <w:tcW w:w="681"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w:t>
            </w:r>
          </w:p>
        </w:tc>
        <w:tc>
          <w:tcPr>
            <w:tcW w:w="2772"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荣昌区重大动物疫情处置补贴（养殖业主损失补贴）</w:t>
            </w:r>
          </w:p>
        </w:tc>
        <w:tc>
          <w:tcPr>
            <w:tcW w:w="1603"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养殖业主</w:t>
            </w:r>
          </w:p>
        </w:tc>
        <w:tc>
          <w:tcPr>
            <w:tcW w:w="2281"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在开展疑似重大动物疫病强制扑杀时，对养殖业主遭受的损失进行补贴</w:t>
            </w:r>
          </w:p>
        </w:tc>
        <w:tc>
          <w:tcPr>
            <w:tcW w:w="3065"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核实开展了强制扑杀无害化处理的养殖业主户数及扑杀数量、种类，按照标准进行政策性补贴。</w:t>
            </w:r>
          </w:p>
        </w:tc>
        <w:tc>
          <w:tcPr>
            <w:tcW w:w="1287"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直接补贴</w:t>
            </w:r>
          </w:p>
        </w:tc>
        <w:tc>
          <w:tcPr>
            <w:tcW w:w="1211"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101</w:t>
            </w:r>
          </w:p>
        </w:tc>
        <w:tc>
          <w:tcPr>
            <w:tcW w:w="1373"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sz w:val="18"/>
                <w:szCs w:val="18"/>
                <w:lang w:eastAsia="zh-CN"/>
              </w:rPr>
            </w:pPr>
            <w:r>
              <w:rPr>
                <w:rFonts w:hint="eastAsia" w:asciiTheme="minorEastAsia" w:hAnsiTheme="minorEastAsia" w:eastAsiaTheme="minorEastAsia" w:cstheme="minorEastAsia"/>
                <w:b w:val="0"/>
                <w:bCs w:val="0"/>
                <w:sz w:val="18"/>
                <w:szCs w:val="18"/>
                <w:lang w:eastAsia="zh-CN"/>
              </w:rPr>
              <w:t>乐泽宇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0" w:hRule="atLeast"/>
        </w:trPr>
        <w:tc>
          <w:tcPr>
            <w:tcW w:w="681"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w:t>
            </w:r>
          </w:p>
        </w:tc>
        <w:tc>
          <w:tcPr>
            <w:tcW w:w="2772"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color w:val="auto"/>
                <w:sz w:val="18"/>
                <w:szCs w:val="18"/>
              </w:rPr>
            </w:pPr>
            <w:r>
              <w:rPr>
                <w:rFonts w:hint="eastAsia" w:asciiTheme="minorEastAsia" w:hAnsiTheme="minorEastAsia" w:eastAsiaTheme="minorEastAsia" w:cstheme="minorEastAsia"/>
                <w:b w:val="0"/>
                <w:bCs w:val="0"/>
                <w:color w:val="auto"/>
                <w:sz w:val="18"/>
                <w:szCs w:val="18"/>
              </w:rPr>
              <w:t>病死猪养殖及屠宰环节无害化处理补贴项目</w:t>
            </w:r>
          </w:p>
        </w:tc>
        <w:tc>
          <w:tcPr>
            <w:tcW w:w="1603"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color w:val="auto"/>
                <w:sz w:val="18"/>
                <w:szCs w:val="18"/>
                <w:lang w:val="en-US" w:eastAsia="zh-CN"/>
              </w:rPr>
            </w:pPr>
            <w:r>
              <w:rPr>
                <w:rFonts w:hint="eastAsia" w:asciiTheme="minorEastAsia" w:hAnsiTheme="minorEastAsia" w:eastAsiaTheme="minorEastAsia" w:cstheme="minorEastAsia"/>
                <w:b w:val="0"/>
                <w:bCs w:val="0"/>
                <w:color w:val="auto"/>
                <w:sz w:val="18"/>
                <w:szCs w:val="18"/>
                <w:lang w:val="en-US" w:eastAsia="zh-CN"/>
              </w:rPr>
              <w:t>无害化处理企业及屠宰企业（户）</w:t>
            </w:r>
          </w:p>
        </w:tc>
        <w:tc>
          <w:tcPr>
            <w:tcW w:w="2281"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color w:val="auto"/>
                <w:sz w:val="18"/>
                <w:szCs w:val="18"/>
              </w:rPr>
            </w:pPr>
            <w:r>
              <w:rPr>
                <w:rFonts w:hint="eastAsia" w:asciiTheme="minorEastAsia" w:hAnsiTheme="minorEastAsia" w:eastAsiaTheme="minorEastAsia" w:cstheme="minorEastAsia"/>
                <w:b w:val="0"/>
                <w:bCs w:val="0"/>
                <w:color w:val="auto"/>
                <w:sz w:val="18"/>
                <w:szCs w:val="18"/>
              </w:rPr>
              <w:t>对全区养殖环节及屠宰环节等病死病害动物及其产品无害化处理费用进行政策性补贴。</w:t>
            </w:r>
          </w:p>
        </w:tc>
        <w:tc>
          <w:tcPr>
            <w:tcW w:w="3065"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rPr>
              <w:t>按无害化处理头数</w:t>
            </w:r>
            <w:r>
              <w:rPr>
                <w:rFonts w:hint="eastAsia" w:asciiTheme="minorEastAsia" w:hAnsiTheme="minorEastAsia" w:eastAsiaTheme="minorEastAsia" w:cstheme="minorEastAsia"/>
                <w:b w:val="0"/>
                <w:bCs w:val="0"/>
                <w:sz w:val="18"/>
                <w:szCs w:val="18"/>
                <w:lang w:eastAsia="zh-CN"/>
              </w:rPr>
              <w:t>（换算）</w:t>
            </w:r>
            <w:r>
              <w:rPr>
                <w:rFonts w:hint="eastAsia" w:asciiTheme="minorEastAsia" w:hAnsiTheme="minorEastAsia" w:eastAsiaTheme="minorEastAsia" w:cstheme="minorEastAsia"/>
                <w:b w:val="0"/>
                <w:bCs w:val="0"/>
                <w:sz w:val="18"/>
                <w:szCs w:val="18"/>
              </w:rPr>
              <w:t>对处理人员、单位进行政策性补贴</w:t>
            </w:r>
            <w:r>
              <w:rPr>
                <w:rFonts w:hint="eastAsia" w:asciiTheme="minorEastAsia" w:hAnsiTheme="minorEastAsia" w:eastAsiaTheme="minorEastAsia" w:cstheme="minorEastAsia"/>
                <w:b w:val="0"/>
                <w:bCs w:val="0"/>
                <w:sz w:val="18"/>
                <w:szCs w:val="18"/>
                <w:lang w:eastAsia="zh-CN"/>
              </w:rPr>
              <w:t>，</w:t>
            </w:r>
            <w:r>
              <w:rPr>
                <w:rFonts w:hint="eastAsia" w:asciiTheme="minorEastAsia" w:hAnsiTheme="minorEastAsia" w:eastAsiaTheme="minorEastAsia" w:cstheme="minorEastAsia"/>
                <w:b w:val="0"/>
                <w:bCs w:val="0"/>
                <w:sz w:val="18"/>
                <w:szCs w:val="18"/>
                <w:lang w:val="en-US" w:eastAsia="zh-CN"/>
              </w:rPr>
              <w:t>对屠宰环节开展无害化处理的屠宰企业及屠宰户损失进行据实补贴。</w:t>
            </w:r>
          </w:p>
        </w:tc>
        <w:tc>
          <w:tcPr>
            <w:tcW w:w="1287"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直接补贴</w:t>
            </w:r>
          </w:p>
        </w:tc>
        <w:tc>
          <w:tcPr>
            <w:tcW w:w="1211"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75</w:t>
            </w:r>
          </w:p>
        </w:tc>
        <w:tc>
          <w:tcPr>
            <w:tcW w:w="1373"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sz w:val="18"/>
                <w:szCs w:val="18"/>
                <w:lang w:eastAsia="zh-CN"/>
              </w:rPr>
            </w:pPr>
            <w:r>
              <w:rPr>
                <w:rFonts w:hint="eastAsia" w:asciiTheme="minorEastAsia" w:hAnsiTheme="minorEastAsia" w:eastAsiaTheme="minorEastAsia" w:cstheme="minorEastAsia"/>
                <w:b w:val="0"/>
                <w:bCs w:val="0"/>
                <w:sz w:val="18"/>
                <w:szCs w:val="18"/>
                <w:lang w:eastAsia="zh-CN"/>
              </w:rPr>
              <w:t>乐泽宇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0" w:hRule="atLeast"/>
        </w:trPr>
        <w:tc>
          <w:tcPr>
            <w:tcW w:w="681"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3</w:t>
            </w:r>
          </w:p>
        </w:tc>
        <w:tc>
          <w:tcPr>
            <w:tcW w:w="2772"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color w:val="auto"/>
                <w:sz w:val="18"/>
                <w:szCs w:val="18"/>
              </w:rPr>
            </w:pPr>
            <w:r>
              <w:rPr>
                <w:rFonts w:hint="eastAsia" w:asciiTheme="minorEastAsia" w:hAnsiTheme="minorEastAsia" w:eastAsiaTheme="minorEastAsia" w:cstheme="minorEastAsia"/>
                <w:b w:val="0"/>
                <w:bCs w:val="0"/>
                <w:color w:val="auto"/>
                <w:sz w:val="18"/>
                <w:szCs w:val="18"/>
              </w:rPr>
              <w:t>病死猪无害化处理运费补贴项目</w:t>
            </w:r>
          </w:p>
        </w:tc>
        <w:tc>
          <w:tcPr>
            <w:tcW w:w="1603"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color w:val="auto"/>
                <w:sz w:val="18"/>
                <w:szCs w:val="18"/>
                <w:lang w:val="en-US" w:eastAsia="zh-CN"/>
              </w:rPr>
            </w:pPr>
            <w:r>
              <w:rPr>
                <w:rFonts w:hint="eastAsia" w:asciiTheme="minorEastAsia" w:hAnsiTheme="minorEastAsia" w:eastAsiaTheme="minorEastAsia" w:cstheme="minorEastAsia"/>
                <w:b w:val="0"/>
                <w:bCs w:val="0"/>
                <w:color w:val="auto"/>
                <w:sz w:val="18"/>
                <w:szCs w:val="18"/>
                <w:lang w:val="en-US" w:eastAsia="zh-CN"/>
              </w:rPr>
              <w:t>养殖业主</w:t>
            </w:r>
          </w:p>
        </w:tc>
        <w:tc>
          <w:tcPr>
            <w:tcW w:w="2281"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color w:val="auto"/>
                <w:sz w:val="18"/>
                <w:szCs w:val="18"/>
              </w:rPr>
            </w:pPr>
            <w:r>
              <w:rPr>
                <w:rFonts w:hint="eastAsia" w:asciiTheme="minorEastAsia" w:hAnsiTheme="minorEastAsia" w:eastAsiaTheme="minorEastAsia" w:cstheme="minorEastAsia"/>
                <w:b w:val="0"/>
                <w:bCs w:val="0"/>
                <w:color w:val="auto"/>
                <w:sz w:val="18"/>
                <w:szCs w:val="18"/>
              </w:rPr>
              <w:t>向全区养殖业主在运输病死猪至收储点的运费进行政策性补贴。</w:t>
            </w:r>
          </w:p>
        </w:tc>
        <w:tc>
          <w:tcPr>
            <w:tcW w:w="3065"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按无害化处理头数对养殖业主运输病死猪费用进行政策性补贴</w:t>
            </w:r>
            <w:r>
              <w:rPr>
                <w:rFonts w:hint="eastAsia" w:asciiTheme="minorEastAsia" w:hAnsiTheme="minorEastAsia" w:eastAsiaTheme="minorEastAsia" w:cstheme="minorEastAsia"/>
                <w:b w:val="0"/>
                <w:bCs w:val="0"/>
                <w:sz w:val="18"/>
                <w:szCs w:val="18"/>
                <w:lang w:eastAsia="zh-CN"/>
              </w:rPr>
              <w:t>。</w:t>
            </w:r>
          </w:p>
        </w:tc>
        <w:tc>
          <w:tcPr>
            <w:tcW w:w="1287"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rPr>
              <w:t>直接补贴</w:t>
            </w:r>
          </w:p>
        </w:tc>
        <w:tc>
          <w:tcPr>
            <w:tcW w:w="1211"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50</w:t>
            </w:r>
          </w:p>
        </w:tc>
        <w:tc>
          <w:tcPr>
            <w:tcW w:w="1373"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sz w:val="18"/>
                <w:szCs w:val="18"/>
                <w:lang w:eastAsia="zh-CN"/>
              </w:rPr>
            </w:pPr>
            <w:r>
              <w:rPr>
                <w:rFonts w:hint="eastAsia" w:asciiTheme="minorEastAsia" w:hAnsiTheme="minorEastAsia" w:eastAsiaTheme="minorEastAsia" w:cstheme="minorEastAsia"/>
                <w:b w:val="0"/>
                <w:bCs w:val="0"/>
                <w:sz w:val="18"/>
                <w:szCs w:val="18"/>
                <w:lang w:eastAsia="zh-CN"/>
              </w:rPr>
              <w:t>乐泽宇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5" w:hRule="atLeast"/>
        </w:trPr>
        <w:tc>
          <w:tcPr>
            <w:tcW w:w="681"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4</w:t>
            </w:r>
          </w:p>
        </w:tc>
        <w:tc>
          <w:tcPr>
            <w:tcW w:w="2772"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color w:val="auto"/>
                <w:sz w:val="18"/>
                <w:szCs w:val="18"/>
              </w:rPr>
            </w:pPr>
            <w:r>
              <w:rPr>
                <w:rFonts w:hint="eastAsia" w:asciiTheme="minorEastAsia" w:hAnsiTheme="minorEastAsia" w:eastAsiaTheme="minorEastAsia" w:cstheme="minorEastAsia"/>
                <w:b w:val="0"/>
                <w:bCs w:val="0"/>
                <w:sz w:val="18"/>
                <w:szCs w:val="18"/>
              </w:rPr>
              <w:t>2023年畜牧兽医社会化服务</w:t>
            </w:r>
          </w:p>
        </w:tc>
        <w:tc>
          <w:tcPr>
            <w:tcW w:w="1603" w:type="dxa"/>
            <w:vAlign w:val="center"/>
          </w:tcPr>
          <w:p>
            <w:pPr>
              <w:keepNext w:val="0"/>
              <w:keepLines w:val="0"/>
              <w:pageBreakBefore w:val="0"/>
              <w:widowControl w:val="0"/>
              <w:tabs>
                <w:tab w:val="left" w:pos="423"/>
              </w:tabs>
              <w:kinsoku/>
              <w:wordWrap/>
              <w:overflowPunct/>
              <w:topLinePunct w:val="0"/>
              <w:autoSpaceDE/>
              <w:autoSpaceDN w:val="0"/>
              <w:bidi w:val="0"/>
              <w:adjustRightInd/>
              <w:snapToGrid w:val="0"/>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color w:val="auto"/>
                <w:sz w:val="18"/>
                <w:szCs w:val="18"/>
                <w:lang w:val="en-US" w:eastAsia="zh-CN"/>
              </w:rPr>
            </w:pPr>
            <w:r>
              <w:rPr>
                <w:rFonts w:hint="eastAsia" w:asciiTheme="minorEastAsia" w:hAnsiTheme="minorEastAsia" w:eastAsiaTheme="minorEastAsia" w:cstheme="minorEastAsia"/>
                <w:b w:val="0"/>
                <w:bCs w:val="0"/>
                <w:color w:val="auto"/>
                <w:sz w:val="18"/>
                <w:szCs w:val="18"/>
                <w:lang w:val="en-US" w:eastAsia="zh-CN"/>
              </w:rPr>
              <w:t>提供畜牧兽医服务工作的个人及社会主体</w:t>
            </w:r>
          </w:p>
        </w:tc>
        <w:tc>
          <w:tcPr>
            <w:tcW w:w="2281"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color w:val="auto"/>
                <w:sz w:val="18"/>
                <w:szCs w:val="18"/>
              </w:rPr>
            </w:pPr>
            <w:r>
              <w:rPr>
                <w:rFonts w:hint="eastAsia" w:asciiTheme="minorEastAsia" w:hAnsiTheme="minorEastAsia" w:eastAsiaTheme="minorEastAsia" w:cstheme="minorEastAsia"/>
                <w:b w:val="0"/>
                <w:bCs w:val="0"/>
                <w:color w:val="000000"/>
                <w:sz w:val="18"/>
                <w:szCs w:val="18"/>
                <w:lang w:val="en-US" w:eastAsia="zh-CN"/>
              </w:rPr>
              <w:t>荣昌区2023年畜牧兽医社会化服务（详见安排表）</w:t>
            </w:r>
          </w:p>
        </w:tc>
        <w:tc>
          <w:tcPr>
            <w:tcW w:w="3065"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做好强制免疫、消毒等畜牧兽医服务，确保不发生重大动物疫病区域性传播。</w:t>
            </w:r>
          </w:p>
        </w:tc>
        <w:tc>
          <w:tcPr>
            <w:tcW w:w="1287"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直接补贴</w:t>
            </w:r>
          </w:p>
        </w:tc>
        <w:tc>
          <w:tcPr>
            <w:tcW w:w="1211"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95</w:t>
            </w:r>
          </w:p>
        </w:tc>
        <w:tc>
          <w:tcPr>
            <w:tcW w:w="1373"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sz w:val="18"/>
                <w:szCs w:val="18"/>
                <w:lang w:eastAsia="zh-CN"/>
              </w:rPr>
            </w:pPr>
            <w:r>
              <w:rPr>
                <w:rFonts w:hint="eastAsia" w:asciiTheme="minorEastAsia" w:hAnsiTheme="minorEastAsia" w:eastAsiaTheme="minorEastAsia" w:cstheme="minorEastAsia"/>
                <w:b w:val="0"/>
                <w:bCs w:val="0"/>
                <w:sz w:val="18"/>
                <w:szCs w:val="18"/>
                <w:lang w:eastAsia="zh-CN"/>
              </w:rPr>
              <w:t>林丹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5" w:hRule="atLeast"/>
        </w:trPr>
        <w:tc>
          <w:tcPr>
            <w:tcW w:w="3453" w:type="dxa"/>
            <w:gridSpan w:val="2"/>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jc w:val="center"/>
              <w:textAlignment w:val="center"/>
              <w:outlineLvl w:val="9"/>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8236" w:type="dxa"/>
            <w:gridSpan w:val="4"/>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jc w:val="center"/>
              <w:textAlignment w:val="center"/>
              <w:outlineLvl w:val="9"/>
              <w:rPr>
                <w:rFonts w:hint="eastAsia" w:asciiTheme="minorEastAsia" w:hAnsiTheme="minorEastAsia" w:eastAsiaTheme="minorEastAsia" w:cstheme="minorEastAsia"/>
                <w:sz w:val="18"/>
                <w:szCs w:val="18"/>
              </w:rPr>
            </w:pPr>
          </w:p>
        </w:tc>
        <w:tc>
          <w:tcPr>
            <w:tcW w:w="1211"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jc w:val="center"/>
              <w:textAlignment w:val="center"/>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sz w:val="18"/>
                <w:szCs w:val="18"/>
                <w:lang w:val="en-US" w:eastAsia="zh-CN"/>
              </w:rPr>
              <w:t>321</w:t>
            </w:r>
          </w:p>
        </w:tc>
        <w:tc>
          <w:tcPr>
            <w:tcW w:w="1373" w:type="dxa"/>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right="0" w:rightChars="0"/>
              <w:jc w:val="center"/>
              <w:textAlignment w:val="center"/>
              <w:outlineLvl w:val="9"/>
              <w:rPr>
                <w:rFonts w:hint="eastAsia" w:asciiTheme="minorEastAsia" w:hAnsiTheme="minorEastAsia" w:eastAsiaTheme="minorEastAsia" w:cstheme="minorEastAsia"/>
                <w:sz w:val="15"/>
                <w:szCs w:val="15"/>
              </w:rPr>
            </w:pPr>
          </w:p>
        </w:tc>
      </w:tr>
    </w:tbl>
    <w:p>
      <w:pPr>
        <w:keepNext w:val="0"/>
        <w:keepLines w:val="0"/>
        <w:pageBreakBefore w:val="0"/>
        <w:widowControl w:val="0"/>
        <w:kinsoku/>
        <w:wordWrap/>
        <w:overflowPunct/>
        <w:topLinePunct w:val="0"/>
        <w:autoSpaceDE/>
        <w:autoSpaceDN/>
        <w:bidi w:val="0"/>
        <w:adjustRightInd/>
        <w:snapToGrid/>
        <w:spacing w:line="280" w:lineRule="exact"/>
        <w:ind w:right="0" w:rightChars="0"/>
        <w:jc w:val="both"/>
        <w:textAlignment w:val="auto"/>
        <w:outlineLvl w:val="9"/>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单位：重庆市荣昌区农业农村委员会</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lang w:val="en-US" w:eastAsia="zh-CN"/>
        </w:rPr>
        <w:t xml:space="preserve"> 填表日期：2023年</w:t>
      </w:r>
      <w:r>
        <w:rPr>
          <w:rFonts w:hint="eastAsia" w:asciiTheme="minorEastAsia" w:hAnsiTheme="minorEastAsia" w:cstheme="minorEastAsia"/>
          <w:sz w:val="18"/>
          <w:szCs w:val="18"/>
          <w:lang w:val="en-US" w:eastAsia="zh-CN"/>
        </w:rPr>
        <w:t>2</w:t>
      </w:r>
      <w:r>
        <w:rPr>
          <w:rFonts w:hint="eastAsia" w:asciiTheme="minorEastAsia" w:hAnsiTheme="minorEastAsia" w:eastAsiaTheme="minorEastAsia" w:cstheme="minorEastAsia"/>
          <w:sz w:val="18"/>
          <w:szCs w:val="18"/>
          <w:lang w:val="en-US" w:eastAsia="zh-CN"/>
        </w:rPr>
        <w:t>月</w:t>
      </w:r>
      <w:r>
        <w:rPr>
          <w:rFonts w:hint="eastAsia" w:asciiTheme="minorEastAsia" w:hAnsiTheme="minorEastAsia" w:cstheme="minorEastAsia"/>
          <w:sz w:val="18"/>
          <w:szCs w:val="18"/>
          <w:lang w:val="en-US" w:eastAsia="zh-CN"/>
        </w:rPr>
        <w:t>13</w:t>
      </w:r>
      <w:r>
        <w:rPr>
          <w:rFonts w:hint="eastAsia" w:asciiTheme="minorEastAsia" w:hAnsiTheme="minorEastAsia" w:eastAsiaTheme="minorEastAsia" w:cstheme="minorEastAsia"/>
          <w:sz w:val="18"/>
          <w:szCs w:val="18"/>
          <w:lang w:val="en-US" w:eastAsia="zh-CN"/>
        </w:rPr>
        <w:t>日</w:t>
      </w:r>
    </w:p>
    <w:p>
      <w:pPr>
        <w:pStyle w:val="2"/>
        <w:keepNext w:val="0"/>
        <w:keepLines w:val="0"/>
        <w:pageBreakBefore w:val="0"/>
        <w:widowControl w:val="0"/>
        <w:kinsoku/>
        <w:wordWrap/>
        <w:overflowPunct/>
        <w:topLinePunct w:val="0"/>
        <w:autoSpaceDE/>
        <w:bidi w:val="0"/>
        <w:adjustRightInd/>
        <w:spacing w:line="160" w:lineRule="atLeast"/>
        <w:ind w:left="0" w:leftChars="0" w:right="0" w:rightChars="0" w:firstLine="0" w:firstLineChars="0"/>
      </w:pPr>
      <w:r>
        <w:rPr>
          <w:rFonts w:hint="eastAsia" w:ascii="方正仿宋_GBK" w:hAnsi="方正仿宋_GBK" w:eastAsia="方正仿宋_GBK" w:cs="方正仿宋_GBK"/>
          <w:b w:val="0"/>
          <w:bCs w:val="0"/>
          <w:lang w:val="en-US" w:eastAsia="zh-CN"/>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FZKai-Z03S">
    <w:altName w:val="宋体"/>
    <w:panose1 w:val="02010601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5NDJhMDA2MTQzODcwMWJjNzkyMTVjYTQzYzNmNGMifQ=="/>
  </w:docVars>
  <w:rsids>
    <w:rsidRoot w:val="5FCE2FA0"/>
    <w:rsid w:val="02291282"/>
    <w:rsid w:val="0BB701AF"/>
    <w:rsid w:val="0D5E6DC3"/>
    <w:rsid w:val="12176F24"/>
    <w:rsid w:val="134477E3"/>
    <w:rsid w:val="19DC6F8C"/>
    <w:rsid w:val="1F6F7293"/>
    <w:rsid w:val="220F54D6"/>
    <w:rsid w:val="229D2D52"/>
    <w:rsid w:val="23D54C86"/>
    <w:rsid w:val="28DC722E"/>
    <w:rsid w:val="386008F4"/>
    <w:rsid w:val="3B402BA6"/>
    <w:rsid w:val="42673C67"/>
    <w:rsid w:val="45C6103E"/>
    <w:rsid w:val="524C5239"/>
    <w:rsid w:val="52B24222"/>
    <w:rsid w:val="52DF2438"/>
    <w:rsid w:val="5E882F5C"/>
    <w:rsid w:val="5FCE2FA0"/>
    <w:rsid w:val="6BAB0A79"/>
    <w:rsid w:val="6E9F03D3"/>
    <w:rsid w:val="783C7685"/>
    <w:rsid w:val="7B2D7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rFonts w:eastAsia="宋体" w:asciiTheme="minorAscii" w:hAnsiTheme="minorAscii"/>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81</Words>
  <Characters>89</Characters>
  <Lines>0</Lines>
  <Paragraphs>0</Paragraphs>
  <ScaleCrop>false</ScaleCrop>
  <LinksUpToDate>false</LinksUpToDate>
  <CharactersWithSpaces>89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2022-12-26T09:32:00Z</dcterms:created>
  <dc:creator>mk</dc:creator>
  <cp:lastModifiedBy>mk</cp:lastModifiedBy>
  <dcterms:modified xsi:type="dcterms:W3CDTF">2023-02-13T01:58:57Z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E00B5C1AE9C349FEA153AA7CD115CFD7</vt:lpwstr>
  </property>
</Properties>
</file>