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27D9D4">
      <w:pPr>
        <w:pStyle w:val="13"/>
        <w:pageBreakBefore w:val="0"/>
        <w:wordWrap/>
        <w:overflowPunct/>
        <w:topLinePunct w:val="0"/>
        <w:bidi w:val="0"/>
        <w:snapToGrid w:val="0"/>
        <w:spacing w:beforeAutospacing="0" w:after="0" w:afterAutospacing="0" w:line="600" w:lineRule="exact"/>
        <w:ind w:left="0" w:leftChars="0" w:right="0" w:rightChars="0" w:firstLine="0" w:firstLineChars="0"/>
        <w:jc w:val="left"/>
        <w:outlineLvl w:val="9"/>
        <w:rPr>
          <w:rFonts w:hint="eastAsia" w:ascii="方正黑体_GBK" w:hAnsi="方正黑体_GBK" w:eastAsia="方正黑体_GBK" w:cs="方正黑体_GBK"/>
          <w:b w:val="0"/>
          <w:bCs w:val="0"/>
          <w:color w:val="000000"/>
          <w:sz w:val="32"/>
          <w:szCs w:val="32"/>
          <w:lang w:val="en-US" w:eastAsia="zh-CN"/>
        </w:rPr>
      </w:pPr>
      <w:r>
        <w:rPr>
          <w:rFonts w:hint="eastAsia" w:ascii="方正黑体_GBK" w:hAnsi="方正黑体_GBK" w:eastAsia="方正黑体_GBK" w:cs="方正黑体_GBK"/>
          <w:b w:val="0"/>
          <w:bCs w:val="0"/>
          <w:color w:val="000000"/>
          <w:sz w:val="32"/>
          <w:szCs w:val="32"/>
          <w:lang w:val="en-US" w:eastAsia="zh-CN"/>
        </w:rPr>
        <w:t>附件3</w:t>
      </w:r>
    </w:p>
    <w:p w14:paraId="39EFF92D">
      <w:pPr>
        <w:keepNext w:val="0"/>
        <w:keepLines w:val="0"/>
        <w:pageBreakBefore w:val="0"/>
        <w:widowControl w:val="0"/>
        <w:numPr>
          <w:ilvl w:val="0"/>
          <w:numId w:val="0"/>
        </w:numPr>
        <w:kinsoku/>
        <w:wordWrap/>
        <w:overflowPunct/>
        <w:topLinePunct w:val="0"/>
        <w:autoSpaceDE/>
        <w:autoSpaceDN/>
        <w:bidi w:val="0"/>
        <w:adjustRightInd/>
        <w:snapToGrid/>
        <w:spacing w:before="292" w:beforeLines="50" w:line="540" w:lineRule="exact"/>
        <w:ind w:right="0" w:rightChars="0"/>
        <w:jc w:val="center"/>
        <w:textAlignment w:val="auto"/>
        <w:rPr>
          <w:rFonts w:hint="default" w:ascii="Times New Roman" w:hAnsi="Times New Roman" w:eastAsia="方正小标宋_GBK" w:cs="Times New Roman"/>
          <w:bCs/>
          <w:color w:val="auto"/>
          <w:kern w:val="44"/>
          <w:sz w:val="44"/>
          <w:szCs w:val="44"/>
          <w:lang w:val="en-US" w:eastAsia="zh-CN" w:bidi="ar-SA"/>
        </w:rPr>
      </w:pPr>
      <w:r>
        <w:rPr>
          <w:rFonts w:hint="eastAsia" w:ascii="Times New Roman" w:hAnsi="Times New Roman" w:eastAsia="方正小标宋_GBK" w:cs="Times New Roman"/>
          <w:bCs/>
          <w:color w:val="auto"/>
          <w:kern w:val="44"/>
          <w:sz w:val="44"/>
          <w:szCs w:val="44"/>
          <w:lang w:val="en-US" w:eastAsia="zh-CN" w:bidi="ar-SA"/>
        </w:rPr>
        <w:t>荣昌区</w:t>
      </w:r>
      <w:r>
        <w:rPr>
          <w:rFonts w:hint="default" w:ascii="Times New Roman" w:hAnsi="Times New Roman" w:eastAsia="方正小标宋_GBK" w:cs="Times New Roman"/>
          <w:bCs/>
          <w:color w:val="auto"/>
          <w:kern w:val="44"/>
          <w:sz w:val="44"/>
          <w:szCs w:val="44"/>
          <w:lang w:val="en-US" w:eastAsia="zh-CN" w:bidi="ar-SA"/>
        </w:rPr>
        <w:t>202</w:t>
      </w:r>
      <w:r>
        <w:rPr>
          <w:rFonts w:hint="eastAsia" w:ascii="Times New Roman" w:hAnsi="Times New Roman" w:eastAsia="方正小标宋_GBK" w:cs="Times New Roman"/>
          <w:bCs/>
          <w:color w:val="auto"/>
          <w:kern w:val="44"/>
          <w:sz w:val="44"/>
          <w:szCs w:val="44"/>
          <w:lang w:val="en-US" w:eastAsia="zh-CN" w:bidi="ar-SA"/>
        </w:rPr>
        <w:t>6</w:t>
      </w:r>
      <w:r>
        <w:rPr>
          <w:rFonts w:hint="default" w:ascii="Times New Roman" w:hAnsi="Times New Roman" w:eastAsia="方正小标宋_GBK" w:cs="Times New Roman"/>
          <w:bCs/>
          <w:color w:val="auto"/>
          <w:kern w:val="44"/>
          <w:sz w:val="44"/>
          <w:szCs w:val="44"/>
          <w:lang w:val="en-US" w:eastAsia="zh-CN" w:bidi="ar-SA"/>
        </w:rPr>
        <w:t>年</w:t>
      </w:r>
      <w:r>
        <w:rPr>
          <w:rFonts w:hint="eastAsia" w:ascii="Times New Roman" w:hAnsi="Times New Roman" w:eastAsia="方正小标宋_GBK" w:cs="Times New Roman"/>
          <w:bCs/>
          <w:color w:val="auto"/>
          <w:kern w:val="44"/>
          <w:sz w:val="44"/>
          <w:szCs w:val="44"/>
          <w:lang w:val="en-US" w:eastAsia="zh-CN" w:bidi="ar-SA"/>
        </w:rPr>
        <w:t>度</w:t>
      </w:r>
      <w:r>
        <w:rPr>
          <w:rFonts w:hint="default" w:ascii="Times New Roman" w:hAnsi="Times New Roman" w:eastAsia="方正小标宋_GBK" w:cs="Times New Roman"/>
          <w:bCs/>
          <w:color w:val="auto"/>
          <w:kern w:val="44"/>
          <w:sz w:val="44"/>
          <w:szCs w:val="44"/>
          <w:lang w:val="en-US" w:eastAsia="zh-CN" w:bidi="ar-SA"/>
        </w:rPr>
        <w:t>农业主推技术简介</w:t>
      </w:r>
    </w:p>
    <w:p w14:paraId="12741099">
      <w:pPr>
        <w:pStyle w:val="13"/>
        <w:pageBreakBefore w:val="0"/>
        <w:wordWrap/>
        <w:overflowPunct/>
        <w:topLinePunct w:val="0"/>
        <w:bidi w:val="0"/>
        <w:snapToGrid w:val="0"/>
        <w:spacing w:beforeAutospacing="0" w:after="0" w:afterAutospacing="0" w:line="600" w:lineRule="exact"/>
        <w:ind w:right="0" w:rightChars="0"/>
        <w:jc w:val="both"/>
        <w:outlineLvl w:val="9"/>
        <w:rPr>
          <w:rFonts w:hint="eastAsia" w:ascii="方正小标宋_GBK" w:hAnsi="方正小标宋_GBK" w:eastAsia="方正小标宋_GBK" w:cs="方正小标宋_GBK"/>
          <w:b w:val="0"/>
          <w:bCs w:val="0"/>
          <w:color w:val="000000"/>
          <w:sz w:val="44"/>
          <w:szCs w:val="44"/>
          <w:lang w:val="en-US" w:eastAsia="zh-CN"/>
        </w:rPr>
      </w:pPr>
    </w:p>
    <w:p w14:paraId="1CDC6023">
      <w:pPr>
        <w:pStyle w:val="3"/>
        <w:bidi w:val="0"/>
        <w:rPr>
          <w:rFonts w:hint="eastAsia"/>
          <w:lang w:val="en-US" w:eastAsia="zh-CN"/>
        </w:rPr>
      </w:pPr>
      <w:r>
        <w:rPr>
          <w:rFonts w:hint="eastAsia"/>
          <w:lang w:val="en-US" w:eastAsia="zh-CN"/>
        </w:rPr>
        <w:t>1.轻中度镉污染稻田安全利用“VIF”技术</w:t>
      </w:r>
    </w:p>
    <w:p w14:paraId="54D707BA">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center"/>
        <w:textAlignment w:val="auto"/>
        <w:rPr>
          <w:rFonts w:hint="eastAsia" w:ascii="方正仿宋_GBK" w:hAnsi="方正仿宋_GBK" w:eastAsia="方正仿宋_GBK" w:cs="方正仿宋_GBK"/>
          <w:b w:val="0"/>
          <w:bCs w:val="0"/>
          <w:color w:val="000000"/>
          <w:sz w:val="32"/>
          <w:szCs w:val="32"/>
          <w:lang w:val="en-US" w:eastAsia="zh-CN"/>
        </w:rPr>
      </w:pPr>
    </w:p>
    <w:p w14:paraId="144565BB">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黑体_GBK" w:hAnsi="方正黑体_GBK" w:eastAsia="方正黑体_GBK" w:cs="方正黑体_GBK"/>
          <w:b w:val="0"/>
          <w:bCs w:val="0"/>
          <w:color w:val="000000"/>
          <w:sz w:val="32"/>
          <w:szCs w:val="32"/>
          <w:lang w:eastAsia="zh-CN"/>
        </w:rPr>
        <w:t>摘要：</w:t>
      </w:r>
      <w:r>
        <w:rPr>
          <w:rFonts w:hint="eastAsia" w:ascii="方正仿宋_GBK" w:hAnsi="方正仿宋_GBK" w:eastAsia="方正仿宋_GBK" w:cs="方正仿宋_GBK"/>
          <w:b w:val="0"/>
          <w:bCs w:val="0"/>
          <w:sz w:val="32"/>
          <w:szCs w:val="32"/>
          <w:lang w:val="en-US" w:eastAsia="zh-CN"/>
        </w:rPr>
        <w:t>重庆</w:t>
      </w:r>
      <w:r>
        <w:rPr>
          <w:rFonts w:hint="eastAsia" w:ascii="方正仿宋_GBK" w:hAnsi="方正仿宋_GBK" w:eastAsia="方正仿宋_GBK" w:cs="方正仿宋_GBK"/>
          <w:b w:val="0"/>
          <w:bCs w:val="0"/>
          <w:sz w:val="32"/>
          <w:szCs w:val="32"/>
        </w:rPr>
        <w:t>是</w:t>
      </w:r>
      <w:r>
        <w:rPr>
          <w:rFonts w:hint="eastAsia" w:ascii="方正仿宋_GBK" w:hAnsi="方正仿宋_GBK" w:eastAsia="方正仿宋_GBK" w:cs="方正仿宋_GBK"/>
          <w:b w:val="0"/>
          <w:bCs w:val="0"/>
          <w:sz w:val="32"/>
          <w:szCs w:val="32"/>
          <w:lang w:val="en-US" w:eastAsia="zh-CN"/>
        </w:rPr>
        <w:t>全国</w:t>
      </w:r>
      <w:r>
        <w:rPr>
          <w:rFonts w:hint="eastAsia" w:ascii="方正仿宋_GBK" w:hAnsi="方正仿宋_GBK" w:eastAsia="方正仿宋_GBK" w:cs="方正仿宋_GBK"/>
          <w:b w:val="0"/>
          <w:bCs w:val="0"/>
          <w:sz w:val="32"/>
          <w:szCs w:val="32"/>
        </w:rPr>
        <w:t>耕地污染重点省份之一，</w:t>
      </w:r>
      <w:r>
        <w:rPr>
          <w:rFonts w:hint="eastAsia" w:ascii="方正仿宋_GBK" w:hAnsi="方正仿宋_GBK" w:eastAsia="方正仿宋_GBK" w:cs="方正仿宋_GBK"/>
          <w:b w:val="0"/>
          <w:bCs w:val="0"/>
          <w:sz w:val="32"/>
          <w:szCs w:val="32"/>
          <w:lang w:val="en-US" w:eastAsia="zh-CN"/>
        </w:rPr>
        <w:t>其中90%的污染稻田为轻中度镉污染稻田，在耕地“非粮化”大背景下，为解决粮食重金属超标，保障地区</w:t>
      </w:r>
      <w:r>
        <w:rPr>
          <w:rFonts w:hint="eastAsia" w:ascii="方正仿宋_GBK" w:hAnsi="方正仿宋_GBK" w:eastAsia="方正仿宋_GBK" w:cs="方正仿宋_GBK"/>
          <w:b w:val="0"/>
          <w:bCs w:val="0"/>
          <w:sz w:val="32"/>
          <w:szCs w:val="32"/>
        </w:rPr>
        <w:t>粮食质量安全</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针对以重庆为代表的轻中度镉污染稻田，本着经济、高效、可持续的思路，提炼并总结出以“</w:t>
      </w:r>
      <w:r>
        <w:rPr>
          <w:rFonts w:hint="eastAsia" w:ascii="方正仿宋_GBK" w:hAnsi="方正仿宋_GBK" w:eastAsia="方正仿宋_GBK" w:cs="方正仿宋_GBK"/>
          <w:b w:val="0"/>
          <w:bCs w:val="0"/>
          <w:sz w:val="32"/>
          <w:szCs w:val="32"/>
        </w:rPr>
        <w:t>镉低累积品种替代</w:t>
      </w:r>
      <w:r>
        <w:rPr>
          <w:rFonts w:hint="eastAsia" w:ascii="方正仿宋_GBK" w:hAnsi="方正仿宋_GBK" w:eastAsia="方正仿宋_GBK" w:cs="方正仿宋_GBK"/>
          <w:b w:val="0"/>
          <w:bCs w:val="0"/>
          <w:sz w:val="32"/>
          <w:szCs w:val="32"/>
          <w:lang w:val="en-US" w:eastAsia="zh-CN"/>
        </w:rPr>
        <w:t>V+</w:t>
      </w:r>
      <w:r>
        <w:rPr>
          <w:rFonts w:hint="eastAsia" w:ascii="方正仿宋_GBK" w:hAnsi="方正仿宋_GBK" w:eastAsia="方正仿宋_GBK" w:cs="方正仿宋_GBK"/>
          <w:b w:val="0"/>
          <w:bCs w:val="0"/>
          <w:sz w:val="32"/>
          <w:szCs w:val="32"/>
        </w:rPr>
        <w:t>生育期水分调控</w:t>
      </w:r>
      <w:r>
        <w:rPr>
          <w:rFonts w:hint="eastAsia" w:ascii="方正仿宋_GBK" w:hAnsi="方正仿宋_GBK" w:eastAsia="方正仿宋_GBK" w:cs="方正仿宋_GBK"/>
          <w:b w:val="0"/>
          <w:bCs w:val="0"/>
          <w:sz w:val="32"/>
          <w:szCs w:val="32"/>
          <w:lang w:val="en-US" w:eastAsia="zh-CN"/>
        </w:rPr>
        <w:t>I+关键期叶面阻控F”为实施要点的轻中度镉污染稻田“VIF”综合防治技术。2022—2024年先后在南川、璧山、</w:t>
      </w:r>
      <w:r>
        <w:rPr>
          <w:rFonts w:hint="eastAsia" w:ascii="方正仿宋_GBK" w:hAnsi="方正仿宋_GBK" w:eastAsia="方正仿宋_GBK" w:cs="方正仿宋_GBK"/>
          <w:b w:val="0"/>
          <w:bCs w:val="0"/>
          <w:color w:val="auto"/>
          <w:sz w:val="32"/>
          <w:szCs w:val="32"/>
          <w:lang w:val="en-US" w:eastAsia="zh-CN"/>
        </w:rPr>
        <w:t>荣昌等区县建立了15个技术示范片，推广面积分别为3.3万亩、8.1万亩、12.8万亩，累计24.2万亩，助力国家考核“受污染耕地安全利用率”达标。2023、2024年国家新收获稻谷重金属抽检合格率均为100%，临田稻谷抽检平均合格率提升20%，新增了产值，减少了超标粮食处置，开展各级培训100余场次，累计培训技术人员、服务主体、农户3000人次，群众技术知晓率超85%。生态、社会和经济效益显著，有力助推农业绿色发展提质增效。</w:t>
      </w:r>
    </w:p>
    <w:p w14:paraId="7BAA2A20">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黑体_GBK" w:hAnsi="方正黑体_GBK" w:eastAsia="方正黑体_GBK" w:cs="方正黑体_GBK"/>
          <w:b w:val="0"/>
          <w:bCs w:val="0"/>
          <w:color w:val="000000"/>
          <w:sz w:val="32"/>
          <w:szCs w:val="32"/>
          <w:lang w:eastAsia="zh-CN"/>
        </w:rPr>
      </w:pPr>
      <w:r>
        <w:rPr>
          <w:rFonts w:hint="eastAsia" w:ascii="方正黑体_GBK" w:hAnsi="方正黑体_GBK" w:eastAsia="方正黑体_GBK" w:cs="方正黑体_GBK"/>
          <w:b w:val="0"/>
          <w:bCs w:val="0"/>
          <w:color w:val="000000"/>
          <w:sz w:val="32"/>
          <w:szCs w:val="32"/>
          <w:lang w:eastAsia="zh-CN"/>
        </w:rPr>
        <w:t>一、技术概述</w:t>
      </w:r>
    </w:p>
    <w:p w14:paraId="693AC26B">
      <w:pPr>
        <w:keepNext w:val="0"/>
        <w:keepLines w:val="0"/>
        <w:pageBreakBefore w:val="0"/>
        <w:widowControl w:val="0"/>
        <w:kinsoku/>
        <w:wordWrap/>
        <w:overflowPunct/>
        <w:topLinePunct w:val="0"/>
        <w:autoSpaceDE/>
        <w:autoSpaceDN/>
        <w:bidi w:val="0"/>
        <w:snapToGrid w:val="0"/>
        <w:spacing w:beforeAutospacing="0" w:afterAutospacing="0" w:line="600" w:lineRule="exact"/>
        <w:ind w:left="0" w:leftChars="0" w:right="0" w:rightChars="0" w:firstLine="640" w:firstLineChars="200"/>
        <w:textAlignment w:val="auto"/>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（一）背景情况</w:t>
      </w:r>
    </w:p>
    <w:p w14:paraId="7B623FEC">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随着我国工业化、城市化、农业集约化持续快速发展，耕地重金属污染已成为不可忽视的环境问题，由此引起的粮食质量安全问题也成为社会关注的焦点。2005年~2013年，我国开展了首次全国土壤污染状况调查，</w:t>
      </w:r>
      <w:r>
        <w:rPr>
          <w:rFonts w:hint="eastAsia" w:ascii="方正仿宋_GBK" w:hAnsi="方正仿宋_GBK" w:eastAsia="方正仿宋_GBK" w:cs="方正仿宋_GBK"/>
          <w:b w:val="0"/>
          <w:bCs w:val="0"/>
          <w:sz w:val="32"/>
          <w:szCs w:val="32"/>
          <w:lang w:val="en-US" w:eastAsia="zh-CN"/>
        </w:rPr>
        <w:t>据公报</w:t>
      </w:r>
      <w:r>
        <w:rPr>
          <w:rFonts w:hint="eastAsia" w:ascii="方正仿宋_GBK" w:hAnsi="方正仿宋_GBK" w:eastAsia="方正仿宋_GBK" w:cs="方正仿宋_GBK"/>
          <w:b w:val="0"/>
          <w:bCs w:val="0"/>
          <w:sz w:val="32"/>
          <w:szCs w:val="32"/>
        </w:rPr>
        <w:t>显示：全国土壤污染物点位超标率为16.1%，其中耕地土壤点位超标率为19.4%，超标因子以重金属污染为主，又以镉（Cd）污染最为普遍，其点位超标率高达7%，在所有污染物中排列第一位，好积累于水稻、玉米等主粮作物籽粒上。受制于重金属在土壤中的隐蔽性、积累性和难根除等特点，国内外均无高效、经济的方法彻底根治土壤重金属污染问题，通过移除的方式解决大面积耕地重金属污染需投入不切实际的巨额成本，</w:t>
      </w:r>
      <w:r>
        <w:rPr>
          <w:rFonts w:hint="eastAsia" w:ascii="方正仿宋_GBK" w:hAnsi="方正仿宋_GBK" w:eastAsia="方正仿宋_GBK" w:cs="方正仿宋_GBK"/>
          <w:b w:val="0"/>
          <w:bCs w:val="0"/>
          <w:sz w:val="32"/>
          <w:szCs w:val="32"/>
          <w:lang w:val="en-US" w:eastAsia="zh-CN"/>
        </w:rPr>
        <w:t>在耕地</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非粮化</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大背景下，</w:t>
      </w:r>
      <w:r>
        <w:rPr>
          <w:rFonts w:hint="eastAsia" w:ascii="方正仿宋_GBK" w:hAnsi="方正仿宋_GBK" w:eastAsia="方正仿宋_GBK" w:cs="方正仿宋_GBK"/>
          <w:b w:val="0"/>
          <w:bCs w:val="0"/>
          <w:sz w:val="32"/>
          <w:szCs w:val="32"/>
        </w:rPr>
        <w:t>通过生态修复的方式又与我国土地利用现状不符，因此针对受污染耕地更多集中在阻止作物吸收以保障农产品质量安全为前提的安全利用工作上。重庆耕地资源紧张，人均不足一亩，远低于全国平均水平，每一寸耕地都尤为珍贵。2005～2020年，我市先后开展的多次土壤污染状况调查成果显示，我市耕地土壤环境质量也不容乐观，污染因子主要为镉，90%以上为轻中度镉污染稻田，可见开展中轻度镉污染水稻田安全利用技术攻关已是解决我市粮食质量安全的重要问题。</w:t>
      </w:r>
    </w:p>
    <w:p w14:paraId="66C300B1">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针对镉污染稻田，目前主要的安全利用技术有低积累品种替代种植、水肥调控、叶面阻控、土壤调理等阻镉措施，但各项技术措施未充分提炼集成，应用性及适宜性均有待验证，因此集成适宜我市的中轻度镉污染稻田安全利用技术已迫在眉睫。本着成本</w:t>
      </w:r>
      <w:r>
        <w:rPr>
          <w:rFonts w:hint="eastAsia" w:ascii="方正仿宋_GBK" w:hAnsi="方正仿宋_GBK" w:eastAsia="方正仿宋_GBK" w:cs="方正仿宋_GBK"/>
          <w:b w:val="0"/>
          <w:bCs w:val="0"/>
          <w:sz w:val="32"/>
          <w:szCs w:val="32"/>
          <w:lang w:val="en-US" w:eastAsia="zh-CN"/>
        </w:rPr>
        <w:t>可控</w:t>
      </w:r>
      <w:r>
        <w:rPr>
          <w:rFonts w:hint="eastAsia" w:ascii="方正仿宋_GBK" w:hAnsi="方正仿宋_GBK" w:eastAsia="方正仿宋_GBK" w:cs="方正仿宋_GBK"/>
          <w:b w:val="0"/>
          <w:bCs w:val="0"/>
          <w:sz w:val="32"/>
          <w:szCs w:val="32"/>
        </w:rPr>
        <w:t>、操作简便、资源节约、环境友好的推广思路，从替代种植、土壤降活、转运阻控等多角度探索、提炼并总结出以“低累积品种替代</w:t>
      </w:r>
      <w:r>
        <w:rPr>
          <w:rFonts w:hint="eastAsia" w:ascii="方正仿宋_GBK" w:hAnsi="方正仿宋_GBK" w:eastAsia="方正仿宋_GBK" w:cs="方正仿宋_GBK"/>
          <w:b w:val="0"/>
          <w:bCs w:val="0"/>
          <w:sz w:val="32"/>
          <w:szCs w:val="32"/>
          <w:lang w:val="en-US" w:eastAsia="zh-CN"/>
        </w:rPr>
        <w:t>V</w:t>
      </w:r>
      <w:r>
        <w:rPr>
          <w:rFonts w:hint="eastAsia" w:ascii="方正仿宋_GBK" w:hAnsi="方正仿宋_GBK" w:eastAsia="方正仿宋_GBK" w:cs="方正仿宋_GBK"/>
          <w:b w:val="0"/>
          <w:bCs w:val="0"/>
          <w:sz w:val="32"/>
          <w:szCs w:val="32"/>
        </w:rPr>
        <w:t>+生育期水分调控</w:t>
      </w:r>
      <w:r>
        <w:rPr>
          <w:rFonts w:hint="eastAsia" w:ascii="方正仿宋_GBK" w:hAnsi="方正仿宋_GBK" w:eastAsia="方正仿宋_GBK" w:cs="方正仿宋_GBK"/>
          <w:b w:val="0"/>
          <w:bCs w:val="0"/>
          <w:sz w:val="32"/>
          <w:szCs w:val="32"/>
          <w:lang w:val="en-US" w:eastAsia="zh-CN"/>
        </w:rPr>
        <w:t>I</w:t>
      </w:r>
      <w:r>
        <w:rPr>
          <w:rFonts w:hint="eastAsia" w:ascii="方正仿宋_GBK" w:hAnsi="方正仿宋_GBK" w:eastAsia="方正仿宋_GBK" w:cs="方正仿宋_GBK"/>
          <w:b w:val="0"/>
          <w:bCs w:val="0"/>
          <w:sz w:val="32"/>
          <w:szCs w:val="32"/>
        </w:rPr>
        <w:t>+关键期叶面阻控</w:t>
      </w:r>
      <w:r>
        <w:rPr>
          <w:rFonts w:hint="eastAsia" w:ascii="方正仿宋_GBK" w:hAnsi="方正仿宋_GBK" w:eastAsia="方正仿宋_GBK" w:cs="方正仿宋_GBK"/>
          <w:b w:val="0"/>
          <w:bCs w:val="0"/>
          <w:sz w:val="32"/>
          <w:szCs w:val="32"/>
          <w:lang w:val="en-US" w:eastAsia="zh-CN"/>
        </w:rPr>
        <w:t>F</w:t>
      </w:r>
      <w:r>
        <w:rPr>
          <w:rFonts w:hint="eastAsia" w:ascii="方正仿宋_GBK" w:hAnsi="方正仿宋_GBK" w:eastAsia="方正仿宋_GBK" w:cs="方正仿宋_GBK"/>
          <w:b w:val="0"/>
          <w:bCs w:val="0"/>
          <w:sz w:val="32"/>
          <w:szCs w:val="32"/>
        </w:rPr>
        <w:t>”为实施要点的轻中度镉污染稻田“VIF”综合防治技术。该技术克服了单一技术治理效率较低的瓶颈，操作较为简便、可实现边生产边治理，</w:t>
      </w:r>
      <w:r>
        <w:rPr>
          <w:rFonts w:hint="eastAsia" w:ascii="方正仿宋_GBK" w:hAnsi="方正仿宋_GBK" w:eastAsia="方正仿宋_GBK" w:cs="方正仿宋_GBK"/>
          <w:b w:val="0"/>
          <w:bCs w:val="0"/>
          <w:sz w:val="32"/>
          <w:szCs w:val="32"/>
          <w:lang w:val="en-US" w:eastAsia="zh-CN"/>
        </w:rPr>
        <w:t>在水源条件较好的区域，可</w:t>
      </w:r>
      <w:r>
        <w:rPr>
          <w:rFonts w:hint="eastAsia" w:ascii="方正仿宋_GBK" w:hAnsi="方正仿宋_GBK" w:eastAsia="方正仿宋_GBK" w:cs="方正仿宋_GBK"/>
          <w:b w:val="0"/>
          <w:bCs w:val="0"/>
          <w:sz w:val="32"/>
          <w:szCs w:val="32"/>
        </w:rPr>
        <w:t>有效降低轻中度污染稻田水稻籽粒中重金属镉的含量及超标风险。</w:t>
      </w:r>
    </w:p>
    <w:p w14:paraId="085812D9">
      <w:pPr>
        <w:keepNext w:val="0"/>
        <w:keepLines w:val="0"/>
        <w:pageBreakBefore w:val="0"/>
        <w:widowControl w:val="0"/>
        <w:kinsoku/>
        <w:wordWrap/>
        <w:overflowPunct/>
        <w:topLinePunct w:val="0"/>
        <w:autoSpaceDE/>
        <w:autoSpaceDN/>
        <w:bidi w:val="0"/>
        <w:snapToGrid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（二）推广应用情况</w:t>
      </w:r>
    </w:p>
    <w:p w14:paraId="3E6BB0C8">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2020年—2022年，依托各区县农技推广机构，先后在南川、璧山、荣昌等区县</w:t>
      </w:r>
      <w:r>
        <w:rPr>
          <w:rFonts w:hint="eastAsia" w:ascii="方正仿宋_GBK" w:hAnsi="方正仿宋_GBK" w:eastAsia="方正仿宋_GBK" w:cs="方正仿宋_GBK"/>
          <w:b w:val="0"/>
          <w:bCs w:val="0"/>
          <w:sz w:val="32"/>
          <w:szCs w:val="32"/>
        </w:rPr>
        <w:t>建立</w:t>
      </w:r>
      <w:r>
        <w:rPr>
          <w:rFonts w:hint="eastAsia" w:ascii="方正仿宋_GBK" w:hAnsi="方正仿宋_GBK" w:eastAsia="方正仿宋_GBK" w:cs="方正仿宋_GBK"/>
          <w:b w:val="0"/>
          <w:bCs w:val="0"/>
          <w:color w:val="auto"/>
          <w:sz w:val="32"/>
          <w:szCs w:val="32"/>
        </w:rPr>
        <w:t>了</w:t>
      </w:r>
      <w:r>
        <w:rPr>
          <w:rFonts w:hint="eastAsia" w:ascii="方正仿宋_GBK" w:hAnsi="方正仿宋_GBK" w:eastAsia="方正仿宋_GBK" w:cs="方正仿宋_GBK"/>
          <w:b w:val="0"/>
          <w:bCs w:val="0"/>
          <w:color w:val="auto"/>
          <w:sz w:val="32"/>
          <w:szCs w:val="32"/>
          <w:lang w:val="en-US" w:eastAsia="zh-CN"/>
        </w:rPr>
        <w:t>3</w:t>
      </w:r>
      <w:r>
        <w:rPr>
          <w:rFonts w:hint="eastAsia" w:ascii="方正仿宋_GBK" w:hAnsi="方正仿宋_GBK" w:eastAsia="方正仿宋_GBK" w:cs="方正仿宋_GBK"/>
          <w:b w:val="0"/>
          <w:bCs w:val="0"/>
          <w:color w:val="auto"/>
          <w:sz w:val="32"/>
          <w:szCs w:val="32"/>
        </w:rPr>
        <w:t>个技术</w:t>
      </w:r>
      <w:r>
        <w:rPr>
          <w:rFonts w:hint="eastAsia" w:ascii="方正仿宋_GBK" w:hAnsi="方正仿宋_GBK" w:eastAsia="方正仿宋_GBK" w:cs="方正仿宋_GBK"/>
          <w:b w:val="0"/>
          <w:bCs w:val="0"/>
          <w:color w:val="auto"/>
          <w:sz w:val="32"/>
          <w:szCs w:val="32"/>
          <w:lang w:val="en-US" w:eastAsia="zh-CN"/>
        </w:rPr>
        <w:t>应用</w:t>
      </w:r>
      <w:r>
        <w:rPr>
          <w:rFonts w:hint="eastAsia" w:ascii="方正仿宋_GBK" w:hAnsi="方正仿宋_GBK" w:eastAsia="方正仿宋_GBK" w:cs="方正仿宋_GBK"/>
          <w:b w:val="0"/>
          <w:bCs w:val="0"/>
          <w:color w:val="auto"/>
          <w:sz w:val="32"/>
          <w:szCs w:val="32"/>
        </w:rPr>
        <w:t>示范</w:t>
      </w:r>
      <w:r>
        <w:rPr>
          <w:rFonts w:hint="eastAsia" w:ascii="方正仿宋_GBK" w:hAnsi="方正仿宋_GBK" w:eastAsia="方正仿宋_GBK" w:cs="方正仿宋_GBK"/>
          <w:b w:val="0"/>
          <w:bCs w:val="0"/>
          <w:color w:val="auto"/>
          <w:sz w:val="32"/>
          <w:szCs w:val="32"/>
          <w:lang w:val="en-US" w:eastAsia="zh-CN"/>
        </w:rPr>
        <w:t>点</w:t>
      </w:r>
      <w:r>
        <w:rPr>
          <w:rFonts w:hint="eastAsia"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lang w:val="en-US" w:eastAsia="zh-CN"/>
        </w:rPr>
        <w:t>期间，南川推广应用了7.86万亩，璧山推广应用了2.1万亩，荣昌推广应用了4.7万亩，累计</w:t>
      </w:r>
      <w:r>
        <w:rPr>
          <w:rFonts w:hint="eastAsia" w:ascii="方正仿宋_GBK" w:hAnsi="方正仿宋_GBK" w:eastAsia="方正仿宋_GBK" w:cs="方正仿宋_GBK"/>
          <w:b w:val="0"/>
          <w:bCs w:val="0"/>
          <w:color w:val="auto"/>
          <w:sz w:val="32"/>
          <w:szCs w:val="32"/>
        </w:rPr>
        <w:t>推广</w:t>
      </w:r>
      <w:r>
        <w:rPr>
          <w:rFonts w:hint="eastAsia" w:ascii="方正仿宋_GBK" w:hAnsi="方正仿宋_GBK" w:eastAsia="方正仿宋_GBK" w:cs="方正仿宋_GBK"/>
          <w:b w:val="0"/>
          <w:bCs w:val="0"/>
          <w:color w:val="auto"/>
          <w:sz w:val="32"/>
          <w:szCs w:val="32"/>
          <w:lang w:val="en-US" w:eastAsia="zh-CN"/>
        </w:rPr>
        <w:t>14.66</w:t>
      </w:r>
      <w:r>
        <w:rPr>
          <w:rFonts w:hint="eastAsia" w:ascii="方正仿宋_GBK" w:hAnsi="方正仿宋_GBK" w:eastAsia="方正仿宋_GBK" w:cs="方正仿宋_GBK"/>
          <w:b w:val="0"/>
          <w:bCs w:val="0"/>
          <w:color w:val="auto"/>
          <w:sz w:val="32"/>
          <w:szCs w:val="32"/>
        </w:rPr>
        <w:t>余万亩，</w:t>
      </w:r>
      <w:r>
        <w:rPr>
          <w:rFonts w:hint="eastAsia" w:ascii="方正仿宋_GBK" w:hAnsi="方正仿宋_GBK" w:eastAsia="方正仿宋_GBK" w:cs="方正仿宋_GBK"/>
          <w:b w:val="0"/>
          <w:bCs w:val="0"/>
          <w:color w:val="auto"/>
          <w:sz w:val="32"/>
          <w:szCs w:val="32"/>
          <w:lang w:val="en-US" w:eastAsia="zh-CN"/>
        </w:rPr>
        <w:t>因其经济、高效、易操作的特点，得到基层农技推广机</w:t>
      </w:r>
      <w:r>
        <w:rPr>
          <w:rFonts w:hint="eastAsia" w:ascii="方正仿宋_GBK" w:hAnsi="方正仿宋_GBK" w:eastAsia="方正仿宋_GBK" w:cs="方正仿宋_GBK"/>
          <w:b w:val="0"/>
          <w:bCs w:val="0"/>
          <w:sz w:val="32"/>
          <w:szCs w:val="32"/>
          <w:lang w:val="en-US" w:eastAsia="zh-CN"/>
        </w:rPr>
        <w:t>构和种粮大户的一致好评。</w:t>
      </w:r>
    </w:p>
    <w:p w14:paraId="0C4F2269">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lang w:val="en-US" w:eastAsia="zh-CN"/>
        </w:rPr>
        <w:t>2023年作为重庆市农业主推技术在全市范围内进行了推广，依托39个区县的受污染耕地安全技术示范片建设，建立“</w:t>
      </w:r>
      <w:r>
        <w:rPr>
          <w:rFonts w:hint="eastAsia" w:ascii="方正仿宋_GBK" w:hAnsi="方正仿宋_GBK" w:eastAsia="方正仿宋_GBK" w:cs="方正仿宋_GBK"/>
          <w:b w:val="0"/>
          <w:bCs w:val="0"/>
          <w:sz w:val="32"/>
          <w:szCs w:val="32"/>
          <w:lang w:val="en-US" w:eastAsia="zh-CN"/>
        </w:rPr>
        <w:tab/>
      </w:r>
      <w:r>
        <w:rPr>
          <w:rFonts w:hint="eastAsia" w:ascii="方正仿宋_GBK" w:hAnsi="方正仿宋_GBK" w:eastAsia="方正仿宋_GBK" w:cs="方正仿宋_GBK"/>
          <w:b w:val="0"/>
          <w:bCs w:val="0"/>
          <w:sz w:val="32"/>
          <w:szCs w:val="32"/>
          <w:lang w:val="en-US" w:eastAsia="zh-CN"/>
        </w:rPr>
        <w:t>VIF”技术示范片15个，2022—2024年推广面积分别为</w:t>
      </w:r>
      <w:r>
        <w:rPr>
          <w:rFonts w:hint="eastAsia" w:ascii="方正仿宋_GBK" w:hAnsi="方正仿宋_GBK" w:eastAsia="方正仿宋_GBK" w:cs="方正仿宋_GBK"/>
          <w:b w:val="0"/>
          <w:bCs w:val="0"/>
          <w:color w:val="auto"/>
          <w:sz w:val="32"/>
          <w:szCs w:val="32"/>
          <w:lang w:val="en-US" w:eastAsia="zh-CN"/>
        </w:rPr>
        <w:t>3.3万亩、8.1万亩、12.8万亩，累计24.2万亩</w:t>
      </w:r>
      <w:r>
        <w:rPr>
          <w:rFonts w:hint="eastAsia" w:ascii="方正仿宋_GBK" w:hAnsi="方正仿宋_GBK" w:eastAsia="方正仿宋_GBK" w:cs="方正仿宋_GBK"/>
          <w:b w:val="0"/>
          <w:bCs w:val="0"/>
          <w:sz w:val="32"/>
          <w:szCs w:val="32"/>
          <w:lang w:val="en-US" w:eastAsia="zh-CN"/>
        </w:rPr>
        <w:t>，有力</w:t>
      </w:r>
      <w:r>
        <w:rPr>
          <w:rFonts w:hint="eastAsia" w:ascii="方正仿宋_GBK" w:hAnsi="方正仿宋_GBK" w:eastAsia="方正仿宋_GBK" w:cs="方正仿宋_GBK"/>
          <w:b w:val="0"/>
          <w:bCs w:val="0"/>
          <w:sz w:val="32"/>
          <w:szCs w:val="32"/>
        </w:rPr>
        <w:t>助</w:t>
      </w:r>
      <w:r>
        <w:rPr>
          <w:rFonts w:hint="eastAsia" w:ascii="方正仿宋_GBK" w:hAnsi="方正仿宋_GBK" w:eastAsia="方正仿宋_GBK" w:cs="方正仿宋_GBK"/>
          <w:b w:val="0"/>
          <w:bCs w:val="0"/>
          <w:sz w:val="32"/>
          <w:szCs w:val="32"/>
          <w:lang w:val="en-US" w:eastAsia="zh-CN"/>
        </w:rPr>
        <w:t>推</w:t>
      </w:r>
      <w:r>
        <w:rPr>
          <w:rFonts w:hint="eastAsia" w:ascii="方正仿宋_GBK" w:hAnsi="方正仿宋_GBK" w:eastAsia="方正仿宋_GBK" w:cs="方正仿宋_GBK"/>
          <w:b w:val="0"/>
          <w:bCs w:val="0"/>
          <w:sz w:val="32"/>
          <w:szCs w:val="32"/>
        </w:rPr>
        <w:t>国家“受污染耕地安全利用率”</w:t>
      </w:r>
      <w:r>
        <w:rPr>
          <w:rFonts w:hint="eastAsia" w:ascii="方正仿宋_GBK" w:hAnsi="方正仿宋_GBK" w:eastAsia="方正仿宋_GBK" w:cs="方正仿宋_GBK"/>
          <w:b w:val="0"/>
          <w:bCs w:val="0"/>
          <w:sz w:val="32"/>
          <w:szCs w:val="32"/>
          <w:lang w:val="en-US" w:eastAsia="zh-CN"/>
        </w:rPr>
        <w:t>考核顺利</w:t>
      </w:r>
      <w:r>
        <w:rPr>
          <w:rFonts w:hint="eastAsia" w:ascii="方正仿宋_GBK" w:hAnsi="方正仿宋_GBK" w:eastAsia="方正仿宋_GBK" w:cs="方正仿宋_GBK"/>
          <w:b w:val="0"/>
          <w:bCs w:val="0"/>
          <w:sz w:val="32"/>
          <w:szCs w:val="32"/>
        </w:rPr>
        <w:t>达标</w:t>
      </w:r>
      <w:r>
        <w:rPr>
          <w:rFonts w:hint="eastAsia" w:ascii="方正仿宋_GBK" w:hAnsi="方正仿宋_GBK" w:eastAsia="方正仿宋_GBK" w:cs="方正仿宋_GBK"/>
          <w:b w:val="0"/>
          <w:bCs w:val="0"/>
          <w:sz w:val="32"/>
          <w:szCs w:val="32"/>
          <w:lang w:eastAsia="zh-CN"/>
        </w:rPr>
        <w:t>。</w:t>
      </w:r>
    </w:p>
    <w:p w14:paraId="06AC456E">
      <w:pPr>
        <w:keepNext w:val="0"/>
        <w:keepLines w:val="0"/>
        <w:pageBreakBefore w:val="0"/>
        <w:widowControl w:val="0"/>
        <w:kinsoku/>
        <w:wordWrap/>
        <w:overflowPunct/>
        <w:topLinePunct w:val="0"/>
        <w:autoSpaceDE/>
        <w:autoSpaceDN/>
        <w:bidi w:val="0"/>
        <w:snapToGrid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（三）技术效果</w:t>
      </w:r>
    </w:p>
    <w:p w14:paraId="6EEF9BB6">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应用了本技术的区域，</w:t>
      </w:r>
      <w:r>
        <w:rPr>
          <w:rFonts w:hint="eastAsia" w:ascii="方正仿宋_GBK" w:hAnsi="方正仿宋_GBK" w:eastAsia="方正仿宋_GBK" w:cs="方正仿宋_GBK"/>
          <w:b w:val="0"/>
          <w:bCs w:val="0"/>
          <w:color w:val="auto"/>
          <w:sz w:val="32"/>
          <w:szCs w:val="32"/>
          <w:lang w:val="en-US" w:eastAsia="zh-CN"/>
        </w:rPr>
        <w:t>2023、2024年国家新收获稻谷重金属抽检合格率均为100%，临田稻谷抽检平均合格率提升20%，新增了产值，减少了超标粮食处置，开展各级培训100余场次，累计培训技术人员、服务主体、农户3000人次，群众技术知晓率超85%。生态、社会和经济效益显著，有力助推农业绿色发展提质增效。</w:t>
      </w:r>
    </w:p>
    <w:p w14:paraId="7F3FFBAB">
      <w:pPr>
        <w:keepNext w:val="0"/>
        <w:keepLines w:val="0"/>
        <w:pageBreakBefore w:val="0"/>
        <w:widowControl w:val="0"/>
        <w:kinsoku/>
        <w:wordWrap/>
        <w:overflowPunct/>
        <w:topLinePunct w:val="0"/>
        <w:autoSpaceDE/>
        <w:autoSpaceDN/>
        <w:bidi w:val="0"/>
        <w:snapToGrid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楷体_GBK" w:cs="方正仿宋_GBK"/>
          <w:b w:val="0"/>
          <w:bCs w:val="0"/>
          <w:color w:val="000000"/>
          <w:sz w:val="32"/>
          <w:szCs w:val="32"/>
          <w:lang w:eastAsia="zh-CN"/>
        </w:rPr>
        <w:t>（四）入选和获奖情况</w:t>
      </w:r>
    </w:p>
    <w:p w14:paraId="13B93B26">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该技术入选重庆市2023年农业主推技术在全市发布推广，制定了地方标准《中轻度镉污染稻田安全利用“VIF”技术规范》。</w:t>
      </w:r>
    </w:p>
    <w:p w14:paraId="1F7EDB19">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黑体_GBK" w:hAnsi="方正黑体_GBK" w:eastAsia="方正黑体_GBK" w:cs="方正黑体_GBK"/>
          <w:b w:val="0"/>
          <w:bCs w:val="0"/>
          <w:color w:val="000000"/>
          <w:sz w:val="32"/>
          <w:szCs w:val="32"/>
        </w:rPr>
      </w:pPr>
      <w:r>
        <w:rPr>
          <w:rFonts w:hint="eastAsia" w:ascii="方正黑体_GBK" w:hAnsi="方正黑体_GBK" w:eastAsia="方正黑体_GBK" w:cs="方正黑体_GBK"/>
          <w:b w:val="0"/>
          <w:bCs w:val="0"/>
          <w:color w:val="000000"/>
          <w:sz w:val="32"/>
          <w:szCs w:val="32"/>
          <w:lang w:val="en-US" w:eastAsia="zh-CN"/>
        </w:rPr>
        <w:t>二、技术要点</w:t>
      </w:r>
    </w:p>
    <w:p w14:paraId="536E3E64">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针对中轻度镉污染稻田，采用镉低累积品种替代（V）、生育期水分调控（I）、关键期叶面阻控（F）中两种或三种技术（生育期水分调控必选）相结合为实施要点的技术模式。</w:t>
      </w:r>
    </w:p>
    <w:p w14:paraId="0F995A9F">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rPr>
        <w:t>（一）</w:t>
      </w:r>
      <w:r>
        <w:rPr>
          <w:rFonts w:hint="eastAsia" w:ascii="方正楷体_GBK" w:hAnsi="方正楷体_GBK" w:eastAsia="方正楷体_GBK" w:cs="方正楷体_GBK"/>
          <w:b w:val="0"/>
          <w:bCs w:val="0"/>
          <w:sz w:val="32"/>
          <w:szCs w:val="32"/>
          <w:lang w:val="en-US" w:eastAsia="zh-CN"/>
        </w:rPr>
        <w:t>镉</w:t>
      </w:r>
      <w:r>
        <w:rPr>
          <w:rFonts w:hint="eastAsia" w:ascii="方正楷体_GBK" w:hAnsi="方正楷体_GBK" w:eastAsia="方正楷体_GBK" w:cs="方正楷体_GBK"/>
          <w:b w:val="0"/>
          <w:bCs w:val="0"/>
          <w:sz w:val="32"/>
          <w:szCs w:val="32"/>
        </w:rPr>
        <w:t>低积累品种替代。</w:t>
      </w:r>
      <w:r>
        <w:rPr>
          <w:rFonts w:hint="eastAsia" w:ascii="方正仿宋_GBK" w:hAnsi="方正仿宋_GBK" w:eastAsia="方正仿宋_GBK" w:cs="方正仿宋_GBK"/>
          <w:b w:val="0"/>
          <w:bCs w:val="0"/>
          <w:sz w:val="32"/>
          <w:szCs w:val="32"/>
          <w:lang w:val="en-US" w:eastAsia="zh-CN"/>
        </w:rPr>
        <w:t>利用不同水稻品种间对重金属镉的累积差异，在中轻度镉污染稻田上种植籽粒镉富集能力较弱的水稻品种。所用品种一是必须经过镉累积试验验证，即在相同产地环境和栽培条件下，稻米产品镉含量的下降水平能满足水稻生产控镉要求；二是应选择适宜重庆种植的，籽粒镉累积含量相对较低、阻镉能力相对稳定的水稻合法品种。种子质量应符合GB 4404.1的规定；三是在低海拔浅丘河谷稻区，选择生育期较短的中熟品种，尽量使灌浆期避开7月下旬至8月上旬极端高温，减少镉的吸收、提升品质、降低生产风险。四是根据单位面积种子用量和实际播种面积计算用种数量，结合镉低累积水稻品种特性、区域气候及生产习惯，适时育秧或直播，单块大田应1次插播完成。</w:t>
      </w:r>
    </w:p>
    <w:p w14:paraId="62BC7C22">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楷体_GBK" w:hAnsi="方正楷体_GBK" w:eastAsia="方正楷体_GBK" w:cs="方正楷体_GBK"/>
          <w:b w:val="0"/>
          <w:bCs w:val="0"/>
          <w:sz w:val="32"/>
          <w:szCs w:val="32"/>
        </w:rPr>
        <w:t>（二）生育期水分调控。</w:t>
      </w:r>
      <w:r>
        <w:rPr>
          <w:rFonts w:hint="eastAsia" w:ascii="方正仿宋_GBK" w:hAnsi="方正仿宋_GBK" w:eastAsia="方正仿宋_GBK" w:cs="方正仿宋_GBK"/>
          <w:b w:val="0"/>
          <w:bCs w:val="0"/>
          <w:sz w:val="32"/>
          <w:szCs w:val="32"/>
          <w:lang w:val="en-US" w:eastAsia="zh-CN"/>
        </w:rPr>
        <w:t>利用酸性土壤在淹水条件下形成还原环境，从而降低土壤中镉等重金属的活性的特点，对水稻累积重金属镉的关键期进行调控，减少作物对土壤镉等重金属的吸收。要求在不影响作物正常生长条件下，始终保持水稻全生育期田面有水层覆盖，维持土壤还原环境。灌溉用水的水质符合GB 5084的规定。</w:t>
      </w:r>
    </w:p>
    <w:p w14:paraId="6F3F4182">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对育秧移栽田，一是花花水栽秧，避免浮蔸；二是立苗后（栽后2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3天）至返青期逐步提高水层至</w:t>
      </w:r>
      <w:r>
        <w:rPr>
          <w:rFonts w:hint="eastAsia" w:ascii="方正仿宋_GBK" w:hAnsi="方正仿宋_GBK" w:eastAsia="方正仿宋_GBK" w:cs="方正仿宋_GBK"/>
          <w:b w:val="0"/>
          <w:bCs w:val="0"/>
          <w:sz w:val="32"/>
          <w:szCs w:val="32"/>
          <w:lang w:val="en-US" w:eastAsia="zh-CN"/>
        </w:rPr>
        <w:t>2-</w:t>
      </w:r>
      <w:r>
        <w:rPr>
          <w:rFonts w:hint="eastAsia" w:ascii="方正仿宋_GBK" w:hAnsi="方正仿宋_GBK" w:eastAsia="方正仿宋_GBK" w:cs="方正仿宋_GBK"/>
          <w:b w:val="0"/>
          <w:bCs w:val="0"/>
          <w:sz w:val="32"/>
          <w:szCs w:val="32"/>
        </w:rPr>
        <w:t>3cm；三是返青后至分蘖期保持2cm左右（不露田泥）浅水；分蘖盛期保持水层3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5cm</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四是每亩达到22万苗（每窝20苗）时，灌10cm以上的深水10天左右，控制无效分蘖；五是拔节至抽穗期，水源条件好的沟田保持2cm左右的浅水，水源条件较差的塝田灌深水防旱；六是在灌浆期，低海拔浅丘河谷地区灌5cm以上的深水至齐穗后15天左右，中高山区灌深水至齐穗后20天左右，收割前7</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10天排干水，便于收割机下田，不可过早断水晒田。</w:t>
      </w:r>
    </w:p>
    <w:p w14:paraId="1944A0DE">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对直播田，露地直播，播种至秧苗3叶期，保持厢沟有水、厢面无水，3叶后至抽穗期保持2cm左右浅水；淹水直播，播种至立苗（1叶1心）保持2cm左右浅水，立苗后排水晾田5</w:t>
      </w:r>
      <w:r>
        <w:rPr>
          <w:rFonts w:hint="eastAsia" w:ascii="方正仿宋_GBK" w:hAnsi="方正仿宋_GBK" w:eastAsia="方正仿宋_GBK" w:cs="方正仿宋_GBK"/>
          <w:b w:val="0"/>
          <w:bCs w:val="0"/>
          <w:sz w:val="32"/>
          <w:szCs w:val="32"/>
          <w:lang w:val="en-US" w:eastAsia="zh-CN"/>
        </w:rPr>
        <w:t>天</w:t>
      </w:r>
      <w:r>
        <w:rPr>
          <w:rFonts w:hint="eastAsia" w:ascii="方正仿宋_GBK" w:hAnsi="方正仿宋_GBK" w:eastAsia="方正仿宋_GBK" w:cs="方正仿宋_GBK"/>
          <w:b w:val="0"/>
          <w:bCs w:val="0"/>
          <w:sz w:val="32"/>
          <w:szCs w:val="32"/>
        </w:rPr>
        <w:t>左右，扎根后维持水层2</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3cm。分蘖初期保持2cm左右浅水；分蘖盛期保持水层3</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5cm。以后同</w:t>
      </w:r>
      <w:r>
        <w:rPr>
          <w:rFonts w:hint="eastAsia" w:ascii="方正仿宋_GBK" w:hAnsi="方正仿宋_GBK" w:eastAsia="方正仿宋_GBK" w:cs="方正仿宋_GBK"/>
          <w:b w:val="0"/>
          <w:bCs w:val="0"/>
          <w:sz w:val="32"/>
          <w:szCs w:val="32"/>
          <w:lang w:val="en-US" w:eastAsia="zh-CN"/>
        </w:rPr>
        <w:t>育秧移栽</w:t>
      </w:r>
      <w:r>
        <w:rPr>
          <w:rFonts w:hint="eastAsia" w:ascii="方正仿宋_GBK" w:hAnsi="方正仿宋_GBK" w:eastAsia="方正仿宋_GBK" w:cs="方正仿宋_GBK"/>
          <w:b w:val="0"/>
          <w:bCs w:val="0"/>
          <w:sz w:val="32"/>
          <w:szCs w:val="32"/>
        </w:rPr>
        <w:t>。</w:t>
      </w:r>
    </w:p>
    <w:tbl>
      <w:tblPr>
        <w:tblStyle w:val="10"/>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0"/>
        <w:gridCol w:w="4531"/>
      </w:tblGrid>
      <w:tr w14:paraId="47996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30" w:type="dxa"/>
            <w:tcBorders>
              <w:tl2br w:val="nil"/>
              <w:tr2bl w:val="nil"/>
            </w:tcBorders>
            <w:noWrap w:val="0"/>
            <w:vAlign w:val="top"/>
          </w:tcPr>
          <w:p w14:paraId="4F9CA7D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lang w:eastAsia="zh-CN"/>
              </w:rPr>
              <w:drawing>
                <wp:inline distT="0" distB="0" distL="114300" distR="114300">
                  <wp:extent cx="2487930" cy="1812290"/>
                  <wp:effectExtent l="0" t="0" r="7620" b="16510"/>
                  <wp:docPr id="27" name="图片 1" descr="璧山水分管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璧山水分管控"/>
                          <pic:cNvPicPr>
                            <a:picLocks noChangeAspect="1"/>
                          </pic:cNvPicPr>
                        </pic:nvPicPr>
                        <pic:blipFill>
                          <a:blip r:embed="rId7"/>
                          <a:srcRect t="21573" r="14017" b="15787"/>
                          <a:stretch>
                            <a:fillRect/>
                          </a:stretch>
                        </pic:blipFill>
                        <pic:spPr>
                          <a:xfrm>
                            <a:off x="0" y="0"/>
                            <a:ext cx="2487930" cy="1812290"/>
                          </a:xfrm>
                          <a:prstGeom prst="rect">
                            <a:avLst/>
                          </a:prstGeom>
                          <a:noFill/>
                          <a:ln>
                            <a:noFill/>
                          </a:ln>
                        </pic:spPr>
                      </pic:pic>
                    </a:graphicData>
                  </a:graphic>
                </wp:inline>
              </w:drawing>
            </w:r>
          </w:p>
        </w:tc>
        <w:tc>
          <w:tcPr>
            <w:tcW w:w="4531" w:type="dxa"/>
            <w:tcBorders>
              <w:tl2br w:val="nil"/>
              <w:tr2bl w:val="nil"/>
            </w:tcBorders>
            <w:noWrap w:val="0"/>
            <w:vAlign w:val="top"/>
          </w:tcPr>
          <w:p w14:paraId="1E9C83D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drawing>
                <wp:inline distT="0" distB="0" distL="114300" distR="114300">
                  <wp:extent cx="2663825" cy="1804035"/>
                  <wp:effectExtent l="0" t="0" r="3175" b="5715"/>
                  <wp:docPr id="28" name="图片 2" descr="433409e78ace47f9decfeb9c6d606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433409e78ace47f9decfeb9c6d606f63"/>
                          <pic:cNvPicPr>
                            <a:picLocks noChangeAspect="1"/>
                          </pic:cNvPicPr>
                        </pic:nvPicPr>
                        <pic:blipFill>
                          <a:blip r:embed="rId8"/>
                          <a:srcRect r="16895"/>
                          <a:stretch>
                            <a:fillRect/>
                          </a:stretch>
                        </pic:blipFill>
                        <pic:spPr>
                          <a:xfrm>
                            <a:off x="0" y="0"/>
                            <a:ext cx="2663825" cy="1804035"/>
                          </a:xfrm>
                          <a:prstGeom prst="rect">
                            <a:avLst/>
                          </a:prstGeom>
                          <a:noFill/>
                          <a:ln>
                            <a:noFill/>
                          </a:ln>
                        </pic:spPr>
                      </pic:pic>
                    </a:graphicData>
                  </a:graphic>
                </wp:inline>
              </w:drawing>
            </w:r>
          </w:p>
        </w:tc>
      </w:tr>
      <w:tr w14:paraId="0920A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9061" w:type="dxa"/>
            <w:gridSpan w:val="2"/>
            <w:tcBorders>
              <w:tl2br w:val="nil"/>
              <w:tr2bl w:val="nil"/>
            </w:tcBorders>
            <w:noWrap w:val="0"/>
            <w:vAlign w:val="top"/>
          </w:tcPr>
          <w:p w14:paraId="3C7BC4A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楷体_GBK" w:hAnsi="方正楷体_GBK" w:eastAsia="方正楷体_GBK" w:cs="方正楷体_GBK"/>
                <w:b w:val="0"/>
                <w:bCs w:val="0"/>
                <w:sz w:val="32"/>
                <w:szCs w:val="32"/>
              </w:rPr>
            </w:pPr>
            <w:r>
              <w:rPr>
                <w:rFonts w:hint="eastAsia" w:ascii="方正黑体_GBK" w:hAnsi="方正黑体_GBK" w:eastAsia="方正黑体_GBK" w:cs="方正黑体_GBK"/>
                <w:b w:val="0"/>
                <w:bCs w:val="0"/>
                <w:sz w:val="28"/>
                <w:szCs w:val="28"/>
                <w:lang w:val="en-US" w:eastAsia="zh-CN"/>
              </w:rPr>
              <w:t>图1 生育期水分调控示意图</w:t>
            </w:r>
          </w:p>
        </w:tc>
      </w:tr>
    </w:tbl>
    <w:p w14:paraId="3388AA5F">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（三）关键期叶面阻控。</w:t>
      </w:r>
      <w:r>
        <w:rPr>
          <w:rFonts w:hint="eastAsia" w:ascii="方正仿宋_GBK" w:hAnsi="方正仿宋_GBK" w:eastAsia="方正仿宋_GBK" w:cs="方正仿宋_GBK"/>
          <w:b w:val="0"/>
          <w:bCs w:val="0"/>
          <w:sz w:val="32"/>
          <w:szCs w:val="32"/>
        </w:rPr>
        <w:t>通过水稻生长的关键时期向叶面喷施含硅、硒、锌等有益元素的叶面阻控剂，抑制水稻茎、叶中镉向可食部位转运，从而降低籽粒中镉含量。</w:t>
      </w:r>
      <w:r>
        <w:rPr>
          <w:rFonts w:hint="eastAsia" w:ascii="方正仿宋_GBK" w:hAnsi="方正仿宋_GBK" w:eastAsia="方正仿宋_GBK" w:cs="方正仿宋_GBK"/>
          <w:b w:val="0"/>
          <w:bCs w:val="0"/>
          <w:sz w:val="32"/>
          <w:szCs w:val="32"/>
          <w:lang w:val="en-US" w:eastAsia="zh-CN"/>
        </w:rPr>
        <w:t>一是</w:t>
      </w:r>
      <w:r>
        <w:rPr>
          <w:rFonts w:hint="eastAsia" w:ascii="方正仿宋_GBK" w:hAnsi="方正仿宋_GBK" w:eastAsia="方正仿宋_GBK" w:cs="方正仿宋_GBK"/>
          <w:b w:val="0"/>
          <w:bCs w:val="0"/>
          <w:sz w:val="32"/>
          <w:szCs w:val="32"/>
        </w:rPr>
        <w:t>选用适宜水稻使用的，含硅、硒、锌等促进生长发育、降低重金属吸收的叶面肥，在拔节期、灌浆期各喷施1次</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二是</w:t>
      </w:r>
      <w:r>
        <w:rPr>
          <w:rFonts w:hint="eastAsia" w:ascii="方正仿宋_GBK" w:hAnsi="方正仿宋_GBK" w:eastAsia="方正仿宋_GBK" w:cs="方正仿宋_GBK"/>
          <w:b w:val="0"/>
          <w:bCs w:val="0"/>
          <w:sz w:val="32"/>
          <w:szCs w:val="32"/>
        </w:rPr>
        <w:t>应选择晴天或阴天喷施，宜选择上午11时前或下午4时后。喷施后24h内下雨的，应重新喷施</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三是</w:t>
      </w:r>
      <w:r>
        <w:rPr>
          <w:rFonts w:hint="eastAsia" w:ascii="方正仿宋_GBK" w:hAnsi="方正仿宋_GBK" w:eastAsia="方正仿宋_GBK" w:cs="方正仿宋_GBK"/>
          <w:b w:val="0"/>
          <w:bCs w:val="0"/>
          <w:sz w:val="32"/>
          <w:szCs w:val="32"/>
        </w:rPr>
        <w:t>不与农药、其他叶面肥同时混施，间隔时间不少于3</w:t>
      </w:r>
      <w:r>
        <w:rPr>
          <w:rFonts w:hint="eastAsia" w:ascii="方正仿宋_GBK" w:hAnsi="方正仿宋_GBK" w:eastAsia="方正仿宋_GBK" w:cs="方正仿宋_GBK"/>
          <w:b w:val="0"/>
          <w:bCs w:val="0"/>
          <w:sz w:val="32"/>
          <w:szCs w:val="32"/>
          <w:lang w:val="en-US" w:eastAsia="zh-CN"/>
        </w:rPr>
        <w:t>天</w:t>
      </w:r>
      <w:r>
        <w:rPr>
          <w:rFonts w:hint="eastAsia" w:ascii="方正仿宋_GBK" w:hAnsi="方正仿宋_GBK" w:eastAsia="方正仿宋_GBK" w:cs="方正仿宋_GBK"/>
          <w:b w:val="0"/>
          <w:bCs w:val="0"/>
          <w:sz w:val="32"/>
          <w:szCs w:val="32"/>
        </w:rPr>
        <w:t>。</w:t>
      </w:r>
    </w:p>
    <w:tbl>
      <w:tblPr>
        <w:tblStyle w:val="10"/>
        <w:tblW w:w="90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19"/>
        <w:gridCol w:w="4742"/>
      </w:tblGrid>
      <w:tr w14:paraId="555E2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9" w:type="dxa"/>
            <w:tcBorders>
              <w:tl2br w:val="nil"/>
              <w:tr2bl w:val="nil"/>
            </w:tcBorders>
            <w:noWrap w:val="0"/>
            <w:vAlign w:val="top"/>
          </w:tcPr>
          <w:p w14:paraId="2F75FA1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eastAsia" w:ascii="方正黑体_GBK" w:hAnsi="方正黑体_GBK" w:eastAsia="方正黑体_GBK" w:cs="方正黑体_GBK"/>
                <w:b w:val="0"/>
                <w:bCs w:val="0"/>
                <w:sz w:val="28"/>
                <w:szCs w:val="28"/>
                <w:vertAlign w:val="baseline"/>
              </w:rPr>
            </w:pPr>
            <w:r>
              <w:rPr>
                <w:rFonts w:hint="eastAsia" w:ascii="方正黑体_GBK" w:hAnsi="方正黑体_GBK" w:eastAsia="方正黑体_GBK" w:cs="方正黑体_GBK"/>
                <w:b w:val="0"/>
                <w:bCs w:val="0"/>
                <w:sz w:val="28"/>
                <w:szCs w:val="28"/>
              </w:rPr>
              <w:drawing>
                <wp:inline distT="0" distB="0" distL="114300" distR="114300">
                  <wp:extent cx="2647950" cy="1985645"/>
                  <wp:effectExtent l="0" t="0" r="0" b="1460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9"/>
                          <a:stretch>
                            <a:fillRect/>
                          </a:stretch>
                        </pic:blipFill>
                        <pic:spPr>
                          <a:xfrm>
                            <a:off x="0" y="0"/>
                            <a:ext cx="2647950" cy="1985645"/>
                          </a:xfrm>
                          <a:prstGeom prst="rect">
                            <a:avLst/>
                          </a:prstGeom>
                          <a:noFill/>
                          <a:ln>
                            <a:noFill/>
                          </a:ln>
                        </pic:spPr>
                      </pic:pic>
                    </a:graphicData>
                  </a:graphic>
                </wp:inline>
              </w:drawing>
            </w:r>
          </w:p>
        </w:tc>
        <w:tc>
          <w:tcPr>
            <w:tcW w:w="4742" w:type="dxa"/>
            <w:tcBorders>
              <w:tl2br w:val="nil"/>
              <w:tr2bl w:val="nil"/>
            </w:tcBorders>
            <w:noWrap w:val="0"/>
            <w:vAlign w:val="top"/>
          </w:tcPr>
          <w:p w14:paraId="2C9DC45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eastAsia" w:ascii="方正黑体_GBK" w:hAnsi="方正黑体_GBK" w:eastAsia="方正黑体_GBK" w:cs="方正黑体_GBK"/>
                <w:b w:val="0"/>
                <w:bCs w:val="0"/>
                <w:sz w:val="28"/>
                <w:szCs w:val="28"/>
                <w:vertAlign w:val="baseline"/>
              </w:rPr>
            </w:pPr>
            <w:r>
              <w:rPr>
                <w:rFonts w:hint="eastAsia" w:ascii="方正黑体_GBK" w:hAnsi="方正黑体_GBK" w:eastAsia="方正黑体_GBK" w:cs="方正黑体_GBK"/>
                <w:b w:val="0"/>
                <w:bCs w:val="0"/>
                <w:sz w:val="28"/>
                <w:szCs w:val="28"/>
                <w:lang w:eastAsia="zh-CN"/>
              </w:rPr>
              <w:drawing>
                <wp:inline distT="0" distB="0" distL="114300" distR="114300">
                  <wp:extent cx="2920365" cy="1980565"/>
                  <wp:effectExtent l="0" t="0" r="13335" b="635"/>
                  <wp:docPr id="30" name="图片 4" descr="DJI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DJI_0030"/>
                          <pic:cNvPicPr>
                            <a:picLocks noChangeAspect="1"/>
                          </pic:cNvPicPr>
                        </pic:nvPicPr>
                        <pic:blipFill>
                          <a:blip r:embed="rId10"/>
                          <a:srcRect l="16176" t="-351" r="845" b="351"/>
                          <a:stretch>
                            <a:fillRect/>
                          </a:stretch>
                        </pic:blipFill>
                        <pic:spPr>
                          <a:xfrm>
                            <a:off x="0" y="0"/>
                            <a:ext cx="2920365" cy="1980565"/>
                          </a:xfrm>
                          <a:prstGeom prst="rect">
                            <a:avLst/>
                          </a:prstGeom>
                          <a:noFill/>
                          <a:ln>
                            <a:noFill/>
                          </a:ln>
                        </pic:spPr>
                      </pic:pic>
                    </a:graphicData>
                  </a:graphic>
                </wp:inline>
              </w:drawing>
            </w:r>
          </w:p>
        </w:tc>
      </w:tr>
      <w:tr w14:paraId="40E17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9" w:type="dxa"/>
            <w:tcBorders>
              <w:tl2br w:val="nil"/>
              <w:tr2bl w:val="nil"/>
            </w:tcBorders>
            <w:noWrap w:val="0"/>
            <w:vAlign w:val="top"/>
          </w:tcPr>
          <w:p w14:paraId="611E2BF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图2 无人机施用叶面阻控剂</w:t>
            </w:r>
          </w:p>
        </w:tc>
        <w:tc>
          <w:tcPr>
            <w:tcW w:w="4742" w:type="dxa"/>
            <w:tcBorders>
              <w:tl2br w:val="nil"/>
              <w:tr2bl w:val="nil"/>
            </w:tcBorders>
            <w:noWrap w:val="0"/>
            <w:vAlign w:val="top"/>
          </w:tcPr>
          <w:p w14:paraId="37BCF98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sz w:val="28"/>
                <w:szCs w:val="28"/>
                <w:lang w:eastAsia="zh-CN"/>
              </w:rPr>
            </w:pPr>
            <w:r>
              <w:rPr>
                <w:rFonts w:hint="eastAsia" w:ascii="方正黑体_GBK" w:hAnsi="方正黑体_GBK" w:eastAsia="方正黑体_GBK" w:cs="方正黑体_GBK"/>
                <w:b w:val="0"/>
                <w:bCs w:val="0"/>
                <w:sz w:val="28"/>
                <w:szCs w:val="28"/>
              </w:rPr>
              <w:t>图3 人工施用叶面阻控剂</w:t>
            </w:r>
          </w:p>
        </w:tc>
      </w:tr>
      <w:tr w14:paraId="0145D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gridSpan w:val="2"/>
            <w:tcBorders>
              <w:tl2br w:val="nil"/>
              <w:tr2bl w:val="nil"/>
            </w:tcBorders>
            <w:noWrap w:val="0"/>
            <w:vAlign w:val="top"/>
          </w:tcPr>
          <w:p w14:paraId="0945339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sz w:val="28"/>
                <w:szCs w:val="28"/>
                <w:lang w:val="en-US" w:eastAsia="zh-CN"/>
              </w:rPr>
            </w:pPr>
            <w:r>
              <w:rPr>
                <w:rFonts w:hint="eastAsia" w:ascii="方正黑体_GBK" w:hAnsi="方正黑体_GBK" w:eastAsia="方正黑体_GBK" w:cs="方正黑体_GBK"/>
                <w:b w:val="0"/>
                <w:bCs w:val="0"/>
                <w:color w:val="333333"/>
                <w:sz w:val="28"/>
                <w:szCs w:val="28"/>
              </w:rPr>
              <w:drawing>
                <wp:inline distT="0" distB="0" distL="114300" distR="114300">
                  <wp:extent cx="5232400" cy="1734820"/>
                  <wp:effectExtent l="0" t="0" r="6350" b="1778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1"/>
                          <a:stretch>
                            <a:fillRect/>
                          </a:stretch>
                        </pic:blipFill>
                        <pic:spPr>
                          <a:xfrm>
                            <a:off x="0" y="0"/>
                            <a:ext cx="5232400" cy="1734820"/>
                          </a:xfrm>
                          <a:prstGeom prst="rect">
                            <a:avLst/>
                          </a:prstGeom>
                          <a:noFill/>
                          <a:ln>
                            <a:noFill/>
                          </a:ln>
                        </pic:spPr>
                      </pic:pic>
                    </a:graphicData>
                  </a:graphic>
                </wp:inline>
              </w:drawing>
            </w:r>
          </w:p>
        </w:tc>
      </w:tr>
      <w:tr w14:paraId="5E813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gridSpan w:val="2"/>
            <w:tcBorders>
              <w:tl2br w:val="nil"/>
              <w:tr2bl w:val="nil"/>
            </w:tcBorders>
            <w:noWrap w:val="0"/>
            <w:vAlign w:val="top"/>
          </w:tcPr>
          <w:p w14:paraId="0E84B8C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sz w:val="28"/>
                <w:szCs w:val="28"/>
                <w:lang w:val="en-US" w:eastAsia="zh-CN"/>
              </w:rPr>
            </w:pPr>
            <w:r>
              <w:rPr>
                <w:rFonts w:hint="eastAsia" w:ascii="方正黑体_GBK" w:hAnsi="方正黑体_GBK" w:eastAsia="方正黑体_GBK" w:cs="方正黑体_GBK"/>
                <w:b w:val="0"/>
                <w:bCs w:val="0"/>
                <w:color w:val="auto"/>
                <w:sz w:val="28"/>
                <w:szCs w:val="28"/>
              </w:rPr>
              <w:t>图</w:t>
            </w:r>
            <w:r>
              <w:rPr>
                <w:rFonts w:hint="eastAsia" w:ascii="方正黑体_GBK" w:hAnsi="方正黑体_GBK" w:eastAsia="方正黑体_GBK" w:cs="方正黑体_GBK"/>
                <w:b w:val="0"/>
                <w:bCs w:val="0"/>
                <w:color w:val="auto"/>
                <w:sz w:val="28"/>
                <w:szCs w:val="28"/>
                <w:lang w:val="en-US" w:eastAsia="zh-CN"/>
              </w:rPr>
              <w:t xml:space="preserve">4 </w:t>
            </w:r>
            <w:r>
              <w:rPr>
                <w:rFonts w:hint="eastAsia" w:ascii="方正黑体_GBK" w:hAnsi="方正黑体_GBK" w:eastAsia="方正黑体_GBK" w:cs="方正黑体_GBK"/>
                <w:b w:val="0"/>
                <w:bCs w:val="0"/>
                <w:color w:val="auto"/>
                <w:sz w:val="28"/>
                <w:szCs w:val="28"/>
                <w:lang w:eastAsia="zh-CN"/>
              </w:rPr>
              <w:t>“</w:t>
            </w:r>
            <w:r>
              <w:rPr>
                <w:rFonts w:hint="eastAsia" w:ascii="方正黑体_GBK" w:hAnsi="方正黑体_GBK" w:eastAsia="方正黑体_GBK" w:cs="方正黑体_GBK"/>
                <w:b w:val="0"/>
                <w:bCs w:val="0"/>
                <w:color w:val="auto"/>
                <w:sz w:val="28"/>
                <w:szCs w:val="28"/>
              </w:rPr>
              <w:t>VIF”技术关键实施</w:t>
            </w:r>
            <w:r>
              <w:rPr>
                <w:rFonts w:hint="eastAsia" w:ascii="方正黑体_GBK" w:hAnsi="方正黑体_GBK" w:eastAsia="方正黑体_GBK" w:cs="方正黑体_GBK"/>
                <w:b w:val="0"/>
                <w:bCs w:val="0"/>
                <w:color w:val="auto"/>
                <w:sz w:val="28"/>
                <w:szCs w:val="28"/>
                <w:lang w:val="en-US" w:eastAsia="zh-CN"/>
              </w:rPr>
              <w:t>期</w:t>
            </w:r>
          </w:p>
        </w:tc>
      </w:tr>
    </w:tbl>
    <w:p w14:paraId="750513F7">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黑体_GBK" w:hAnsi="方正黑体_GBK" w:eastAsia="方正黑体_GBK" w:cs="方正黑体_GBK"/>
          <w:b w:val="0"/>
          <w:bCs w:val="0"/>
          <w:color w:val="000000"/>
          <w:sz w:val="32"/>
          <w:szCs w:val="32"/>
        </w:rPr>
      </w:pPr>
      <w:r>
        <w:rPr>
          <w:rFonts w:hint="eastAsia" w:ascii="方正黑体_GBK" w:hAnsi="方正黑体_GBK" w:eastAsia="方正黑体_GBK" w:cs="方正黑体_GBK"/>
          <w:b w:val="0"/>
          <w:bCs w:val="0"/>
          <w:color w:val="000000"/>
          <w:sz w:val="32"/>
          <w:szCs w:val="32"/>
          <w:lang w:val="en-US" w:eastAsia="zh-CN"/>
        </w:rPr>
        <w:t>三、适宜区域</w:t>
      </w:r>
    </w:p>
    <w:p w14:paraId="52B1EE2D">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本技术适宜土壤镉含量介于</w:t>
      </w:r>
      <w:bookmarkStart w:id="0" w:name="OLE_LINK1"/>
      <w:r>
        <w:rPr>
          <w:rFonts w:hint="eastAsia" w:ascii="方正仿宋_GBK" w:hAnsi="方正仿宋_GBK" w:eastAsia="方正仿宋_GBK" w:cs="方正仿宋_GBK"/>
          <w:b w:val="0"/>
          <w:bCs w:val="0"/>
          <w:sz w:val="32"/>
          <w:szCs w:val="32"/>
        </w:rPr>
        <w:t>GB 15618</w:t>
      </w:r>
      <w:bookmarkEnd w:id="0"/>
      <w:r>
        <w:rPr>
          <w:rFonts w:hint="eastAsia" w:ascii="方正仿宋_GBK" w:hAnsi="方正仿宋_GBK" w:eastAsia="方正仿宋_GBK" w:cs="方正仿宋_GBK"/>
          <w:b w:val="0"/>
          <w:bCs w:val="0"/>
          <w:sz w:val="32"/>
          <w:szCs w:val="32"/>
        </w:rPr>
        <w:t>规定的农用地土壤污染风险筛选值和管制值之间的中轻度镉污染稻田推广应用。</w:t>
      </w:r>
    </w:p>
    <w:p w14:paraId="6601E473">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黑体_GBK" w:hAnsi="方正黑体_GBK" w:eastAsia="方正黑体_GBK" w:cs="方正黑体_GBK"/>
          <w:b w:val="0"/>
          <w:bCs w:val="0"/>
          <w:color w:val="000000"/>
          <w:sz w:val="32"/>
          <w:szCs w:val="32"/>
        </w:rPr>
      </w:pPr>
      <w:r>
        <w:rPr>
          <w:rFonts w:hint="eastAsia" w:ascii="方正黑体_GBK" w:hAnsi="方正黑体_GBK" w:eastAsia="方正黑体_GBK" w:cs="方正黑体_GBK"/>
          <w:b w:val="0"/>
          <w:bCs w:val="0"/>
          <w:color w:val="000000"/>
          <w:sz w:val="32"/>
          <w:szCs w:val="32"/>
          <w:lang w:val="en-US" w:eastAsia="zh-CN"/>
        </w:rPr>
        <w:t>四、注意事项</w:t>
      </w:r>
    </w:p>
    <w:p w14:paraId="3C5AC4DC">
      <w:pPr>
        <w:keepNext w:val="0"/>
        <w:keepLines w:val="0"/>
        <w:pageBreakBefore w:val="0"/>
        <w:widowControl w:val="0"/>
        <w:numPr>
          <w:ilvl w:val="0"/>
          <w:numId w:val="1"/>
        </w:numPr>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水分调控措施不适宜在镉、砷共污染区域实施</w:t>
      </w:r>
      <w:bookmarkStart w:id="1" w:name="_Toc31216"/>
      <w:bookmarkStart w:id="2" w:name="_Toc7292"/>
      <w:r>
        <w:rPr>
          <w:rFonts w:hint="eastAsia" w:ascii="方正仿宋_GBK" w:hAnsi="方正仿宋_GBK" w:eastAsia="方正仿宋_GBK" w:cs="方正仿宋_GBK"/>
          <w:b w:val="0"/>
          <w:bCs w:val="0"/>
          <w:sz w:val="32"/>
          <w:szCs w:val="32"/>
          <w:lang w:eastAsia="zh-CN"/>
        </w:rPr>
        <w:t>。</w:t>
      </w:r>
    </w:p>
    <w:p w14:paraId="65A6753A">
      <w:pPr>
        <w:keepNext w:val="0"/>
        <w:keepLines w:val="0"/>
        <w:pageBreakBefore w:val="0"/>
        <w:widowControl w:val="0"/>
        <w:numPr>
          <w:ilvl w:val="0"/>
          <w:numId w:val="1"/>
        </w:numPr>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宜施用水稻专用复合肥，或有机无机复混肥，不应施用过磷酸钙、氯化钾等酸性肥料，肥料中有毒有害物质应符合GB 38400的规定。</w:t>
      </w:r>
    </w:p>
    <w:bookmarkEnd w:id="1"/>
    <w:bookmarkEnd w:id="2"/>
    <w:p w14:paraId="1E5D120E">
      <w:pPr>
        <w:keepNext w:val="0"/>
        <w:keepLines w:val="0"/>
        <w:pageBreakBefore w:val="0"/>
        <w:widowControl w:val="0"/>
        <w:numPr>
          <w:ilvl w:val="0"/>
          <w:numId w:val="1"/>
        </w:numPr>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bookmarkStart w:id="3" w:name="_Toc31861"/>
      <w:bookmarkStart w:id="4" w:name="_Toc1558"/>
      <w:r>
        <w:rPr>
          <w:rFonts w:hint="eastAsia" w:ascii="方正仿宋_GBK" w:hAnsi="方正仿宋_GBK" w:eastAsia="方正仿宋_GBK" w:cs="方正仿宋_GBK"/>
          <w:b w:val="0"/>
          <w:bCs w:val="0"/>
          <w:sz w:val="32"/>
          <w:szCs w:val="32"/>
          <w:lang w:val="en-US" w:eastAsia="zh-CN"/>
        </w:rPr>
        <w:t>病虫草害防治按照DB50/T 1036的规定执行</w:t>
      </w:r>
      <w:bookmarkEnd w:id="3"/>
      <w:bookmarkEnd w:id="4"/>
      <w:bookmarkStart w:id="5" w:name="_Toc30013"/>
      <w:bookmarkStart w:id="6" w:name="_Toc28026"/>
      <w:r>
        <w:rPr>
          <w:rFonts w:hint="eastAsia" w:ascii="方正仿宋_GBK" w:hAnsi="方正仿宋_GBK" w:eastAsia="方正仿宋_GBK" w:cs="方正仿宋_GBK"/>
          <w:b w:val="0"/>
          <w:bCs w:val="0"/>
          <w:sz w:val="32"/>
          <w:szCs w:val="32"/>
          <w:lang w:val="en-US" w:eastAsia="zh-CN"/>
        </w:rPr>
        <w:t>，其它田间管理措施应与当地大田生产一致。</w:t>
      </w:r>
      <w:bookmarkEnd w:id="5"/>
      <w:bookmarkEnd w:id="6"/>
    </w:p>
    <w:p w14:paraId="0B67B661">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黑体_GBK" w:hAnsi="方正黑体_GBK" w:eastAsia="方正黑体_GBK" w:cs="方正黑体_GBK"/>
          <w:b w:val="0"/>
          <w:bCs w:val="0"/>
          <w:color w:val="000000"/>
          <w:sz w:val="32"/>
          <w:szCs w:val="32"/>
          <w:lang w:eastAsia="zh-CN"/>
        </w:rPr>
      </w:pPr>
      <w:r>
        <w:rPr>
          <w:rFonts w:hint="eastAsia" w:ascii="方正黑体_GBK" w:hAnsi="方正黑体_GBK" w:eastAsia="方正黑体_GBK" w:cs="方正黑体_GBK"/>
          <w:b w:val="0"/>
          <w:bCs w:val="0"/>
          <w:color w:val="000000"/>
          <w:sz w:val="32"/>
          <w:szCs w:val="32"/>
          <w:lang w:eastAsia="zh-CN"/>
        </w:rPr>
        <w:t>五、技术依托单位</w:t>
      </w:r>
    </w:p>
    <w:p w14:paraId="0439D75C">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exact"/>
        <w:ind w:left="0" w:leftChars="0" w:right="0" w:rightChars="0" w:firstLine="640" w:firstLineChars="200"/>
        <w:textAlignment w:val="auto"/>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eastAsia="zh-CN"/>
        </w:rPr>
        <w:t>（一）</w:t>
      </w:r>
      <w:r>
        <w:rPr>
          <w:rFonts w:hint="eastAsia" w:ascii="方正楷体_GBK" w:hAnsi="方正楷体_GBK" w:eastAsia="方正楷体_GBK" w:cs="方正楷体_GBK"/>
          <w:b w:val="0"/>
          <w:bCs w:val="0"/>
          <w:color w:val="000000"/>
          <w:sz w:val="32"/>
          <w:szCs w:val="32"/>
          <w:lang w:val="en-US" w:eastAsia="zh-CN"/>
        </w:rPr>
        <w:t>重庆市农业生态与资源保护站</w:t>
      </w:r>
    </w:p>
    <w:p w14:paraId="0457EE89">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联系地址：</w:t>
      </w:r>
      <w:r>
        <w:rPr>
          <w:rFonts w:hint="eastAsia" w:ascii="方正仿宋_GBK" w:hAnsi="方正仿宋_GBK" w:eastAsia="方正仿宋_GBK" w:cs="方正仿宋_GBK"/>
          <w:b w:val="0"/>
          <w:bCs w:val="0"/>
          <w:sz w:val="32"/>
          <w:szCs w:val="32"/>
          <w:lang w:val="en-US" w:eastAsia="zh-CN"/>
        </w:rPr>
        <w:t>重庆市渝北区黄山大道186号</w:t>
      </w:r>
    </w:p>
    <w:p w14:paraId="1798A18D">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邮政编码：</w:t>
      </w:r>
      <w:r>
        <w:rPr>
          <w:rFonts w:hint="eastAsia" w:ascii="方正仿宋_GBK" w:hAnsi="方正仿宋_GBK" w:eastAsia="方正仿宋_GBK" w:cs="方正仿宋_GBK"/>
          <w:b w:val="0"/>
          <w:bCs w:val="0"/>
          <w:sz w:val="32"/>
          <w:szCs w:val="32"/>
          <w:lang w:val="en-US" w:eastAsia="zh-CN"/>
        </w:rPr>
        <w:t>400000</w:t>
      </w:r>
    </w:p>
    <w:p w14:paraId="2CCF6B2A">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联 系 人：</w:t>
      </w:r>
      <w:r>
        <w:rPr>
          <w:rFonts w:hint="eastAsia" w:ascii="方正仿宋_GBK" w:hAnsi="方正仿宋_GBK" w:eastAsia="方正仿宋_GBK" w:cs="方正仿宋_GBK"/>
          <w:b w:val="0"/>
          <w:bCs w:val="0"/>
          <w:sz w:val="32"/>
          <w:szCs w:val="32"/>
          <w:lang w:val="en-US" w:eastAsia="zh-CN"/>
        </w:rPr>
        <w:t>陈玲</w:t>
      </w:r>
    </w:p>
    <w:p w14:paraId="2FAE1486">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联系电话</w:t>
      </w:r>
      <w:r>
        <w:rPr>
          <w:rFonts w:hint="eastAsia" w:ascii="方正仿宋_GBK" w:hAnsi="方正仿宋_GBK" w:eastAsia="方正仿宋_GBK" w:cs="方正仿宋_GBK"/>
          <w:b w:val="0"/>
          <w:bCs w:val="0"/>
          <w:sz w:val="32"/>
          <w:szCs w:val="32"/>
          <w:lang w:val="en-US" w:eastAsia="zh-CN"/>
        </w:rPr>
        <w:t>15223468975</w:t>
      </w:r>
    </w:p>
    <w:p w14:paraId="0BD109DD">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电子邮</w:t>
      </w:r>
      <w:r>
        <w:rPr>
          <w:rFonts w:hint="eastAsia" w:ascii="方正仿宋_GBK" w:hAnsi="方正仿宋_GBK" w:eastAsia="方正仿宋_GBK" w:cs="方正仿宋_GBK"/>
          <w:b w:val="0"/>
          <w:bCs w:val="0"/>
          <w:sz w:val="32"/>
          <w:szCs w:val="32"/>
          <w:u w:val="none"/>
        </w:rPr>
        <w:t>箱</w:t>
      </w:r>
      <w:r>
        <w:rPr>
          <w:rFonts w:hint="eastAsia" w:ascii="方正仿宋_GBK" w:hAnsi="方正仿宋_GBK" w:eastAsia="方正仿宋_GBK" w:cs="方正仿宋_GBK"/>
          <w:b w:val="0"/>
          <w:bCs w:val="0"/>
          <w:color w:val="auto"/>
          <w:sz w:val="32"/>
          <w:szCs w:val="32"/>
          <w:u w:val="none"/>
        </w:rPr>
        <w:t>：</w:t>
      </w:r>
      <w:r>
        <w:rPr>
          <w:rFonts w:hint="eastAsia" w:ascii="方正仿宋_GBK" w:hAnsi="方正仿宋_GBK" w:eastAsia="方正仿宋_GBK" w:cs="方正仿宋_GBK"/>
          <w:b w:val="0"/>
          <w:bCs w:val="0"/>
          <w:color w:val="auto"/>
          <w:sz w:val="32"/>
          <w:szCs w:val="32"/>
          <w:u w:val="none"/>
          <w:lang w:val="en-US" w:eastAsia="zh-CN"/>
        </w:rPr>
        <w:fldChar w:fldCharType="begin"/>
      </w:r>
      <w:r>
        <w:rPr>
          <w:rFonts w:hint="eastAsia" w:ascii="方正仿宋_GBK" w:hAnsi="方正仿宋_GBK" w:eastAsia="方正仿宋_GBK" w:cs="方正仿宋_GBK"/>
          <w:b w:val="0"/>
          <w:bCs w:val="0"/>
          <w:color w:val="auto"/>
          <w:sz w:val="32"/>
          <w:szCs w:val="32"/>
          <w:u w:val="none"/>
          <w:lang w:val="en-US" w:eastAsia="zh-CN"/>
        </w:rPr>
        <w:instrText xml:space="preserve"> HYPERLINK "mailto:420156810@qq.com" </w:instrText>
      </w:r>
      <w:r>
        <w:rPr>
          <w:rFonts w:hint="eastAsia" w:ascii="方正仿宋_GBK" w:hAnsi="方正仿宋_GBK" w:eastAsia="方正仿宋_GBK" w:cs="方正仿宋_GBK"/>
          <w:b w:val="0"/>
          <w:bCs w:val="0"/>
          <w:color w:val="auto"/>
          <w:sz w:val="32"/>
          <w:szCs w:val="32"/>
          <w:u w:val="none"/>
          <w:lang w:val="en-US" w:eastAsia="zh-CN"/>
        </w:rPr>
        <w:fldChar w:fldCharType="separate"/>
      </w:r>
      <w:r>
        <w:rPr>
          <w:rStyle w:val="12"/>
          <w:rFonts w:hint="eastAsia" w:ascii="方正仿宋_GBK" w:hAnsi="方正仿宋_GBK" w:eastAsia="方正仿宋_GBK" w:cs="方正仿宋_GBK"/>
          <w:b w:val="0"/>
          <w:bCs w:val="0"/>
          <w:color w:val="auto"/>
          <w:sz w:val="32"/>
          <w:szCs w:val="32"/>
          <w:u w:val="none"/>
          <w:lang w:val="en-US" w:eastAsia="zh-CN"/>
        </w:rPr>
        <w:t>420156810@qq.com</w:t>
      </w:r>
      <w:r>
        <w:rPr>
          <w:rFonts w:hint="eastAsia" w:ascii="方正仿宋_GBK" w:hAnsi="方正仿宋_GBK" w:eastAsia="方正仿宋_GBK" w:cs="方正仿宋_GBK"/>
          <w:b w:val="0"/>
          <w:bCs w:val="0"/>
          <w:color w:val="auto"/>
          <w:sz w:val="32"/>
          <w:szCs w:val="32"/>
          <w:u w:val="none"/>
          <w:lang w:val="en-US" w:eastAsia="zh-CN"/>
        </w:rPr>
        <w:fldChar w:fldCharType="end"/>
      </w:r>
    </w:p>
    <w:p w14:paraId="544506B6">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exact"/>
        <w:ind w:left="0" w:leftChars="0" w:right="0" w:rightChars="0" w:firstLine="640" w:firstLineChars="200"/>
        <w:textAlignment w:val="auto"/>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（二）重庆市农业科学院</w:t>
      </w:r>
    </w:p>
    <w:p w14:paraId="2789ADE1">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联系地址：</w:t>
      </w:r>
      <w:r>
        <w:rPr>
          <w:rFonts w:hint="eastAsia" w:ascii="方正仿宋_GBK" w:hAnsi="方正仿宋_GBK" w:eastAsia="方正仿宋_GBK" w:cs="方正仿宋_GBK"/>
          <w:b w:val="0"/>
          <w:bCs w:val="0"/>
          <w:sz w:val="32"/>
          <w:szCs w:val="32"/>
          <w:lang w:val="en-US" w:eastAsia="zh-CN"/>
        </w:rPr>
        <w:t>重庆市九龙坡区白市驿镇农科大道</w:t>
      </w:r>
    </w:p>
    <w:p w14:paraId="11519A53">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邮政编码：</w:t>
      </w:r>
      <w:r>
        <w:rPr>
          <w:rFonts w:hint="eastAsia" w:ascii="方正仿宋_GBK" w:hAnsi="方正仿宋_GBK" w:eastAsia="方正仿宋_GBK" w:cs="方正仿宋_GBK"/>
          <w:b w:val="0"/>
          <w:bCs w:val="0"/>
          <w:sz w:val="32"/>
          <w:szCs w:val="32"/>
          <w:lang w:val="en-US" w:eastAsia="zh-CN"/>
        </w:rPr>
        <w:t>400000</w:t>
      </w:r>
    </w:p>
    <w:p w14:paraId="6ED09AB4">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 系 人：唐荣莉</w:t>
      </w:r>
    </w:p>
    <w:p w14:paraId="6478E1E6">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联系电话</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18983691762</w:t>
      </w:r>
    </w:p>
    <w:p w14:paraId="517A203F">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电子邮箱：</w:t>
      </w:r>
      <w:r>
        <w:rPr>
          <w:rFonts w:hint="eastAsia" w:ascii="方正仿宋_GBK" w:hAnsi="方正仿宋_GBK" w:eastAsia="方正仿宋_GBK" w:cs="方正仿宋_GBK"/>
          <w:b w:val="0"/>
          <w:bCs w:val="0"/>
          <w:sz w:val="32"/>
          <w:szCs w:val="32"/>
          <w:lang w:val="en-US" w:eastAsia="zh-CN"/>
        </w:rPr>
        <w:fldChar w:fldCharType="begin"/>
      </w:r>
      <w:r>
        <w:rPr>
          <w:rFonts w:hint="eastAsia" w:ascii="方正仿宋_GBK" w:hAnsi="方正仿宋_GBK" w:eastAsia="方正仿宋_GBK" w:cs="方正仿宋_GBK"/>
          <w:b w:val="0"/>
          <w:bCs w:val="0"/>
          <w:sz w:val="32"/>
          <w:szCs w:val="32"/>
          <w:lang w:val="en-US" w:eastAsia="zh-CN"/>
        </w:rPr>
        <w:instrText xml:space="preserve"> HYPERLINK "mailto:420156810@qq.com" </w:instrText>
      </w:r>
      <w:r>
        <w:rPr>
          <w:rFonts w:hint="eastAsia" w:ascii="方正仿宋_GBK" w:hAnsi="方正仿宋_GBK" w:eastAsia="方正仿宋_GBK" w:cs="方正仿宋_GBK"/>
          <w:b w:val="0"/>
          <w:bCs w:val="0"/>
          <w:sz w:val="32"/>
          <w:szCs w:val="32"/>
          <w:lang w:val="en-US" w:eastAsia="zh-CN"/>
        </w:rPr>
        <w:fldChar w:fldCharType="separate"/>
      </w:r>
      <w:r>
        <w:rPr>
          <w:rFonts w:hint="eastAsia" w:ascii="方正仿宋_GBK" w:hAnsi="方正仿宋_GBK" w:eastAsia="方正仿宋_GBK" w:cs="方正仿宋_GBK"/>
          <w:b w:val="0"/>
          <w:bCs w:val="0"/>
          <w:sz w:val="32"/>
          <w:szCs w:val="32"/>
          <w:lang w:val="en-US" w:eastAsia="zh-CN"/>
        </w:rPr>
        <w:t>307105130@qq.com</w:t>
      </w:r>
      <w:r>
        <w:rPr>
          <w:rFonts w:hint="eastAsia" w:ascii="方正仿宋_GBK" w:hAnsi="方正仿宋_GBK" w:eastAsia="方正仿宋_GBK" w:cs="方正仿宋_GBK"/>
          <w:b w:val="0"/>
          <w:bCs w:val="0"/>
          <w:sz w:val="32"/>
          <w:szCs w:val="32"/>
          <w:lang w:val="en-US" w:eastAsia="zh-CN"/>
        </w:rPr>
        <w:fldChar w:fldCharType="end"/>
      </w:r>
    </w:p>
    <w:p w14:paraId="33000180">
      <w:pPr>
        <w:pStyle w:val="2"/>
        <w:rPr>
          <w:rFonts w:hint="eastAsia" w:ascii="方正仿宋_GBK" w:hAnsi="方正仿宋_GBK" w:eastAsia="方正仿宋_GBK" w:cs="方正仿宋_GBK"/>
          <w:b w:val="0"/>
          <w:bCs w:val="0"/>
          <w:sz w:val="32"/>
          <w:szCs w:val="32"/>
          <w:lang w:val="en-US" w:eastAsia="zh-CN"/>
        </w:rPr>
      </w:pPr>
    </w:p>
    <w:p w14:paraId="7A34EBDC">
      <w:pPr>
        <w:rPr>
          <w:rFonts w:hint="eastAsia" w:ascii="方正仿宋_GBK" w:hAnsi="方正仿宋_GBK" w:eastAsia="方正仿宋_GBK" w:cs="方正仿宋_GBK"/>
          <w:b w:val="0"/>
          <w:bCs w:val="0"/>
          <w:sz w:val="32"/>
          <w:szCs w:val="32"/>
          <w:lang w:val="en-US" w:eastAsia="zh-CN"/>
        </w:rPr>
      </w:pPr>
    </w:p>
    <w:p w14:paraId="37251F66">
      <w:pPr>
        <w:pStyle w:val="2"/>
        <w:rPr>
          <w:rFonts w:hint="eastAsia" w:ascii="方正仿宋_GBK" w:hAnsi="方正仿宋_GBK" w:eastAsia="方正仿宋_GBK" w:cs="方正仿宋_GBK"/>
          <w:b w:val="0"/>
          <w:bCs w:val="0"/>
          <w:sz w:val="32"/>
          <w:szCs w:val="32"/>
          <w:lang w:val="en-US" w:eastAsia="zh-CN"/>
        </w:rPr>
      </w:pPr>
    </w:p>
    <w:p w14:paraId="35FA9728">
      <w:pPr>
        <w:rPr>
          <w:rFonts w:hint="eastAsia" w:ascii="方正仿宋_GBK" w:hAnsi="方正仿宋_GBK" w:eastAsia="方正仿宋_GBK" w:cs="方正仿宋_GBK"/>
          <w:b w:val="0"/>
          <w:bCs w:val="0"/>
          <w:sz w:val="32"/>
          <w:szCs w:val="32"/>
          <w:lang w:val="en-US" w:eastAsia="zh-CN"/>
        </w:rPr>
      </w:pPr>
    </w:p>
    <w:p w14:paraId="365ED537">
      <w:pPr>
        <w:pStyle w:val="3"/>
        <w:bidi w:val="0"/>
        <w:rPr>
          <w:rFonts w:hint="eastAsia"/>
        </w:rPr>
      </w:pPr>
      <w:r>
        <w:rPr>
          <w:rFonts w:hint="eastAsia"/>
          <w:lang w:val="en-US" w:eastAsia="zh-CN"/>
        </w:rPr>
        <w:t>2.宜机化区中稻—再生稻全程轻简优质丰产栽培技术</w:t>
      </w:r>
    </w:p>
    <w:p w14:paraId="68548FB5">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p>
    <w:p w14:paraId="35379DB1">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黑体_GBK" w:hAnsi="方正黑体_GBK" w:eastAsia="方正黑体_GBK" w:cs="方正黑体_GBK"/>
          <w:b w:val="0"/>
          <w:bCs w:val="0"/>
          <w:color w:val="000000"/>
          <w:sz w:val="32"/>
          <w:szCs w:val="32"/>
          <w:lang w:eastAsia="zh-CN"/>
        </w:rPr>
        <w:t>摘要：</w:t>
      </w:r>
      <w:r>
        <w:rPr>
          <w:rFonts w:hint="eastAsia" w:ascii="方正仿宋_GBK" w:hAnsi="方正仿宋_GBK" w:eastAsia="方正仿宋_GBK" w:cs="方正仿宋_GBK"/>
          <w:b w:val="0"/>
          <w:bCs w:val="0"/>
          <w:color w:val="000000"/>
          <w:sz w:val="32"/>
          <w:szCs w:val="32"/>
        </w:rPr>
        <w:t>针对长江上游和西南</w:t>
      </w:r>
      <w:r>
        <w:rPr>
          <w:rFonts w:hint="eastAsia" w:ascii="方正仿宋_GBK" w:hAnsi="方正仿宋_GBK" w:eastAsia="方正仿宋_GBK" w:cs="方正仿宋_GBK"/>
          <w:b w:val="0"/>
          <w:bCs w:val="0"/>
          <w:color w:val="000000"/>
          <w:sz w:val="32"/>
          <w:szCs w:val="32"/>
          <w:lang w:val="en-US" w:eastAsia="zh-CN"/>
        </w:rPr>
        <w:t>光温适宜</w:t>
      </w:r>
      <w:r>
        <w:rPr>
          <w:rFonts w:hint="eastAsia" w:ascii="方正仿宋_GBK" w:hAnsi="方正仿宋_GBK" w:eastAsia="方正仿宋_GBK" w:cs="方正仿宋_GBK"/>
          <w:b w:val="0"/>
          <w:bCs w:val="0"/>
          <w:color w:val="000000"/>
          <w:sz w:val="32"/>
          <w:szCs w:val="32"/>
        </w:rPr>
        <w:t>区中稻-再生稻</w:t>
      </w:r>
      <w:r>
        <w:rPr>
          <w:rFonts w:hint="eastAsia" w:ascii="方正仿宋_GBK" w:hAnsi="方正仿宋_GBK" w:eastAsia="方正仿宋_GBK" w:cs="方正仿宋_GBK"/>
          <w:b w:val="0"/>
          <w:bCs w:val="0"/>
          <w:color w:val="000000"/>
          <w:sz w:val="32"/>
          <w:szCs w:val="32"/>
          <w:lang w:val="en-US" w:eastAsia="zh-CN"/>
        </w:rPr>
        <w:t>生产农机农艺不配套</w:t>
      </w:r>
      <w:r>
        <w:rPr>
          <w:rFonts w:hint="eastAsia" w:ascii="方正仿宋_GBK" w:hAnsi="方正仿宋_GBK" w:eastAsia="方正仿宋_GBK" w:cs="方正仿宋_GBK"/>
          <w:b w:val="0"/>
          <w:bCs w:val="0"/>
          <w:color w:val="000000"/>
          <w:sz w:val="32"/>
          <w:szCs w:val="32"/>
          <w:lang w:eastAsia="zh-CN"/>
        </w:rPr>
        <w:t>，周年</w:t>
      </w:r>
      <w:r>
        <w:rPr>
          <w:rFonts w:hint="eastAsia" w:ascii="方正仿宋_GBK" w:hAnsi="方正仿宋_GBK" w:eastAsia="方正仿宋_GBK" w:cs="方正仿宋_GBK"/>
          <w:b w:val="0"/>
          <w:bCs w:val="0"/>
          <w:color w:val="000000"/>
          <w:sz w:val="32"/>
          <w:szCs w:val="32"/>
        </w:rPr>
        <w:t>产能不高、效益不稳、品质不优等问题</w:t>
      </w:r>
      <w:r>
        <w:rPr>
          <w:rFonts w:hint="eastAsia" w:ascii="方正仿宋_GBK" w:hAnsi="方正仿宋_GBK" w:eastAsia="方正仿宋_GBK" w:cs="方正仿宋_GBK"/>
          <w:b w:val="0"/>
          <w:bCs w:val="0"/>
          <w:color w:val="000000"/>
          <w:sz w:val="32"/>
          <w:szCs w:val="32"/>
          <w:lang w:eastAsia="zh-CN"/>
        </w:rPr>
        <w:t>，选用</w:t>
      </w:r>
      <w:r>
        <w:rPr>
          <w:rFonts w:hint="eastAsia" w:ascii="方正仿宋_GBK" w:hAnsi="方正仿宋_GBK" w:eastAsia="方正仿宋_GBK" w:cs="方正仿宋_GBK"/>
          <w:b w:val="0"/>
          <w:bCs w:val="0"/>
          <w:color w:val="000000"/>
          <w:sz w:val="32"/>
          <w:szCs w:val="32"/>
        </w:rPr>
        <w:t>宜香优2115、渝香203、渝香优8133、甬优4949、荃优607、玮两优8612等</w:t>
      </w:r>
      <w:r>
        <w:rPr>
          <w:rFonts w:hint="eastAsia" w:ascii="方正仿宋_GBK" w:hAnsi="方正仿宋_GBK" w:eastAsia="方正仿宋_GBK" w:cs="方正仿宋_GBK"/>
          <w:b w:val="0"/>
          <w:bCs w:val="0"/>
          <w:color w:val="000000"/>
          <w:sz w:val="32"/>
          <w:szCs w:val="32"/>
          <w:lang w:val="en-US" w:eastAsia="zh-CN"/>
        </w:rPr>
        <w:t>两季</w:t>
      </w:r>
      <w:r>
        <w:rPr>
          <w:rFonts w:hint="eastAsia" w:ascii="方正仿宋_GBK" w:hAnsi="方正仿宋_GBK" w:eastAsia="方正仿宋_GBK" w:cs="方正仿宋_GBK"/>
          <w:b w:val="0"/>
          <w:bCs w:val="0"/>
          <w:color w:val="000000"/>
          <w:sz w:val="32"/>
          <w:szCs w:val="32"/>
        </w:rPr>
        <w:t>高产优质抗</w:t>
      </w:r>
      <w:r>
        <w:rPr>
          <w:rFonts w:hint="eastAsia" w:ascii="方正仿宋_GBK" w:hAnsi="方正仿宋_GBK" w:eastAsia="方正仿宋_GBK" w:cs="方正仿宋_GBK"/>
          <w:b w:val="0"/>
          <w:bCs w:val="0"/>
          <w:color w:val="000000"/>
          <w:sz w:val="32"/>
          <w:szCs w:val="32"/>
          <w:lang w:val="en-US" w:eastAsia="zh-CN"/>
        </w:rPr>
        <w:t>逆</w:t>
      </w:r>
      <w:r>
        <w:rPr>
          <w:rFonts w:hint="eastAsia" w:ascii="方正仿宋_GBK" w:hAnsi="方正仿宋_GBK" w:eastAsia="方正仿宋_GBK" w:cs="方正仿宋_GBK"/>
          <w:b w:val="0"/>
          <w:bCs w:val="0"/>
          <w:color w:val="000000"/>
          <w:sz w:val="32"/>
          <w:szCs w:val="32"/>
        </w:rPr>
        <w:t>宜机收品种，</w:t>
      </w:r>
      <w:r>
        <w:rPr>
          <w:rFonts w:hint="eastAsia" w:ascii="方正仿宋_GBK" w:hAnsi="方正仿宋_GBK" w:eastAsia="方正仿宋_GBK" w:cs="方正仿宋_GBK"/>
          <w:b w:val="0"/>
          <w:bCs w:val="0"/>
          <w:color w:val="000000"/>
          <w:sz w:val="32"/>
          <w:szCs w:val="32"/>
          <w:lang w:eastAsia="zh-CN"/>
        </w:rPr>
        <w:t>配套</w:t>
      </w:r>
      <w:r>
        <w:rPr>
          <w:rFonts w:hint="eastAsia" w:ascii="方正仿宋_GBK" w:hAnsi="方正仿宋_GBK" w:eastAsia="方正仿宋_GBK" w:cs="方正仿宋_GBK"/>
          <w:b w:val="0"/>
          <w:bCs w:val="0"/>
          <w:color w:val="000000"/>
          <w:sz w:val="32"/>
          <w:szCs w:val="32"/>
        </w:rPr>
        <w:t>适期早播培育壮秧、钵毯苗稳穴增苗机插、二次晒田水分管理、粒芽肥精量施用、病虫害统防统治、机插机收同向规范作业以及</w:t>
      </w:r>
      <w:r>
        <w:rPr>
          <w:rFonts w:hint="eastAsia" w:ascii="方正仿宋_GBK" w:hAnsi="方正仿宋_GBK" w:eastAsia="方正仿宋_GBK" w:cs="方正仿宋_GBK"/>
          <w:b w:val="0"/>
          <w:bCs w:val="0"/>
          <w:color w:val="000000"/>
          <w:sz w:val="32"/>
          <w:szCs w:val="32"/>
          <w:lang w:val="en-US" w:eastAsia="zh-CN"/>
        </w:rPr>
        <w:t>外源生长</w:t>
      </w:r>
      <w:r>
        <w:rPr>
          <w:rFonts w:hint="eastAsia" w:ascii="方正仿宋_GBK" w:hAnsi="方正仿宋_GBK" w:eastAsia="方正仿宋_GBK" w:cs="方正仿宋_GBK"/>
          <w:b w:val="0"/>
          <w:bCs w:val="0"/>
          <w:color w:val="000000"/>
          <w:sz w:val="32"/>
          <w:szCs w:val="32"/>
        </w:rPr>
        <w:t>调节</w:t>
      </w:r>
      <w:r>
        <w:rPr>
          <w:rFonts w:hint="eastAsia" w:ascii="方正仿宋_GBK" w:hAnsi="方正仿宋_GBK" w:eastAsia="方正仿宋_GBK" w:cs="方正仿宋_GBK"/>
          <w:b w:val="0"/>
          <w:bCs w:val="0"/>
          <w:color w:val="000000"/>
          <w:sz w:val="32"/>
          <w:szCs w:val="32"/>
          <w:lang w:val="en-US" w:eastAsia="zh-CN"/>
        </w:rPr>
        <w:t>剂化控</w:t>
      </w:r>
      <w:r>
        <w:rPr>
          <w:rFonts w:hint="eastAsia" w:ascii="方正仿宋_GBK" w:hAnsi="方正仿宋_GBK" w:eastAsia="方正仿宋_GBK" w:cs="方正仿宋_GBK"/>
          <w:b w:val="0"/>
          <w:bCs w:val="0"/>
          <w:color w:val="000000"/>
          <w:sz w:val="32"/>
          <w:szCs w:val="32"/>
          <w:lang w:eastAsia="zh-CN"/>
        </w:rPr>
        <w:t>等</w:t>
      </w:r>
      <w:r>
        <w:rPr>
          <w:rFonts w:hint="eastAsia" w:ascii="方正仿宋_GBK" w:hAnsi="方正仿宋_GBK" w:eastAsia="方正仿宋_GBK" w:cs="方正仿宋_GBK"/>
          <w:b w:val="0"/>
          <w:bCs w:val="0"/>
          <w:color w:val="000000"/>
          <w:sz w:val="32"/>
          <w:szCs w:val="32"/>
        </w:rPr>
        <w:t>关键技术</w:t>
      </w:r>
      <w:r>
        <w:rPr>
          <w:rFonts w:hint="eastAsia" w:ascii="方正仿宋_GBK" w:hAnsi="方正仿宋_GBK" w:eastAsia="方正仿宋_GBK" w:cs="方正仿宋_GBK"/>
          <w:b w:val="0"/>
          <w:bCs w:val="0"/>
          <w:color w:val="000000"/>
          <w:sz w:val="32"/>
          <w:szCs w:val="32"/>
          <w:lang w:eastAsia="zh-CN"/>
        </w:rPr>
        <w:t>，实现</w:t>
      </w:r>
      <w:r>
        <w:rPr>
          <w:rFonts w:hint="eastAsia" w:ascii="方正仿宋_GBK" w:hAnsi="方正仿宋_GBK" w:eastAsia="方正仿宋_GBK" w:cs="方正仿宋_GBK"/>
          <w:b w:val="0"/>
          <w:bCs w:val="0"/>
          <w:color w:val="000000"/>
          <w:sz w:val="32"/>
          <w:szCs w:val="32"/>
          <w:lang w:val="en-US" w:eastAsia="zh-CN"/>
        </w:rPr>
        <w:t>了</w:t>
      </w:r>
      <w:r>
        <w:rPr>
          <w:rFonts w:hint="eastAsia" w:ascii="方正仿宋_GBK" w:hAnsi="方正仿宋_GBK" w:eastAsia="方正仿宋_GBK" w:cs="方正仿宋_GBK"/>
          <w:b w:val="0"/>
          <w:bCs w:val="0"/>
          <w:color w:val="000000"/>
          <w:sz w:val="32"/>
          <w:szCs w:val="32"/>
          <w:lang w:eastAsia="zh-CN"/>
        </w:rPr>
        <w:t>宜机化</w:t>
      </w:r>
      <w:r>
        <w:rPr>
          <w:rFonts w:hint="eastAsia" w:ascii="方正仿宋_GBK" w:hAnsi="方正仿宋_GBK" w:eastAsia="方正仿宋_GBK" w:cs="方正仿宋_GBK"/>
          <w:b w:val="0"/>
          <w:bCs w:val="0"/>
          <w:color w:val="000000"/>
          <w:sz w:val="32"/>
          <w:szCs w:val="32"/>
          <w:lang w:val="en-US" w:eastAsia="zh-CN"/>
        </w:rPr>
        <w:t>区</w:t>
      </w:r>
      <w:r>
        <w:rPr>
          <w:rFonts w:hint="eastAsia" w:ascii="方正仿宋_GBK" w:hAnsi="方正仿宋_GBK" w:eastAsia="方正仿宋_GBK" w:cs="方正仿宋_GBK"/>
          <w:b w:val="0"/>
          <w:bCs w:val="0"/>
          <w:color w:val="000000"/>
          <w:sz w:val="32"/>
          <w:szCs w:val="32"/>
          <w:lang w:eastAsia="zh-CN"/>
        </w:rPr>
        <w:t>中稻机收优质再生稻亩产</w:t>
      </w:r>
      <w:r>
        <w:rPr>
          <w:rFonts w:hint="eastAsia" w:ascii="方正仿宋_GBK" w:hAnsi="方正仿宋_GBK" w:eastAsia="方正仿宋_GBK" w:cs="方正仿宋_GBK"/>
          <w:b w:val="0"/>
          <w:bCs w:val="0"/>
          <w:color w:val="000000"/>
          <w:sz w:val="32"/>
          <w:szCs w:val="32"/>
          <w:lang w:val="en-US" w:eastAsia="zh-CN"/>
        </w:rPr>
        <w:t>300公斤以上、</w:t>
      </w:r>
      <w:r>
        <w:rPr>
          <w:rFonts w:hint="eastAsia" w:ascii="方正仿宋_GBK" w:hAnsi="方正仿宋_GBK" w:eastAsia="方正仿宋_GBK" w:cs="方正仿宋_GBK"/>
          <w:b w:val="0"/>
          <w:bCs w:val="0"/>
          <w:color w:val="000000"/>
          <w:sz w:val="32"/>
          <w:szCs w:val="32"/>
        </w:rPr>
        <w:t>周年</w:t>
      </w:r>
      <w:r>
        <w:rPr>
          <w:rFonts w:hint="eastAsia" w:ascii="方正仿宋_GBK" w:hAnsi="方正仿宋_GBK" w:eastAsia="方正仿宋_GBK" w:cs="方正仿宋_GBK"/>
          <w:b w:val="0"/>
          <w:bCs w:val="0"/>
          <w:color w:val="000000"/>
          <w:sz w:val="32"/>
          <w:szCs w:val="32"/>
          <w:lang w:eastAsia="zh-CN"/>
        </w:rPr>
        <w:t>稻谷亩产</w:t>
      </w:r>
      <w:r>
        <w:rPr>
          <w:rFonts w:hint="eastAsia" w:ascii="方正仿宋_GBK" w:hAnsi="方正仿宋_GBK" w:eastAsia="方正仿宋_GBK" w:cs="方正仿宋_GBK"/>
          <w:b w:val="0"/>
          <w:bCs w:val="0"/>
          <w:color w:val="000000"/>
          <w:sz w:val="32"/>
          <w:szCs w:val="32"/>
          <w:lang w:val="en-US" w:eastAsia="zh-CN"/>
        </w:rPr>
        <w:t>1000公斤以上、</w:t>
      </w:r>
      <w:r>
        <w:rPr>
          <w:rFonts w:hint="eastAsia" w:ascii="方正仿宋_GBK" w:hAnsi="方正仿宋_GBK" w:eastAsia="方正仿宋_GBK" w:cs="方正仿宋_GBK"/>
          <w:b w:val="0"/>
          <w:bCs w:val="0"/>
          <w:color w:val="000000"/>
          <w:sz w:val="32"/>
          <w:szCs w:val="32"/>
          <w:lang w:eastAsia="zh-CN"/>
        </w:rPr>
        <w:t>亩</w:t>
      </w:r>
      <w:r>
        <w:rPr>
          <w:rFonts w:hint="eastAsia" w:ascii="方正仿宋_GBK" w:hAnsi="方正仿宋_GBK" w:eastAsia="方正仿宋_GBK" w:cs="方正仿宋_GBK"/>
          <w:b w:val="0"/>
          <w:bCs w:val="0"/>
          <w:color w:val="000000"/>
          <w:sz w:val="32"/>
          <w:szCs w:val="32"/>
          <w:lang w:val="en-US" w:eastAsia="zh-CN"/>
        </w:rPr>
        <w:t>增产增收400元以上目标</w:t>
      </w:r>
      <w:r>
        <w:rPr>
          <w:rFonts w:hint="eastAsia" w:ascii="方正仿宋_GBK" w:hAnsi="方正仿宋_GBK" w:eastAsia="方正仿宋_GBK" w:cs="方正仿宋_GBK"/>
          <w:b w:val="0"/>
          <w:bCs w:val="0"/>
          <w:color w:val="000000"/>
          <w:sz w:val="32"/>
          <w:szCs w:val="32"/>
        </w:rPr>
        <w:t>。</w:t>
      </w:r>
      <w:r>
        <w:rPr>
          <w:rFonts w:hint="eastAsia" w:ascii="方正仿宋_GBK" w:hAnsi="方正仿宋_GBK" w:eastAsia="方正仿宋_GBK" w:cs="方正仿宋_GBK"/>
          <w:b w:val="0"/>
          <w:bCs w:val="0"/>
          <w:color w:val="000000"/>
          <w:sz w:val="32"/>
          <w:szCs w:val="32"/>
          <w:lang w:val="en-US" w:eastAsia="zh-CN"/>
        </w:rPr>
        <w:t>自2020年以来，该技术已连续6年入选重庆市农业主推技术。近三年，在川渝再生稻区累计推广应用330余万亩，2023年和2025年入选全国农业主推技术。</w:t>
      </w:r>
    </w:p>
    <w:p w14:paraId="7EFB12C6">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黑体_GBK" w:hAnsi="方正黑体_GBK" w:eastAsia="方正黑体_GBK" w:cs="方正黑体_GBK"/>
          <w:b w:val="0"/>
          <w:bCs w:val="0"/>
          <w:color w:val="000000"/>
          <w:sz w:val="32"/>
          <w:szCs w:val="32"/>
          <w:lang w:eastAsia="zh-CN"/>
        </w:rPr>
      </w:pPr>
      <w:r>
        <w:rPr>
          <w:rFonts w:hint="eastAsia" w:ascii="方正黑体_GBK" w:hAnsi="方正黑体_GBK" w:eastAsia="方正黑体_GBK" w:cs="方正黑体_GBK"/>
          <w:b w:val="0"/>
          <w:bCs w:val="0"/>
          <w:color w:val="000000"/>
          <w:sz w:val="32"/>
          <w:szCs w:val="32"/>
          <w:lang w:eastAsia="zh-CN"/>
        </w:rPr>
        <w:t>一、技术概述</w:t>
      </w:r>
    </w:p>
    <w:p w14:paraId="385A4528">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（一）背景情况</w:t>
      </w:r>
    </w:p>
    <w:p w14:paraId="465B6159">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中稻-再生稻是</w:t>
      </w:r>
      <w:r>
        <w:rPr>
          <w:rFonts w:hint="eastAsia" w:ascii="方正仿宋_GBK" w:hAnsi="方正仿宋_GBK" w:eastAsia="方正仿宋_GBK" w:cs="方正仿宋_GBK"/>
          <w:b w:val="0"/>
          <w:bCs w:val="0"/>
          <w:color w:val="000000"/>
          <w:sz w:val="32"/>
          <w:szCs w:val="32"/>
          <w:lang w:val="en-US" w:eastAsia="zh-CN"/>
        </w:rPr>
        <w:t>我国南方光温适宜区的一项特色农作制度，</w:t>
      </w:r>
      <w:r>
        <w:rPr>
          <w:rFonts w:hint="eastAsia" w:ascii="方正仿宋_GBK" w:hAnsi="方正仿宋_GBK" w:eastAsia="方正仿宋_GBK" w:cs="方正仿宋_GBK"/>
          <w:b w:val="0"/>
          <w:bCs w:val="0"/>
          <w:color w:val="000000"/>
          <w:sz w:val="32"/>
          <w:szCs w:val="32"/>
        </w:rPr>
        <w:t>具有省工、省种、省水、省肥、省药、省秧田、省季节，增产、增收，米质优（</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七省两增一优</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）等优势</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lang w:val="en-US" w:eastAsia="zh-CN"/>
        </w:rPr>
        <w:t>其中，</w:t>
      </w:r>
      <w:r>
        <w:rPr>
          <w:rFonts w:hint="eastAsia" w:ascii="方正仿宋_GBK" w:hAnsi="方正仿宋_GBK" w:eastAsia="方正仿宋_GBK" w:cs="方正仿宋_GBK"/>
          <w:b w:val="0"/>
          <w:bCs w:val="0"/>
          <w:color w:val="000000"/>
          <w:sz w:val="32"/>
          <w:szCs w:val="32"/>
        </w:rPr>
        <w:t>以重庆、四川为代表的长江上游和西南</w:t>
      </w:r>
      <w:r>
        <w:rPr>
          <w:rFonts w:hint="eastAsia" w:ascii="方正仿宋_GBK" w:hAnsi="方正仿宋_GBK" w:eastAsia="方正仿宋_GBK" w:cs="方正仿宋_GBK"/>
          <w:b w:val="0"/>
          <w:bCs w:val="0"/>
          <w:color w:val="000000"/>
          <w:sz w:val="32"/>
          <w:szCs w:val="32"/>
          <w:lang w:val="en-US" w:eastAsia="zh-CN"/>
        </w:rPr>
        <w:t>光温适宜区是我国再生稻主产区之一，再生稻</w:t>
      </w:r>
      <w:r>
        <w:rPr>
          <w:rFonts w:hint="eastAsia" w:ascii="方正仿宋_GBK" w:hAnsi="方正仿宋_GBK" w:eastAsia="方正仿宋_GBK" w:cs="方正仿宋_GBK"/>
          <w:b w:val="0"/>
          <w:bCs w:val="0"/>
          <w:color w:val="000000"/>
          <w:sz w:val="32"/>
          <w:szCs w:val="32"/>
        </w:rPr>
        <w:t>常年有收面积稳定在550万亩左右，两季平均亩产800公斤以上，</w:t>
      </w:r>
      <w:r>
        <w:rPr>
          <w:rFonts w:hint="eastAsia" w:ascii="方正仿宋_GBK" w:hAnsi="方正仿宋_GBK" w:eastAsia="方正仿宋_GBK" w:cs="方正仿宋_GBK"/>
          <w:b w:val="0"/>
          <w:bCs w:val="0"/>
          <w:color w:val="000000"/>
          <w:sz w:val="32"/>
          <w:szCs w:val="32"/>
          <w:lang w:val="en-US" w:eastAsia="zh-CN"/>
        </w:rPr>
        <w:t>是西南</w:t>
      </w:r>
      <w:r>
        <w:rPr>
          <w:rFonts w:hint="eastAsia" w:ascii="方正仿宋_GBK" w:hAnsi="方正仿宋_GBK" w:eastAsia="方正仿宋_GBK" w:cs="方正仿宋_GBK"/>
          <w:b w:val="0"/>
          <w:bCs w:val="0"/>
          <w:color w:val="000000"/>
          <w:sz w:val="32"/>
          <w:szCs w:val="32"/>
        </w:rPr>
        <w:t>粮食丰产增效</w:t>
      </w:r>
      <w:r>
        <w:rPr>
          <w:rFonts w:hint="eastAsia" w:ascii="方正仿宋_GBK" w:hAnsi="方正仿宋_GBK" w:eastAsia="方正仿宋_GBK" w:cs="方正仿宋_GBK"/>
          <w:b w:val="0"/>
          <w:bCs w:val="0"/>
          <w:color w:val="000000"/>
          <w:sz w:val="32"/>
          <w:szCs w:val="32"/>
          <w:lang w:val="en-US" w:eastAsia="zh-CN"/>
        </w:rPr>
        <w:t>的</w:t>
      </w:r>
      <w:r>
        <w:rPr>
          <w:rFonts w:hint="eastAsia" w:ascii="方正仿宋_GBK" w:hAnsi="方正仿宋_GBK" w:eastAsia="方正仿宋_GBK" w:cs="方正仿宋_GBK"/>
          <w:b w:val="0"/>
          <w:bCs w:val="0"/>
          <w:color w:val="000000"/>
          <w:sz w:val="32"/>
          <w:szCs w:val="32"/>
        </w:rPr>
        <w:t>重要</w:t>
      </w:r>
      <w:r>
        <w:rPr>
          <w:rFonts w:hint="eastAsia" w:ascii="方正仿宋_GBK" w:hAnsi="方正仿宋_GBK" w:eastAsia="方正仿宋_GBK" w:cs="方正仿宋_GBK"/>
          <w:b w:val="0"/>
          <w:bCs w:val="0"/>
          <w:color w:val="000000"/>
          <w:sz w:val="32"/>
          <w:szCs w:val="32"/>
          <w:lang w:val="en-US" w:eastAsia="zh-CN"/>
        </w:rPr>
        <w:t>技术路径</w:t>
      </w:r>
      <w:r>
        <w:rPr>
          <w:rFonts w:hint="eastAsia" w:ascii="方正仿宋_GBK" w:hAnsi="方正仿宋_GBK" w:eastAsia="方正仿宋_GBK" w:cs="方正仿宋_GBK"/>
          <w:b w:val="0"/>
          <w:bCs w:val="0"/>
          <w:color w:val="000000"/>
          <w:sz w:val="32"/>
          <w:szCs w:val="32"/>
        </w:rPr>
        <w:t>。</w:t>
      </w:r>
      <w:r>
        <w:rPr>
          <w:rFonts w:hint="eastAsia" w:ascii="方正仿宋_GBK" w:hAnsi="方正仿宋_GBK" w:eastAsia="方正仿宋_GBK" w:cs="方正仿宋_GBK"/>
          <w:b w:val="0"/>
          <w:bCs w:val="0"/>
          <w:color w:val="000000"/>
          <w:sz w:val="32"/>
          <w:szCs w:val="32"/>
          <w:lang w:eastAsia="zh-CN"/>
        </w:rPr>
        <w:t>“十二五”</w:t>
      </w:r>
      <w:r>
        <w:rPr>
          <w:rFonts w:hint="eastAsia" w:ascii="方正仿宋_GBK" w:hAnsi="方正仿宋_GBK" w:eastAsia="方正仿宋_GBK" w:cs="方正仿宋_GBK"/>
          <w:b w:val="0"/>
          <w:bCs w:val="0"/>
          <w:color w:val="000000"/>
          <w:sz w:val="32"/>
          <w:szCs w:val="32"/>
          <w:lang w:val="en-US" w:eastAsia="zh-CN"/>
        </w:rPr>
        <w:t>以来</w:t>
      </w:r>
      <w:r>
        <w:rPr>
          <w:rFonts w:hint="eastAsia" w:ascii="方正仿宋_GBK" w:hAnsi="方正仿宋_GBK" w:eastAsia="方正仿宋_GBK" w:cs="方正仿宋_GBK"/>
          <w:b w:val="0"/>
          <w:bCs w:val="0"/>
          <w:color w:val="000000"/>
          <w:sz w:val="32"/>
          <w:szCs w:val="32"/>
        </w:rPr>
        <w:t>，在</w:t>
      </w:r>
      <w:r>
        <w:rPr>
          <w:rFonts w:hint="eastAsia" w:ascii="方正仿宋_GBK" w:hAnsi="方正仿宋_GBK" w:eastAsia="方正仿宋_GBK" w:cs="方正仿宋_GBK"/>
          <w:b w:val="0"/>
          <w:bCs w:val="0"/>
          <w:color w:val="000000"/>
          <w:sz w:val="32"/>
          <w:szCs w:val="32"/>
          <w:lang w:val="en-US" w:eastAsia="zh-CN"/>
        </w:rPr>
        <w:t>全国</w:t>
      </w:r>
      <w:r>
        <w:rPr>
          <w:rFonts w:hint="eastAsia" w:ascii="方正仿宋_GBK" w:hAnsi="方正仿宋_GBK" w:eastAsia="方正仿宋_GBK" w:cs="方正仿宋_GBK"/>
          <w:b w:val="0"/>
          <w:bCs w:val="0"/>
          <w:color w:val="000000"/>
          <w:sz w:val="32"/>
          <w:szCs w:val="32"/>
        </w:rPr>
        <w:t>农业机械化迅速发展，特别是水稻机收技术</w:t>
      </w:r>
      <w:r>
        <w:rPr>
          <w:rFonts w:hint="eastAsia" w:ascii="方正仿宋_GBK" w:hAnsi="方正仿宋_GBK" w:eastAsia="方正仿宋_GBK" w:cs="方正仿宋_GBK"/>
          <w:b w:val="0"/>
          <w:bCs w:val="0"/>
          <w:color w:val="000000"/>
          <w:sz w:val="32"/>
          <w:szCs w:val="32"/>
          <w:lang w:val="en-US" w:eastAsia="zh-CN"/>
        </w:rPr>
        <w:t>大面积</w:t>
      </w:r>
      <w:r>
        <w:rPr>
          <w:rFonts w:hint="eastAsia" w:ascii="方正仿宋_GBK" w:hAnsi="方正仿宋_GBK" w:eastAsia="方正仿宋_GBK" w:cs="方正仿宋_GBK"/>
          <w:b w:val="0"/>
          <w:bCs w:val="0"/>
          <w:color w:val="000000"/>
          <w:sz w:val="32"/>
          <w:szCs w:val="32"/>
        </w:rPr>
        <w:t>推广</w:t>
      </w:r>
      <w:r>
        <w:rPr>
          <w:rFonts w:hint="eastAsia" w:ascii="方正仿宋_GBK" w:hAnsi="方正仿宋_GBK" w:eastAsia="方正仿宋_GBK" w:cs="方正仿宋_GBK"/>
          <w:b w:val="0"/>
          <w:bCs w:val="0"/>
          <w:color w:val="000000"/>
          <w:sz w:val="32"/>
          <w:szCs w:val="32"/>
          <w:lang w:val="en-US" w:eastAsia="zh-CN"/>
        </w:rPr>
        <w:t>背景下</w:t>
      </w:r>
      <w:r>
        <w:rPr>
          <w:rFonts w:hint="eastAsia" w:ascii="方正仿宋_GBK" w:hAnsi="方正仿宋_GBK" w:eastAsia="方正仿宋_GBK" w:cs="方正仿宋_GBK"/>
          <w:b w:val="0"/>
          <w:bCs w:val="0"/>
          <w:color w:val="000000"/>
          <w:sz w:val="32"/>
          <w:szCs w:val="32"/>
        </w:rPr>
        <w:t>，稻桩碾压受损</w:t>
      </w:r>
      <w:r>
        <w:rPr>
          <w:rFonts w:hint="eastAsia" w:ascii="方正仿宋_GBK" w:hAnsi="方正仿宋_GBK" w:eastAsia="方正仿宋_GBK" w:cs="方正仿宋_GBK"/>
          <w:b w:val="0"/>
          <w:bCs w:val="0"/>
          <w:color w:val="000000"/>
          <w:sz w:val="32"/>
          <w:szCs w:val="32"/>
          <w:lang w:val="en-US" w:eastAsia="zh-CN"/>
        </w:rPr>
        <w:t>严重</w:t>
      </w:r>
      <w:r>
        <w:rPr>
          <w:rFonts w:hint="eastAsia" w:ascii="方正仿宋_GBK" w:hAnsi="方正仿宋_GBK" w:eastAsia="方正仿宋_GBK" w:cs="方正仿宋_GBK"/>
          <w:b w:val="0"/>
          <w:bCs w:val="0"/>
          <w:color w:val="000000"/>
          <w:sz w:val="32"/>
          <w:szCs w:val="32"/>
        </w:rPr>
        <w:t>，再生稻有收面积迅速萎缩</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lang w:val="en-US" w:eastAsia="zh-CN"/>
        </w:rPr>
        <w:t>再生稻亩产不足100公斤</w:t>
      </w:r>
      <w:r>
        <w:rPr>
          <w:rFonts w:hint="eastAsia" w:ascii="方正仿宋_GBK" w:hAnsi="方正仿宋_GBK" w:eastAsia="方正仿宋_GBK" w:cs="方正仿宋_GBK"/>
          <w:b w:val="0"/>
          <w:bCs w:val="0"/>
          <w:color w:val="000000"/>
          <w:sz w:val="32"/>
          <w:szCs w:val="32"/>
        </w:rPr>
        <w:t>。为</w:t>
      </w:r>
      <w:r>
        <w:rPr>
          <w:rFonts w:hint="eastAsia" w:ascii="方正仿宋_GBK" w:hAnsi="方正仿宋_GBK" w:eastAsia="方正仿宋_GBK" w:cs="方正仿宋_GBK"/>
          <w:b w:val="0"/>
          <w:bCs w:val="0"/>
          <w:color w:val="000000"/>
          <w:sz w:val="32"/>
          <w:szCs w:val="32"/>
          <w:lang w:val="en-US" w:eastAsia="zh-CN"/>
        </w:rPr>
        <w:t>解决中稻机收制约再生稻发苗成穗及丰产优质的技术瓶颈，</w:t>
      </w:r>
      <w:r>
        <w:rPr>
          <w:rFonts w:hint="eastAsia" w:ascii="方正仿宋_GBK" w:hAnsi="方正仿宋_GBK" w:eastAsia="方正仿宋_GBK" w:cs="方正仿宋_GBK"/>
          <w:b w:val="0"/>
          <w:bCs w:val="0"/>
          <w:color w:val="000000"/>
          <w:sz w:val="32"/>
          <w:szCs w:val="32"/>
        </w:rPr>
        <w:t>重庆市农业科学院、重庆再生稻研究中心</w:t>
      </w:r>
      <w:r>
        <w:rPr>
          <w:rFonts w:hint="eastAsia" w:ascii="方正仿宋_GBK" w:hAnsi="方正仿宋_GBK" w:eastAsia="方正仿宋_GBK" w:cs="方正仿宋_GBK"/>
          <w:b w:val="0"/>
          <w:bCs w:val="0"/>
          <w:color w:val="000000"/>
          <w:sz w:val="32"/>
          <w:szCs w:val="32"/>
          <w:lang w:val="en-US" w:eastAsia="zh-CN"/>
        </w:rPr>
        <w:t>按照</w:t>
      </w:r>
      <w:r>
        <w:rPr>
          <w:rFonts w:hint="eastAsia" w:ascii="方正仿宋_GBK" w:hAnsi="方正仿宋_GBK" w:eastAsia="方正仿宋_GBK" w:cs="方正仿宋_GBK"/>
          <w:b w:val="0"/>
          <w:bCs w:val="0"/>
          <w:color w:val="000000"/>
          <w:sz w:val="32"/>
          <w:szCs w:val="32"/>
        </w:rPr>
        <w:t>“</w:t>
      </w:r>
      <w:r>
        <w:rPr>
          <w:rFonts w:hint="eastAsia" w:ascii="方正仿宋_GBK" w:hAnsi="方正仿宋_GBK" w:eastAsia="方正仿宋_GBK" w:cs="方正仿宋_GBK"/>
          <w:b w:val="0"/>
          <w:bCs w:val="0"/>
          <w:color w:val="000000"/>
          <w:sz w:val="32"/>
          <w:szCs w:val="32"/>
          <w:lang w:val="en-US" w:eastAsia="zh-CN"/>
        </w:rPr>
        <w:t>良田、</w:t>
      </w:r>
      <w:r>
        <w:rPr>
          <w:rFonts w:hint="eastAsia" w:ascii="方正仿宋_GBK" w:hAnsi="方正仿宋_GBK" w:eastAsia="方正仿宋_GBK" w:cs="方正仿宋_GBK"/>
          <w:b w:val="0"/>
          <w:bCs w:val="0"/>
          <w:color w:val="000000"/>
          <w:sz w:val="32"/>
          <w:szCs w:val="32"/>
        </w:rPr>
        <w:t>良种、良机</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良法”</w:t>
      </w:r>
      <w:r>
        <w:rPr>
          <w:rFonts w:hint="eastAsia" w:ascii="方正仿宋_GBK" w:hAnsi="方正仿宋_GBK" w:eastAsia="方正仿宋_GBK" w:cs="方正仿宋_GBK"/>
          <w:b w:val="0"/>
          <w:bCs w:val="0"/>
          <w:color w:val="000000"/>
          <w:sz w:val="32"/>
          <w:szCs w:val="32"/>
          <w:lang w:val="en-US" w:eastAsia="zh-CN"/>
        </w:rPr>
        <w:t>四</w:t>
      </w:r>
      <w:r>
        <w:rPr>
          <w:rFonts w:hint="eastAsia" w:ascii="方正仿宋_GBK" w:hAnsi="方正仿宋_GBK" w:eastAsia="方正仿宋_GBK" w:cs="方正仿宋_GBK"/>
          <w:b w:val="0"/>
          <w:bCs w:val="0"/>
          <w:color w:val="000000"/>
          <w:sz w:val="32"/>
          <w:szCs w:val="32"/>
        </w:rPr>
        <w:t>良配套</w:t>
      </w:r>
      <w:r>
        <w:rPr>
          <w:rFonts w:hint="eastAsia" w:ascii="方正仿宋_GBK" w:hAnsi="方正仿宋_GBK" w:eastAsia="方正仿宋_GBK" w:cs="方正仿宋_GBK"/>
          <w:b w:val="0"/>
          <w:bCs w:val="0"/>
          <w:color w:val="000000"/>
          <w:sz w:val="32"/>
          <w:szCs w:val="32"/>
          <w:lang w:val="en-US" w:eastAsia="zh-CN"/>
        </w:rPr>
        <w:t>的思路</w:t>
      </w:r>
      <w:r>
        <w:rPr>
          <w:rFonts w:hint="eastAsia" w:ascii="方正仿宋_GBK" w:hAnsi="方正仿宋_GBK" w:eastAsia="方正仿宋_GBK" w:cs="方正仿宋_GBK"/>
          <w:b w:val="0"/>
          <w:bCs w:val="0"/>
          <w:color w:val="000000"/>
          <w:sz w:val="32"/>
          <w:szCs w:val="32"/>
        </w:rPr>
        <w:t>，</w:t>
      </w:r>
      <w:r>
        <w:rPr>
          <w:rFonts w:hint="eastAsia" w:ascii="方正仿宋_GBK" w:hAnsi="方正仿宋_GBK" w:eastAsia="方正仿宋_GBK" w:cs="方正仿宋_GBK"/>
          <w:b w:val="0"/>
          <w:bCs w:val="0"/>
          <w:color w:val="000000"/>
          <w:sz w:val="32"/>
          <w:szCs w:val="32"/>
          <w:lang w:val="en-US" w:eastAsia="zh-CN"/>
        </w:rPr>
        <w:t>持续</w:t>
      </w:r>
      <w:r>
        <w:rPr>
          <w:rFonts w:hint="eastAsia" w:ascii="方正仿宋_GBK" w:hAnsi="方正仿宋_GBK" w:eastAsia="方正仿宋_GBK" w:cs="方正仿宋_GBK"/>
          <w:b w:val="0"/>
          <w:bCs w:val="0"/>
          <w:color w:val="000000"/>
          <w:sz w:val="32"/>
          <w:szCs w:val="32"/>
        </w:rPr>
        <w:t>开展了</w:t>
      </w:r>
      <w:r>
        <w:rPr>
          <w:rFonts w:hint="eastAsia" w:ascii="方正仿宋_GBK" w:hAnsi="方正仿宋_GBK" w:eastAsia="方正仿宋_GBK" w:cs="方正仿宋_GBK"/>
          <w:b w:val="0"/>
          <w:bCs w:val="0"/>
          <w:color w:val="000000"/>
          <w:sz w:val="32"/>
          <w:szCs w:val="32"/>
          <w:lang w:val="en-US" w:eastAsia="zh-CN"/>
        </w:rPr>
        <w:t>关键</w:t>
      </w:r>
      <w:r>
        <w:rPr>
          <w:rFonts w:hint="eastAsia" w:ascii="方正仿宋_GBK" w:hAnsi="方正仿宋_GBK" w:eastAsia="方正仿宋_GBK" w:cs="方正仿宋_GBK"/>
          <w:b w:val="0"/>
          <w:bCs w:val="0"/>
          <w:color w:val="000000"/>
          <w:sz w:val="32"/>
          <w:szCs w:val="32"/>
        </w:rPr>
        <w:t>核心技术攻关，</w:t>
      </w:r>
      <w:r>
        <w:rPr>
          <w:rFonts w:hint="eastAsia" w:ascii="方正仿宋_GBK" w:hAnsi="方正仿宋_GBK" w:eastAsia="方正仿宋_GBK" w:cs="方正仿宋_GBK"/>
          <w:b w:val="0"/>
          <w:bCs w:val="0"/>
          <w:color w:val="000000"/>
          <w:sz w:val="32"/>
          <w:szCs w:val="32"/>
          <w:lang w:val="en-US" w:eastAsia="zh-CN"/>
        </w:rPr>
        <w:t>在宜机收强再生力品种筛选、</w:t>
      </w:r>
      <w:r>
        <w:rPr>
          <w:rFonts w:hint="eastAsia" w:ascii="方正仿宋_GBK" w:hAnsi="方正仿宋_GBK" w:eastAsia="方正仿宋_GBK" w:cs="方正仿宋_GBK"/>
          <w:b w:val="0"/>
          <w:bCs w:val="0"/>
          <w:color w:val="000000"/>
          <w:sz w:val="32"/>
          <w:szCs w:val="32"/>
        </w:rPr>
        <w:t>粒芽肥精量施用</w:t>
      </w:r>
      <w:r>
        <w:rPr>
          <w:rFonts w:hint="eastAsia" w:ascii="方正仿宋_GBK" w:hAnsi="方正仿宋_GBK" w:eastAsia="方正仿宋_GBK" w:cs="方正仿宋_GBK"/>
          <w:b w:val="0"/>
          <w:bCs w:val="0"/>
          <w:color w:val="000000"/>
          <w:sz w:val="32"/>
          <w:szCs w:val="32"/>
          <w:lang w:val="en-US" w:eastAsia="zh-CN"/>
        </w:rPr>
        <w:t>、农机农艺融合以及</w:t>
      </w:r>
      <w:r>
        <w:rPr>
          <w:rFonts w:hint="eastAsia" w:ascii="方正仿宋_GBK" w:hAnsi="方正仿宋_GBK" w:eastAsia="方正仿宋_GBK" w:cs="方正仿宋_GBK"/>
          <w:b w:val="0"/>
          <w:bCs w:val="0"/>
          <w:color w:val="000000"/>
          <w:sz w:val="32"/>
          <w:szCs w:val="32"/>
        </w:rPr>
        <w:t>外源生长调节剂化控</w:t>
      </w:r>
      <w:r>
        <w:rPr>
          <w:rFonts w:hint="eastAsia" w:ascii="方正仿宋_GBK" w:hAnsi="方正仿宋_GBK" w:eastAsia="方正仿宋_GBK" w:cs="方正仿宋_GBK"/>
          <w:b w:val="0"/>
          <w:bCs w:val="0"/>
          <w:color w:val="000000"/>
          <w:sz w:val="32"/>
          <w:szCs w:val="32"/>
          <w:lang w:val="en-US" w:eastAsia="zh-CN"/>
        </w:rPr>
        <w:t>等方面取得了重要进展，</w:t>
      </w:r>
      <w:r>
        <w:rPr>
          <w:rFonts w:hint="eastAsia" w:ascii="方正仿宋_GBK" w:hAnsi="方正仿宋_GBK" w:eastAsia="方正仿宋_GBK" w:cs="方正仿宋_GBK"/>
          <w:b w:val="0"/>
          <w:bCs w:val="0"/>
          <w:color w:val="000000"/>
          <w:sz w:val="32"/>
          <w:szCs w:val="32"/>
        </w:rPr>
        <w:t>集成创新出了“宜机化区中稻—再生稻全程轻简优质丰产栽培技术”。成功解决了以重庆和四川为代表的长江上游和西南光温适宜区中稻-再生稻生产农机农艺不配套，周年产能不高、效益不稳、品质不优等问题。</w:t>
      </w:r>
    </w:p>
    <w:p w14:paraId="0D5DCE9C">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（二）推广应用情况</w:t>
      </w:r>
    </w:p>
    <w:p w14:paraId="1E5B22E9">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自2020年以来，该技术连续6年入选重庆市农业主推技术，2023年</w:t>
      </w:r>
      <w:r>
        <w:rPr>
          <w:rFonts w:hint="eastAsia" w:ascii="方正仿宋_GBK" w:hAnsi="方正仿宋_GBK" w:eastAsia="方正仿宋_GBK" w:cs="方正仿宋_GBK"/>
          <w:b w:val="0"/>
          <w:bCs w:val="0"/>
          <w:color w:val="000000"/>
          <w:sz w:val="32"/>
          <w:szCs w:val="32"/>
          <w:lang w:val="en-US" w:eastAsia="zh-CN"/>
        </w:rPr>
        <w:t>和2025年</w:t>
      </w:r>
      <w:r>
        <w:rPr>
          <w:rFonts w:hint="eastAsia" w:ascii="方正仿宋_GBK" w:hAnsi="方正仿宋_GBK" w:eastAsia="方正仿宋_GBK" w:cs="方正仿宋_GBK"/>
          <w:b w:val="0"/>
          <w:bCs w:val="0"/>
          <w:color w:val="000000"/>
          <w:sz w:val="32"/>
          <w:szCs w:val="32"/>
        </w:rPr>
        <w:t>入选全国农业主推技术，2024年发布了重庆市地方标准</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lang w:val="en-US" w:eastAsia="zh-CN"/>
        </w:rPr>
        <w:t>近三年，已</w:t>
      </w:r>
      <w:r>
        <w:rPr>
          <w:rFonts w:hint="eastAsia" w:ascii="方正仿宋_GBK" w:hAnsi="方正仿宋_GBK" w:eastAsia="方正仿宋_GBK" w:cs="方正仿宋_GBK"/>
          <w:b w:val="0"/>
          <w:bCs w:val="0"/>
          <w:color w:val="000000"/>
          <w:sz w:val="32"/>
          <w:szCs w:val="32"/>
        </w:rPr>
        <w:t>在川渝再生稻区</w:t>
      </w:r>
      <w:r>
        <w:rPr>
          <w:rFonts w:hint="eastAsia" w:ascii="方正仿宋_GBK" w:hAnsi="方正仿宋_GBK" w:eastAsia="方正仿宋_GBK" w:cs="方正仿宋_GBK"/>
          <w:b w:val="0"/>
          <w:bCs w:val="0"/>
          <w:color w:val="000000"/>
          <w:sz w:val="32"/>
          <w:szCs w:val="32"/>
          <w:lang w:val="en-US" w:eastAsia="zh-CN"/>
        </w:rPr>
        <w:t>累计</w:t>
      </w:r>
      <w:r>
        <w:rPr>
          <w:rFonts w:hint="eastAsia" w:ascii="方正仿宋_GBK" w:hAnsi="方正仿宋_GBK" w:eastAsia="方正仿宋_GBK" w:cs="方正仿宋_GBK"/>
          <w:b w:val="0"/>
          <w:bCs w:val="0"/>
          <w:color w:val="000000"/>
          <w:sz w:val="32"/>
          <w:szCs w:val="32"/>
        </w:rPr>
        <w:t>推广应用</w:t>
      </w:r>
      <w:r>
        <w:rPr>
          <w:rFonts w:hint="eastAsia" w:ascii="方正仿宋_GBK" w:hAnsi="方正仿宋_GBK" w:eastAsia="方正仿宋_GBK" w:cs="方正仿宋_GBK"/>
          <w:b w:val="0"/>
          <w:bCs w:val="0"/>
          <w:color w:val="000000"/>
          <w:sz w:val="32"/>
          <w:szCs w:val="32"/>
          <w:lang w:val="en-US" w:eastAsia="zh-CN"/>
        </w:rPr>
        <w:t>33</w:t>
      </w:r>
      <w:r>
        <w:rPr>
          <w:rFonts w:hint="eastAsia" w:ascii="方正仿宋_GBK" w:hAnsi="方正仿宋_GBK" w:eastAsia="方正仿宋_GBK" w:cs="方正仿宋_GBK"/>
          <w:b w:val="0"/>
          <w:bCs w:val="0"/>
          <w:color w:val="000000"/>
          <w:sz w:val="32"/>
          <w:szCs w:val="32"/>
        </w:rPr>
        <w:t>0余万亩，打造了重庆开州再生稻、四川富顺再生稻等优质再生稻米品牌。近三年来，该技术</w:t>
      </w:r>
      <w:r>
        <w:rPr>
          <w:rFonts w:hint="eastAsia" w:ascii="方正仿宋_GBK" w:hAnsi="方正仿宋_GBK" w:eastAsia="方正仿宋_GBK" w:cs="方正仿宋_GBK"/>
          <w:b w:val="0"/>
          <w:bCs w:val="0"/>
          <w:color w:val="000000"/>
          <w:sz w:val="32"/>
          <w:szCs w:val="32"/>
          <w:lang w:val="en-US" w:eastAsia="zh-CN"/>
        </w:rPr>
        <w:t>在国家重点研发计划项目（2022YFD2301000、2023YFD2301903、2024YFD2300405）资助下，与全国农技推广中心、川渝农技推广总站等合作，主要</w:t>
      </w:r>
      <w:r>
        <w:rPr>
          <w:rFonts w:hint="eastAsia" w:ascii="方正仿宋_GBK" w:hAnsi="方正仿宋_GBK" w:eastAsia="方正仿宋_GBK" w:cs="方正仿宋_GBK"/>
          <w:b w:val="0"/>
          <w:bCs w:val="0"/>
          <w:color w:val="000000"/>
          <w:sz w:val="32"/>
          <w:szCs w:val="32"/>
        </w:rPr>
        <w:t>在川南</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渝西</w:t>
      </w:r>
      <w:r>
        <w:rPr>
          <w:rFonts w:hint="eastAsia" w:ascii="方正仿宋_GBK" w:hAnsi="方正仿宋_GBK" w:eastAsia="方正仿宋_GBK" w:cs="方正仿宋_GBK"/>
          <w:b w:val="0"/>
          <w:bCs w:val="0"/>
          <w:color w:val="000000"/>
          <w:sz w:val="32"/>
          <w:szCs w:val="32"/>
          <w:lang w:val="en-US" w:eastAsia="zh-CN"/>
        </w:rPr>
        <w:t>及渝东北</w:t>
      </w:r>
      <w:r>
        <w:rPr>
          <w:rFonts w:hint="eastAsia" w:ascii="方正仿宋_GBK" w:hAnsi="方正仿宋_GBK" w:eastAsia="方正仿宋_GBK" w:cs="方正仿宋_GBK"/>
          <w:b w:val="0"/>
          <w:bCs w:val="0"/>
          <w:color w:val="000000"/>
          <w:sz w:val="32"/>
          <w:szCs w:val="32"/>
        </w:rPr>
        <w:t>沿江河谷地区</w:t>
      </w:r>
      <w:r>
        <w:rPr>
          <w:rFonts w:hint="eastAsia" w:ascii="方正仿宋_GBK" w:hAnsi="方正仿宋_GBK" w:eastAsia="方正仿宋_GBK" w:cs="方正仿宋_GBK"/>
          <w:b w:val="0"/>
          <w:bCs w:val="0"/>
          <w:color w:val="000000"/>
          <w:sz w:val="32"/>
          <w:szCs w:val="32"/>
          <w:lang w:val="en-US" w:eastAsia="zh-CN"/>
        </w:rPr>
        <w:t>推广应用。主要市（区）、县</w:t>
      </w:r>
      <w:r>
        <w:rPr>
          <w:rFonts w:hint="eastAsia" w:ascii="方正仿宋_GBK" w:hAnsi="方正仿宋_GBK" w:eastAsia="方正仿宋_GBK" w:cs="方正仿宋_GBK"/>
          <w:b w:val="0"/>
          <w:bCs w:val="0"/>
          <w:color w:val="000000"/>
          <w:sz w:val="32"/>
          <w:szCs w:val="32"/>
        </w:rPr>
        <w:t>包括</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重庆永川</w:t>
      </w:r>
      <w:r>
        <w:rPr>
          <w:rFonts w:hint="eastAsia" w:ascii="方正仿宋_GBK" w:hAnsi="方正仿宋_GBK" w:eastAsia="方正仿宋_GBK" w:cs="方正仿宋_GBK"/>
          <w:b w:val="0"/>
          <w:bCs w:val="0"/>
          <w:color w:val="000000"/>
          <w:sz w:val="32"/>
          <w:szCs w:val="32"/>
          <w:lang w:val="en-US" w:eastAsia="zh-CN"/>
        </w:rPr>
        <w:t>区</w:t>
      </w:r>
      <w:r>
        <w:rPr>
          <w:rFonts w:hint="eastAsia" w:ascii="方正仿宋_GBK" w:hAnsi="方正仿宋_GBK" w:eastAsia="方正仿宋_GBK" w:cs="方正仿宋_GBK"/>
          <w:b w:val="0"/>
          <w:bCs w:val="0"/>
          <w:color w:val="000000"/>
          <w:sz w:val="32"/>
          <w:szCs w:val="32"/>
        </w:rPr>
        <w:t>、大足</w:t>
      </w:r>
      <w:r>
        <w:rPr>
          <w:rFonts w:hint="eastAsia" w:ascii="方正仿宋_GBK" w:hAnsi="方正仿宋_GBK" w:eastAsia="方正仿宋_GBK" w:cs="方正仿宋_GBK"/>
          <w:b w:val="0"/>
          <w:bCs w:val="0"/>
          <w:color w:val="000000"/>
          <w:sz w:val="32"/>
          <w:szCs w:val="32"/>
          <w:lang w:val="en-US" w:eastAsia="zh-CN"/>
        </w:rPr>
        <w:t>区</w:t>
      </w:r>
      <w:r>
        <w:rPr>
          <w:rFonts w:hint="eastAsia" w:ascii="方正仿宋_GBK" w:hAnsi="方正仿宋_GBK" w:eastAsia="方正仿宋_GBK" w:cs="方正仿宋_GBK"/>
          <w:b w:val="0"/>
          <w:bCs w:val="0"/>
          <w:color w:val="000000"/>
          <w:sz w:val="32"/>
          <w:szCs w:val="32"/>
        </w:rPr>
        <w:t>、铜梁</w:t>
      </w:r>
      <w:r>
        <w:rPr>
          <w:rFonts w:hint="eastAsia" w:ascii="方正仿宋_GBK" w:hAnsi="方正仿宋_GBK" w:eastAsia="方正仿宋_GBK" w:cs="方正仿宋_GBK"/>
          <w:b w:val="0"/>
          <w:bCs w:val="0"/>
          <w:color w:val="000000"/>
          <w:sz w:val="32"/>
          <w:szCs w:val="32"/>
          <w:lang w:val="en-US" w:eastAsia="zh-CN"/>
        </w:rPr>
        <w:t>区</w:t>
      </w:r>
      <w:r>
        <w:rPr>
          <w:rFonts w:hint="eastAsia" w:ascii="方正仿宋_GBK" w:hAnsi="方正仿宋_GBK" w:eastAsia="方正仿宋_GBK" w:cs="方正仿宋_GBK"/>
          <w:b w:val="0"/>
          <w:bCs w:val="0"/>
          <w:color w:val="000000"/>
          <w:sz w:val="32"/>
          <w:szCs w:val="32"/>
        </w:rPr>
        <w:t>、江津</w:t>
      </w:r>
      <w:r>
        <w:rPr>
          <w:rFonts w:hint="eastAsia" w:ascii="方正仿宋_GBK" w:hAnsi="方正仿宋_GBK" w:eastAsia="方正仿宋_GBK" w:cs="方正仿宋_GBK"/>
          <w:b w:val="0"/>
          <w:bCs w:val="0"/>
          <w:color w:val="000000"/>
          <w:sz w:val="32"/>
          <w:szCs w:val="32"/>
          <w:lang w:val="en-US" w:eastAsia="zh-CN"/>
        </w:rPr>
        <w:t>区</w:t>
      </w:r>
      <w:r>
        <w:rPr>
          <w:rFonts w:hint="eastAsia" w:ascii="方正仿宋_GBK" w:hAnsi="方正仿宋_GBK" w:eastAsia="方正仿宋_GBK" w:cs="方正仿宋_GBK"/>
          <w:b w:val="0"/>
          <w:bCs w:val="0"/>
          <w:color w:val="000000"/>
          <w:sz w:val="32"/>
          <w:szCs w:val="32"/>
        </w:rPr>
        <w:t>、荣昌</w:t>
      </w:r>
      <w:r>
        <w:rPr>
          <w:rFonts w:hint="eastAsia" w:ascii="方正仿宋_GBK" w:hAnsi="方正仿宋_GBK" w:eastAsia="方正仿宋_GBK" w:cs="方正仿宋_GBK"/>
          <w:b w:val="0"/>
          <w:bCs w:val="0"/>
          <w:color w:val="000000"/>
          <w:sz w:val="32"/>
          <w:szCs w:val="32"/>
          <w:lang w:val="en-US" w:eastAsia="zh-CN"/>
        </w:rPr>
        <w:t>区</w:t>
      </w:r>
      <w:r>
        <w:rPr>
          <w:rFonts w:hint="eastAsia" w:ascii="方正仿宋_GBK" w:hAnsi="方正仿宋_GBK" w:eastAsia="方正仿宋_GBK" w:cs="方正仿宋_GBK"/>
          <w:b w:val="0"/>
          <w:bCs w:val="0"/>
          <w:color w:val="000000"/>
          <w:sz w:val="32"/>
          <w:szCs w:val="32"/>
        </w:rPr>
        <w:t>、涪陵</w:t>
      </w:r>
      <w:r>
        <w:rPr>
          <w:rFonts w:hint="eastAsia" w:ascii="方正仿宋_GBK" w:hAnsi="方正仿宋_GBK" w:eastAsia="方正仿宋_GBK" w:cs="方正仿宋_GBK"/>
          <w:b w:val="0"/>
          <w:bCs w:val="0"/>
          <w:color w:val="000000"/>
          <w:sz w:val="32"/>
          <w:szCs w:val="32"/>
          <w:lang w:val="en-US" w:eastAsia="zh-CN"/>
        </w:rPr>
        <w:t>区</w:t>
      </w:r>
      <w:r>
        <w:rPr>
          <w:rFonts w:hint="eastAsia" w:ascii="方正仿宋_GBK" w:hAnsi="方正仿宋_GBK" w:eastAsia="方正仿宋_GBK" w:cs="方正仿宋_GBK"/>
          <w:b w:val="0"/>
          <w:bCs w:val="0"/>
          <w:color w:val="000000"/>
          <w:sz w:val="32"/>
          <w:szCs w:val="32"/>
        </w:rPr>
        <w:t>、长寿</w:t>
      </w:r>
      <w:r>
        <w:rPr>
          <w:rFonts w:hint="eastAsia" w:ascii="方正仿宋_GBK" w:hAnsi="方正仿宋_GBK" w:eastAsia="方正仿宋_GBK" w:cs="方正仿宋_GBK"/>
          <w:b w:val="0"/>
          <w:bCs w:val="0"/>
          <w:color w:val="000000"/>
          <w:sz w:val="32"/>
          <w:szCs w:val="32"/>
          <w:lang w:val="en-US" w:eastAsia="zh-CN"/>
        </w:rPr>
        <w:t>区</w:t>
      </w:r>
      <w:r>
        <w:rPr>
          <w:rFonts w:hint="eastAsia" w:ascii="方正仿宋_GBK" w:hAnsi="方正仿宋_GBK" w:eastAsia="方正仿宋_GBK" w:cs="方正仿宋_GBK"/>
          <w:b w:val="0"/>
          <w:bCs w:val="0"/>
          <w:color w:val="000000"/>
          <w:sz w:val="32"/>
          <w:szCs w:val="32"/>
        </w:rPr>
        <w:t>、垫江</w:t>
      </w:r>
      <w:r>
        <w:rPr>
          <w:rFonts w:hint="eastAsia" w:ascii="方正仿宋_GBK" w:hAnsi="方正仿宋_GBK" w:eastAsia="方正仿宋_GBK" w:cs="方正仿宋_GBK"/>
          <w:b w:val="0"/>
          <w:bCs w:val="0"/>
          <w:color w:val="000000"/>
          <w:sz w:val="32"/>
          <w:szCs w:val="32"/>
          <w:lang w:val="en-US" w:eastAsia="zh-CN"/>
        </w:rPr>
        <w:t>县</w:t>
      </w:r>
      <w:r>
        <w:rPr>
          <w:rFonts w:hint="eastAsia" w:ascii="方正仿宋_GBK" w:hAnsi="方正仿宋_GBK" w:eastAsia="方正仿宋_GBK" w:cs="方正仿宋_GBK"/>
          <w:b w:val="0"/>
          <w:bCs w:val="0"/>
          <w:color w:val="000000"/>
          <w:sz w:val="32"/>
          <w:szCs w:val="32"/>
        </w:rPr>
        <w:t>、梁平</w:t>
      </w:r>
      <w:r>
        <w:rPr>
          <w:rFonts w:hint="eastAsia" w:ascii="方正仿宋_GBK" w:hAnsi="方正仿宋_GBK" w:eastAsia="方正仿宋_GBK" w:cs="方正仿宋_GBK"/>
          <w:b w:val="0"/>
          <w:bCs w:val="0"/>
          <w:color w:val="000000"/>
          <w:sz w:val="32"/>
          <w:szCs w:val="32"/>
          <w:lang w:val="en-US" w:eastAsia="zh-CN"/>
        </w:rPr>
        <w:t>区</w:t>
      </w:r>
      <w:r>
        <w:rPr>
          <w:rFonts w:hint="eastAsia" w:ascii="方正仿宋_GBK" w:hAnsi="方正仿宋_GBK" w:eastAsia="方正仿宋_GBK" w:cs="方正仿宋_GBK"/>
          <w:b w:val="0"/>
          <w:bCs w:val="0"/>
          <w:color w:val="000000"/>
          <w:sz w:val="32"/>
          <w:szCs w:val="32"/>
        </w:rPr>
        <w:t>、</w:t>
      </w:r>
      <w:r>
        <w:rPr>
          <w:rFonts w:hint="eastAsia" w:ascii="方正仿宋_GBK" w:hAnsi="方正仿宋_GBK" w:eastAsia="方正仿宋_GBK" w:cs="方正仿宋_GBK"/>
          <w:b w:val="0"/>
          <w:bCs w:val="0"/>
          <w:color w:val="000000"/>
          <w:sz w:val="32"/>
          <w:szCs w:val="32"/>
          <w:lang w:val="en-US" w:eastAsia="zh-CN"/>
        </w:rPr>
        <w:t>忠县、</w:t>
      </w:r>
      <w:r>
        <w:rPr>
          <w:rFonts w:hint="eastAsia" w:ascii="方正仿宋_GBK" w:hAnsi="方正仿宋_GBK" w:eastAsia="方正仿宋_GBK" w:cs="方正仿宋_GBK"/>
          <w:b w:val="0"/>
          <w:bCs w:val="0"/>
          <w:color w:val="000000"/>
          <w:sz w:val="32"/>
          <w:szCs w:val="32"/>
        </w:rPr>
        <w:t>开州</w:t>
      </w:r>
      <w:r>
        <w:rPr>
          <w:rFonts w:hint="eastAsia" w:ascii="方正仿宋_GBK" w:hAnsi="方正仿宋_GBK" w:eastAsia="方正仿宋_GBK" w:cs="方正仿宋_GBK"/>
          <w:b w:val="0"/>
          <w:bCs w:val="0"/>
          <w:color w:val="000000"/>
          <w:sz w:val="32"/>
          <w:szCs w:val="32"/>
          <w:lang w:val="en-US" w:eastAsia="zh-CN"/>
        </w:rPr>
        <w:t>区、万州区</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四川</w:t>
      </w:r>
      <w:r>
        <w:rPr>
          <w:rFonts w:hint="eastAsia" w:ascii="方正仿宋_GBK" w:hAnsi="方正仿宋_GBK" w:eastAsia="方正仿宋_GBK" w:cs="方正仿宋_GBK"/>
          <w:b w:val="0"/>
          <w:bCs w:val="0"/>
          <w:color w:val="000000"/>
          <w:sz w:val="32"/>
          <w:szCs w:val="32"/>
          <w:lang w:val="en-US" w:eastAsia="zh-CN"/>
        </w:rPr>
        <w:t>泸州市</w:t>
      </w:r>
      <w:r>
        <w:rPr>
          <w:rFonts w:hint="eastAsia" w:ascii="方正仿宋_GBK" w:hAnsi="方正仿宋_GBK" w:eastAsia="方正仿宋_GBK" w:cs="方正仿宋_GBK"/>
          <w:b w:val="0"/>
          <w:bCs w:val="0"/>
          <w:color w:val="000000"/>
          <w:sz w:val="32"/>
          <w:szCs w:val="32"/>
        </w:rPr>
        <w:t>、</w:t>
      </w:r>
      <w:r>
        <w:rPr>
          <w:rFonts w:hint="eastAsia" w:ascii="方正仿宋_GBK" w:hAnsi="方正仿宋_GBK" w:eastAsia="方正仿宋_GBK" w:cs="方正仿宋_GBK"/>
          <w:b w:val="0"/>
          <w:bCs w:val="0"/>
          <w:color w:val="000000"/>
          <w:sz w:val="32"/>
          <w:szCs w:val="32"/>
          <w:lang w:val="en-US" w:eastAsia="zh-CN"/>
        </w:rPr>
        <w:t>自贡市</w:t>
      </w:r>
      <w:r>
        <w:rPr>
          <w:rFonts w:hint="eastAsia" w:ascii="方正仿宋_GBK" w:hAnsi="方正仿宋_GBK" w:eastAsia="方正仿宋_GBK" w:cs="方正仿宋_GBK"/>
          <w:b w:val="0"/>
          <w:bCs w:val="0"/>
          <w:color w:val="000000"/>
          <w:sz w:val="32"/>
          <w:szCs w:val="32"/>
        </w:rPr>
        <w:t>、隆昌</w:t>
      </w:r>
      <w:r>
        <w:rPr>
          <w:rFonts w:hint="eastAsia" w:ascii="方正仿宋_GBK" w:hAnsi="方正仿宋_GBK" w:eastAsia="方正仿宋_GBK" w:cs="方正仿宋_GBK"/>
          <w:b w:val="0"/>
          <w:bCs w:val="0"/>
          <w:color w:val="000000"/>
          <w:sz w:val="32"/>
          <w:szCs w:val="32"/>
          <w:lang w:val="en-US" w:eastAsia="zh-CN"/>
        </w:rPr>
        <w:t>市</w:t>
      </w:r>
      <w:r>
        <w:rPr>
          <w:rFonts w:hint="eastAsia" w:ascii="方正仿宋_GBK" w:hAnsi="方正仿宋_GBK" w:eastAsia="方正仿宋_GBK" w:cs="方正仿宋_GBK"/>
          <w:b w:val="0"/>
          <w:bCs w:val="0"/>
          <w:color w:val="000000"/>
          <w:sz w:val="32"/>
          <w:szCs w:val="32"/>
        </w:rPr>
        <w:t>、宜宾</w:t>
      </w:r>
      <w:r>
        <w:rPr>
          <w:rFonts w:hint="eastAsia" w:ascii="方正仿宋_GBK" w:hAnsi="方正仿宋_GBK" w:eastAsia="方正仿宋_GBK" w:cs="方正仿宋_GBK"/>
          <w:b w:val="0"/>
          <w:bCs w:val="0"/>
          <w:color w:val="000000"/>
          <w:sz w:val="32"/>
          <w:szCs w:val="32"/>
          <w:lang w:val="en-US" w:eastAsia="zh-CN"/>
        </w:rPr>
        <w:t>市</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固定基地包括重庆现代农业</w:t>
      </w:r>
      <w:r>
        <w:rPr>
          <w:rFonts w:hint="eastAsia" w:ascii="方正仿宋_GBK" w:hAnsi="方正仿宋_GBK" w:eastAsia="方正仿宋_GBK" w:cs="方正仿宋_GBK"/>
          <w:b w:val="0"/>
          <w:bCs w:val="0"/>
          <w:color w:val="000000"/>
          <w:sz w:val="32"/>
          <w:szCs w:val="32"/>
          <w:lang w:val="en-US" w:eastAsia="zh-CN"/>
        </w:rPr>
        <w:t>高</w:t>
      </w:r>
      <w:r>
        <w:rPr>
          <w:rFonts w:hint="eastAsia" w:ascii="方正仿宋_GBK" w:hAnsi="方正仿宋_GBK" w:eastAsia="方正仿宋_GBK" w:cs="方正仿宋_GBK"/>
          <w:b w:val="0"/>
          <w:bCs w:val="0"/>
          <w:color w:val="000000"/>
          <w:sz w:val="32"/>
          <w:szCs w:val="32"/>
        </w:rPr>
        <w:t>科技</w:t>
      </w:r>
      <w:r>
        <w:rPr>
          <w:rFonts w:hint="eastAsia" w:ascii="方正仿宋_GBK" w:hAnsi="方正仿宋_GBK" w:eastAsia="方正仿宋_GBK" w:cs="方正仿宋_GBK"/>
          <w:b w:val="0"/>
          <w:bCs w:val="0"/>
          <w:color w:val="000000"/>
          <w:sz w:val="32"/>
          <w:szCs w:val="32"/>
          <w:lang w:val="en-US" w:eastAsia="zh-CN"/>
        </w:rPr>
        <w:t>园区</w:t>
      </w:r>
      <w:r>
        <w:rPr>
          <w:rFonts w:hint="eastAsia" w:ascii="方正仿宋_GBK" w:hAnsi="方正仿宋_GBK" w:eastAsia="方正仿宋_GBK" w:cs="方正仿宋_GBK"/>
          <w:b w:val="0"/>
          <w:bCs w:val="0"/>
          <w:color w:val="000000"/>
          <w:sz w:val="32"/>
          <w:szCs w:val="32"/>
        </w:rPr>
        <w:t>、重庆永川国家农业科技园区</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江津国家现代农业产业园、</w:t>
      </w:r>
      <w:r>
        <w:rPr>
          <w:rFonts w:hint="eastAsia" w:ascii="方正仿宋_GBK" w:hAnsi="方正仿宋_GBK" w:eastAsia="方正仿宋_GBK" w:cs="方正仿宋_GBK"/>
          <w:b w:val="0"/>
          <w:bCs w:val="0"/>
          <w:color w:val="000000"/>
          <w:sz w:val="32"/>
          <w:szCs w:val="32"/>
          <w:lang w:val="en-US" w:eastAsia="zh-CN"/>
        </w:rPr>
        <w:t>重庆荣昌－四川隆昌共建的“双昌”合作示范园、泸县现代农业产业园</w:t>
      </w:r>
      <w:r>
        <w:rPr>
          <w:rFonts w:hint="eastAsia" w:ascii="方正仿宋_GBK" w:hAnsi="方正仿宋_GBK" w:eastAsia="方正仿宋_GBK" w:cs="方正仿宋_GBK"/>
          <w:b w:val="0"/>
          <w:bCs w:val="0"/>
          <w:color w:val="000000"/>
          <w:sz w:val="32"/>
          <w:szCs w:val="32"/>
        </w:rPr>
        <w:t>等10个国家及省</w:t>
      </w:r>
      <w:r>
        <w:rPr>
          <w:rFonts w:hint="eastAsia" w:ascii="方正仿宋_GBK" w:hAnsi="方正仿宋_GBK" w:eastAsia="方正仿宋_GBK" w:cs="方正仿宋_GBK"/>
          <w:b w:val="0"/>
          <w:bCs w:val="0"/>
          <w:color w:val="000000"/>
          <w:sz w:val="32"/>
          <w:szCs w:val="32"/>
          <w:lang w:val="en-US" w:eastAsia="zh-CN"/>
        </w:rPr>
        <w:t>市</w:t>
      </w:r>
      <w:r>
        <w:rPr>
          <w:rFonts w:hint="eastAsia" w:ascii="方正仿宋_GBK" w:hAnsi="方正仿宋_GBK" w:eastAsia="方正仿宋_GBK" w:cs="方正仿宋_GBK"/>
          <w:b w:val="0"/>
          <w:bCs w:val="0"/>
          <w:color w:val="000000"/>
          <w:sz w:val="32"/>
          <w:szCs w:val="32"/>
        </w:rPr>
        <w:t>级农业园区。</w:t>
      </w:r>
    </w:p>
    <w:p w14:paraId="31E48DED">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楷体_GBK" w:cs="方正仿宋_GBK"/>
          <w:b w:val="0"/>
          <w:bCs w:val="0"/>
          <w:color w:val="000000"/>
          <w:sz w:val="32"/>
          <w:szCs w:val="32"/>
          <w:lang w:val="en-US" w:eastAsia="zh-CN"/>
        </w:rPr>
        <w:t>（三）技术效果</w:t>
      </w:r>
    </w:p>
    <w:p w14:paraId="577C1CD8">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2020年，该技术在重庆永川的2300亩示范片，中稻平均</w:t>
      </w:r>
      <w:r>
        <w:rPr>
          <w:rFonts w:hint="eastAsia" w:ascii="方正仿宋_GBK" w:hAnsi="方正仿宋_GBK" w:eastAsia="方正仿宋_GBK" w:cs="方正仿宋_GBK"/>
          <w:b w:val="0"/>
          <w:bCs w:val="0"/>
          <w:color w:val="000000"/>
          <w:sz w:val="32"/>
          <w:szCs w:val="32"/>
          <w:lang w:val="en-US" w:eastAsia="zh-CN"/>
        </w:rPr>
        <w:t>亩</w:t>
      </w:r>
      <w:r>
        <w:rPr>
          <w:rFonts w:hint="eastAsia" w:ascii="方正仿宋_GBK" w:hAnsi="方正仿宋_GBK" w:eastAsia="方正仿宋_GBK" w:cs="方正仿宋_GBK"/>
          <w:b w:val="0"/>
          <w:bCs w:val="0"/>
          <w:color w:val="000000"/>
          <w:sz w:val="32"/>
          <w:szCs w:val="32"/>
        </w:rPr>
        <w:t>产656.8</w:t>
      </w:r>
      <w:r>
        <w:rPr>
          <w:rFonts w:hint="eastAsia" w:ascii="方正仿宋_GBK" w:hAnsi="方正仿宋_GBK" w:eastAsia="方正仿宋_GBK" w:cs="方正仿宋_GBK"/>
          <w:b w:val="0"/>
          <w:bCs w:val="0"/>
          <w:color w:val="000000"/>
          <w:sz w:val="32"/>
          <w:szCs w:val="32"/>
          <w:lang w:val="en-US" w:eastAsia="zh-CN"/>
        </w:rPr>
        <w:t>公斤</w:t>
      </w:r>
      <w:r>
        <w:rPr>
          <w:rFonts w:hint="eastAsia" w:ascii="方正仿宋_GBK" w:hAnsi="方正仿宋_GBK" w:eastAsia="方正仿宋_GBK" w:cs="方正仿宋_GBK"/>
          <w:b w:val="0"/>
          <w:bCs w:val="0"/>
          <w:color w:val="000000"/>
          <w:sz w:val="32"/>
          <w:szCs w:val="32"/>
        </w:rPr>
        <w:t>，再生稻平均亩产170.3公斤，较当地非示范片亩增产再生稻54.9公斤，再生稻生产效率提升30%。2022年，在重庆极端高温伏旱天气下，该技术在重庆实施了9个百亩级示范片共计1110.0亩，平均亩产246.4公斤、亩减灾增收430.5元。2023</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2024年，该技术在重庆市永川区连续两年实现百亩连片中稻平均亩产700公斤以上、再生稻平均亩产300公斤以上的两季“吨粮”超高产目标。此外，</w:t>
      </w:r>
      <w:r>
        <w:rPr>
          <w:rFonts w:hint="eastAsia" w:ascii="方正仿宋_GBK" w:hAnsi="方正仿宋_GBK" w:eastAsia="方正仿宋_GBK" w:cs="方正仿宋_GBK"/>
          <w:b w:val="0"/>
          <w:bCs w:val="0"/>
          <w:color w:val="000000"/>
          <w:sz w:val="32"/>
          <w:szCs w:val="32"/>
          <w:lang w:val="en-US" w:eastAsia="zh-CN"/>
        </w:rPr>
        <w:t>项目</w:t>
      </w:r>
      <w:r>
        <w:rPr>
          <w:rFonts w:hint="eastAsia" w:ascii="方正仿宋_GBK" w:hAnsi="方正仿宋_GBK" w:eastAsia="方正仿宋_GBK" w:cs="方正仿宋_GBK"/>
          <w:b w:val="0"/>
          <w:bCs w:val="0"/>
          <w:color w:val="000000"/>
          <w:sz w:val="32"/>
          <w:szCs w:val="32"/>
        </w:rPr>
        <w:t>研究表明，</w:t>
      </w:r>
      <w:r>
        <w:rPr>
          <w:rFonts w:hint="eastAsia" w:ascii="方正仿宋_GBK" w:hAnsi="方正仿宋_GBK" w:eastAsia="方正仿宋_GBK" w:cs="方正仿宋_GBK"/>
          <w:b w:val="0"/>
          <w:bCs w:val="0"/>
          <w:color w:val="000000"/>
          <w:sz w:val="32"/>
          <w:szCs w:val="32"/>
          <w:lang w:val="en-US" w:eastAsia="zh-CN"/>
        </w:rPr>
        <w:t>该技术是一项环境友好的栽培耕作技术，</w:t>
      </w:r>
      <w:r>
        <w:rPr>
          <w:rFonts w:hint="eastAsia" w:ascii="方正仿宋_GBK" w:hAnsi="方正仿宋_GBK" w:eastAsia="方正仿宋_GBK" w:cs="方正仿宋_GBK"/>
          <w:b w:val="0"/>
          <w:bCs w:val="0"/>
          <w:color w:val="000000"/>
          <w:sz w:val="32"/>
          <w:szCs w:val="32"/>
        </w:rPr>
        <w:t>其温室气体（CH</w:t>
      </w:r>
      <w:r>
        <w:rPr>
          <w:rFonts w:hint="eastAsia" w:ascii="方正仿宋_GBK" w:hAnsi="方正仿宋_GBK" w:eastAsia="方正仿宋_GBK" w:cs="方正仿宋_GBK"/>
          <w:b w:val="0"/>
          <w:bCs w:val="0"/>
          <w:color w:val="000000"/>
          <w:sz w:val="32"/>
          <w:szCs w:val="32"/>
          <w:vertAlign w:val="subscript"/>
        </w:rPr>
        <w:t>4</w:t>
      </w:r>
      <w:r>
        <w:rPr>
          <w:rFonts w:hint="eastAsia" w:ascii="方正仿宋_GBK" w:hAnsi="方正仿宋_GBK" w:eastAsia="方正仿宋_GBK" w:cs="方正仿宋_GBK"/>
          <w:b w:val="0"/>
          <w:bCs w:val="0"/>
          <w:color w:val="000000"/>
          <w:sz w:val="32"/>
          <w:szCs w:val="32"/>
        </w:rPr>
        <w:t>）排放总量仅为头季稻的8.9%</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23.0%，是双季稻</w:t>
      </w:r>
      <w:r>
        <w:rPr>
          <w:rFonts w:hint="eastAsia" w:ascii="方正仿宋_GBK" w:hAnsi="方正仿宋_GBK" w:eastAsia="方正仿宋_GBK" w:cs="方正仿宋_GBK"/>
          <w:b w:val="0"/>
          <w:bCs w:val="0"/>
          <w:color w:val="000000"/>
          <w:sz w:val="32"/>
          <w:szCs w:val="32"/>
          <w:lang w:val="en-US" w:eastAsia="zh-CN"/>
        </w:rPr>
        <w:t>区</w:t>
      </w:r>
      <w:r>
        <w:rPr>
          <w:rFonts w:hint="eastAsia" w:ascii="方正仿宋_GBK" w:hAnsi="方正仿宋_GBK" w:eastAsia="方正仿宋_GBK" w:cs="方正仿宋_GBK"/>
          <w:b w:val="0"/>
          <w:bCs w:val="0"/>
          <w:color w:val="000000"/>
          <w:sz w:val="32"/>
          <w:szCs w:val="32"/>
        </w:rPr>
        <w:t>晚稻季的13.9%</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14.5%。</w:t>
      </w:r>
    </w:p>
    <w:tbl>
      <w:tblPr>
        <w:tblStyle w:val="10"/>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1"/>
      </w:tblGrid>
      <w:tr w14:paraId="77BB7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4C13393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方正仿宋_GBK" w:hAnsi="方正仿宋_GBK" w:eastAsia="方正仿宋_GBK" w:cs="方正仿宋_GBK"/>
                <w:b w:val="0"/>
                <w:bCs w:val="0"/>
                <w:color w:val="000000"/>
                <w:sz w:val="32"/>
                <w:szCs w:val="32"/>
                <w:vertAlign w:val="baseline"/>
              </w:rPr>
            </w:pPr>
            <w:r>
              <w:rPr>
                <w:rFonts w:hint="eastAsia" w:ascii="方正仿宋_GBK" w:hAnsi="方正仿宋_GBK" w:eastAsia="方正仿宋_GBK" w:cs="方正仿宋_GBK"/>
                <w:b w:val="0"/>
                <w:bCs w:val="0"/>
                <w:color w:val="000000"/>
                <w:sz w:val="32"/>
                <w:szCs w:val="32"/>
              </w:rPr>
              <w:drawing>
                <wp:inline distT="0" distB="0" distL="114300" distR="114300">
                  <wp:extent cx="4500245" cy="2430780"/>
                  <wp:effectExtent l="0" t="0" r="14605" b="7620"/>
                  <wp:docPr id="33" name="图片 6" descr="E:\工作照片\20240808-来苏再生稻头季田间测产\DJI_20240808092518_0221_D.jpg"/>
                  <wp:cNvGraphicFramePr/>
                  <a:graphic xmlns:a="http://schemas.openxmlformats.org/drawingml/2006/main">
                    <a:graphicData uri="http://schemas.openxmlformats.org/drawingml/2006/picture">
                      <pic:pic xmlns:pic="http://schemas.openxmlformats.org/drawingml/2006/picture">
                        <pic:nvPicPr>
                          <pic:cNvPr id="33" name="图片 6" descr="E:\工作照片\20240808-来苏再生稻头季田间测产\DJI_20240808092518_0221_D.jpg"/>
                          <pic:cNvPicPr/>
                        </pic:nvPicPr>
                        <pic:blipFill>
                          <a:blip r:embed="rId12"/>
                          <a:stretch>
                            <a:fillRect/>
                          </a:stretch>
                        </pic:blipFill>
                        <pic:spPr>
                          <a:xfrm>
                            <a:off x="0" y="0"/>
                            <a:ext cx="4500245" cy="2430780"/>
                          </a:xfrm>
                          <a:prstGeom prst="rect">
                            <a:avLst/>
                          </a:prstGeom>
                          <a:noFill/>
                          <a:ln>
                            <a:noFill/>
                          </a:ln>
                        </pic:spPr>
                      </pic:pic>
                    </a:graphicData>
                  </a:graphic>
                </wp:inline>
              </w:drawing>
            </w:r>
          </w:p>
        </w:tc>
      </w:tr>
      <w:tr w14:paraId="34B84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6F1A390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方正仿宋_GBK" w:hAnsi="方正仿宋_GBK" w:eastAsia="方正仿宋_GBK" w:cs="方正仿宋_GBK"/>
                <w:b w:val="0"/>
                <w:bCs w:val="0"/>
                <w:color w:val="000000"/>
                <w:sz w:val="32"/>
                <w:szCs w:val="32"/>
                <w:vertAlign w:val="baseline"/>
              </w:rPr>
            </w:pPr>
            <w:r>
              <w:rPr>
                <w:rFonts w:hint="eastAsia" w:ascii="方正黑体_GBK" w:hAnsi="方正黑体_GBK" w:eastAsia="方正黑体_GBK" w:cs="方正黑体_GBK"/>
                <w:b w:val="0"/>
                <w:bCs w:val="0"/>
                <w:color w:val="000000"/>
                <w:sz w:val="28"/>
                <w:szCs w:val="28"/>
                <w:lang w:val="en-US" w:eastAsia="zh-CN"/>
              </w:rPr>
              <w:t xml:space="preserve">图1 </w:t>
            </w:r>
            <w:r>
              <w:rPr>
                <w:rFonts w:hint="eastAsia" w:ascii="方正黑体_GBK" w:hAnsi="方正黑体_GBK" w:eastAsia="方正黑体_GBK" w:cs="方正黑体_GBK"/>
                <w:b w:val="0"/>
                <w:bCs w:val="0"/>
                <w:color w:val="000000"/>
                <w:sz w:val="28"/>
                <w:szCs w:val="28"/>
              </w:rPr>
              <w:t>重庆永川</w:t>
            </w:r>
            <w:r>
              <w:rPr>
                <w:rFonts w:hint="eastAsia" w:ascii="方正黑体_GBK" w:hAnsi="方正黑体_GBK" w:eastAsia="方正黑体_GBK" w:cs="方正黑体_GBK"/>
                <w:b w:val="0"/>
                <w:bCs w:val="0"/>
                <w:color w:val="000000"/>
                <w:sz w:val="28"/>
                <w:szCs w:val="28"/>
                <w:lang w:val="en-US" w:eastAsia="zh-CN"/>
              </w:rPr>
              <w:t>区的</w:t>
            </w:r>
            <w:r>
              <w:rPr>
                <w:rFonts w:hint="eastAsia" w:ascii="方正黑体_GBK" w:hAnsi="方正黑体_GBK" w:eastAsia="方正黑体_GBK" w:cs="方正黑体_GBK"/>
                <w:b w:val="0"/>
                <w:bCs w:val="0"/>
                <w:color w:val="000000"/>
                <w:sz w:val="28"/>
                <w:szCs w:val="28"/>
              </w:rPr>
              <w:t>中稻—再生稻全程机械化</w:t>
            </w:r>
            <w:r>
              <w:rPr>
                <w:rFonts w:hint="eastAsia" w:ascii="方正黑体_GBK" w:hAnsi="方正黑体_GBK" w:eastAsia="方正黑体_GBK" w:cs="方正黑体_GBK"/>
                <w:b w:val="0"/>
                <w:bCs w:val="0"/>
                <w:color w:val="000000"/>
                <w:sz w:val="28"/>
                <w:szCs w:val="28"/>
                <w:lang w:val="en-US" w:eastAsia="zh-CN"/>
              </w:rPr>
              <w:t>百亩</w:t>
            </w:r>
            <w:r>
              <w:rPr>
                <w:rFonts w:hint="eastAsia" w:ascii="方正黑体_GBK" w:hAnsi="方正黑体_GBK" w:eastAsia="方正黑体_GBK" w:cs="方正黑体_GBK"/>
                <w:b w:val="0"/>
                <w:bCs w:val="0"/>
                <w:color w:val="000000"/>
                <w:sz w:val="28"/>
                <w:szCs w:val="28"/>
              </w:rPr>
              <w:t>示范</w:t>
            </w:r>
          </w:p>
        </w:tc>
      </w:tr>
    </w:tbl>
    <w:p w14:paraId="49D1A0CC">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（四）入选和获奖情况</w:t>
      </w:r>
    </w:p>
    <w:p w14:paraId="5C539722">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自2020年以来，该技术</w:t>
      </w:r>
      <w:r>
        <w:rPr>
          <w:rFonts w:hint="eastAsia" w:ascii="方正仿宋_GBK" w:hAnsi="方正仿宋_GBK" w:eastAsia="方正仿宋_GBK" w:cs="方正仿宋_GBK"/>
          <w:b w:val="0"/>
          <w:bCs w:val="0"/>
          <w:color w:val="000000"/>
          <w:sz w:val="32"/>
          <w:szCs w:val="32"/>
          <w:lang w:val="en-US" w:eastAsia="zh-CN"/>
        </w:rPr>
        <w:t>已</w:t>
      </w:r>
      <w:r>
        <w:rPr>
          <w:rFonts w:hint="eastAsia" w:ascii="方正仿宋_GBK" w:hAnsi="方正仿宋_GBK" w:eastAsia="方正仿宋_GBK" w:cs="方正仿宋_GBK"/>
          <w:b w:val="0"/>
          <w:bCs w:val="0"/>
          <w:color w:val="000000"/>
          <w:sz w:val="32"/>
          <w:szCs w:val="32"/>
        </w:rPr>
        <w:t>连续6年入选重庆市农业主推技术，2023年</w:t>
      </w:r>
      <w:r>
        <w:rPr>
          <w:rFonts w:hint="eastAsia" w:ascii="方正仿宋_GBK" w:hAnsi="方正仿宋_GBK" w:eastAsia="方正仿宋_GBK" w:cs="方正仿宋_GBK"/>
          <w:b w:val="0"/>
          <w:bCs w:val="0"/>
          <w:color w:val="000000"/>
          <w:sz w:val="32"/>
          <w:szCs w:val="32"/>
          <w:lang w:val="en-US" w:eastAsia="zh-CN"/>
        </w:rPr>
        <w:t>和2025年</w:t>
      </w:r>
      <w:r>
        <w:rPr>
          <w:rFonts w:hint="eastAsia" w:ascii="方正仿宋_GBK" w:hAnsi="方正仿宋_GBK" w:eastAsia="方正仿宋_GBK" w:cs="方正仿宋_GBK"/>
          <w:b w:val="0"/>
          <w:bCs w:val="0"/>
          <w:color w:val="000000"/>
          <w:sz w:val="32"/>
          <w:szCs w:val="32"/>
        </w:rPr>
        <w:t>入选全国农业主推技术，2024年发布了重庆市地方标准</w:t>
      </w:r>
      <w:r>
        <w:rPr>
          <w:rFonts w:hint="eastAsia" w:ascii="方正仿宋_GBK" w:hAnsi="方正仿宋_GBK" w:eastAsia="方正仿宋_GBK" w:cs="方正仿宋_GBK"/>
          <w:b w:val="0"/>
          <w:bCs w:val="0"/>
          <w:color w:val="000000"/>
          <w:sz w:val="32"/>
          <w:szCs w:val="32"/>
          <w:lang w:val="en-US" w:eastAsia="zh-CN"/>
        </w:rPr>
        <w:t>并入选</w:t>
      </w:r>
      <w:r>
        <w:rPr>
          <w:rFonts w:hint="eastAsia" w:ascii="方正仿宋_GBK" w:hAnsi="方正仿宋_GBK" w:eastAsia="方正仿宋_GBK" w:cs="方正仿宋_GBK"/>
          <w:b w:val="0"/>
          <w:bCs w:val="0"/>
          <w:color w:val="000000"/>
          <w:sz w:val="32"/>
          <w:szCs w:val="32"/>
        </w:rPr>
        <w:t>《中国农业农村年鉴》</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lang w:val="en-US" w:eastAsia="zh-CN"/>
        </w:rPr>
        <w:t>近三年，该技术</w:t>
      </w:r>
      <w:r>
        <w:rPr>
          <w:rFonts w:hint="eastAsia" w:ascii="方正仿宋_GBK" w:hAnsi="方正仿宋_GBK" w:eastAsia="方正仿宋_GBK" w:cs="方正仿宋_GBK"/>
          <w:b w:val="0"/>
          <w:bCs w:val="0"/>
          <w:color w:val="000000"/>
          <w:sz w:val="32"/>
          <w:szCs w:val="32"/>
        </w:rPr>
        <w:t>在川渝再生稻区</w:t>
      </w:r>
      <w:r>
        <w:rPr>
          <w:rFonts w:hint="eastAsia" w:ascii="方正仿宋_GBK" w:hAnsi="方正仿宋_GBK" w:eastAsia="方正仿宋_GBK" w:cs="方正仿宋_GBK"/>
          <w:b w:val="0"/>
          <w:bCs w:val="0"/>
          <w:color w:val="000000"/>
          <w:sz w:val="32"/>
          <w:szCs w:val="32"/>
          <w:lang w:val="en-US" w:eastAsia="zh-CN"/>
        </w:rPr>
        <w:t>累计</w:t>
      </w:r>
      <w:r>
        <w:rPr>
          <w:rFonts w:hint="eastAsia" w:ascii="方正仿宋_GBK" w:hAnsi="方正仿宋_GBK" w:eastAsia="方正仿宋_GBK" w:cs="方正仿宋_GBK"/>
          <w:b w:val="0"/>
          <w:bCs w:val="0"/>
          <w:color w:val="000000"/>
          <w:sz w:val="32"/>
          <w:szCs w:val="32"/>
        </w:rPr>
        <w:t>推广应用</w:t>
      </w:r>
      <w:r>
        <w:rPr>
          <w:rFonts w:hint="eastAsia" w:ascii="方正仿宋_GBK" w:hAnsi="方正仿宋_GBK" w:eastAsia="方正仿宋_GBK" w:cs="方正仿宋_GBK"/>
          <w:b w:val="0"/>
          <w:bCs w:val="0"/>
          <w:color w:val="000000"/>
          <w:sz w:val="32"/>
          <w:szCs w:val="32"/>
          <w:lang w:val="en-US" w:eastAsia="zh-CN"/>
        </w:rPr>
        <w:t>33</w:t>
      </w:r>
      <w:r>
        <w:rPr>
          <w:rFonts w:hint="eastAsia" w:ascii="方正仿宋_GBK" w:hAnsi="方正仿宋_GBK" w:eastAsia="方正仿宋_GBK" w:cs="方正仿宋_GBK"/>
          <w:b w:val="0"/>
          <w:bCs w:val="0"/>
          <w:color w:val="000000"/>
          <w:sz w:val="32"/>
          <w:szCs w:val="32"/>
        </w:rPr>
        <w:t>0余万亩，打造了重庆开州再生稻、四川富顺再生稻等优质再生稻米品牌。</w:t>
      </w:r>
      <w:r>
        <w:rPr>
          <w:rFonts w:hint="eastAsia" w:ascii="方正仿宋_GBK" w:hAnsi="方正仿宋_GBK" w:eastAsia="方正仿宋_GBK" w:cs="方正仿宋_GBK"/>
          <w:b w:val="0"/>
          <w:bCs w:val="0"/>
          <w:color w:val="000000"/>
          <w:sz w:val="32"/>
          <w:szCs w:val="32"/>
          <w:lang w:val="en-US" w:eastAsia="zh-CN"/>
        </w:rPr>
        <w:t>该技术</w:t>
      </w:r>
      <w:r>
        <w:rPr>
          <w:rFonts w:hint="eastAsia" w:ascii="方正仿宋_GBK" w:hAnsi="方正仿宋_GBK" w:eastAsia="方正仿宋_GBK" w:cs="方正仿宋_GBK"/>
          <w:b w:val="0"/>
          <w:bCs w:val="0"/>
          <w:color w:val="000000"/>
          <w:sz w:val="32"/>
          <w:szCs w:val="32"/>
        </w:rPr>
        <w:t>获2019~2021年度全国农牧渔业丰收奖农业技术推广成果奖一等奖。</w:t>
      </w:r>
    </w:p>
    <w:p w14:paraId="442BD919">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黑体_GBK" w:hAnsi="方正黑体_GBK" w:eastAsia="方正黑体_GBK" w:cs="方正黑体_GBK"/>
          <w:b w:val="0"/>
          <w:bCs w:val="0"/>
          <w:color w:val="000000"/>
          <w:sz w:val="32"/>
          <w:szCs w:val="32"/>
          <w:lang w:eastAsia="zh-CN"/>
        </w:rPr>
      </w:pPr>
      <w:r>
        <w:rPr>
          <w:rFonts w:hint="eastAsia" w:ascii="方正黑体_GBK" w:hAnsi="方正黑体_GBK" w:eastAsia="方正黑体_GBK" w:cs="方正黑体_GBK"/>
          <w:b w:val="0"/>
          <w:bCs w:val="0"/>
          <w:color w:val="000000"/>
          <w:sz w:val="32"/>
          <w:szCs w:val="32"/>
          <w:lang w:eastAsia="zh-CN"/>
        </w:rPr>
        <w:t>二、技术要点</w:t>
      </w:r>
    </w:p>
    <w:p w14:paraId="3FD1B3B0">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（一）选用良种，兼顾两季高产优质抗逆</w:t>
      </w:r>
    </w:p>
    <w:p w14:paraId="2005FC89">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在长江上游和西南稻区，宜选择生育期150天左右，丰产性好，再生力强，综合抗性好、耐机</w:t>
      </w:r>
      <w:r>
        <w:rPr>
          <w:rFonts w:hint="eastAsia" w:ascii="方正仿宋_GBK" w:hAnsi="方正仿宋_GBK" w:eastAsia="方正仿宋_GBK" w:cs="方正仿宋_GBK"/>
          <w:b w:val="0"/>
          <w:bCs w:val="0"/>
          <w:color w:val="000000"/>
          <w:sz w:val="32"/>
          <w:szCs w:val="32"/>
          <w:lang w:val="en-US" w:eastAsia="zh-CN"/>
        </w:rPr>
        <w:t>收</w:t>
      </w:r>
      <w:r>
        <w:rPr>
          <w:rFonts w:hint="eastAsia" w:ascii="方正仿宋_GBK" w:hAnsi="方正仿宋_GBK" w:eastAsia="方正仿宋_GBK" w:cs="方正仿宋_GBK"/>
          <w:b w:val="0"/>
          <w:bCs w:val="0"/>
          <w:color w:val="000000"/>
          <w:sz w:val="32"/>
          <w:szCs w:val="32"/>
        </w:rPr>
        <w:t>碾压，稻米品质达到国标三级以上的水稻品种</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如宜香优2115、渝香203、渝香优8133、甬优4949、荃优607、玮两优8612等。</w:t>
      </w:r>
    </w:p>
    <w:p w14:paraId="375B500C">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（二）冬耕蓄水，抗旱灭虫培肥地力</w:t>
      </w:r>
    </w:p>
    <w:p w14:paraId="6F86EDF4">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lang w:val="en-US" w:eastAsia="zh-CN"/>
        </w:rPr>
        <w:t>为应对</w:t>
      </w:r>
      <w:r>
        <w:rPr>
          <w:rFonts w:hint="eastAsia" w:ascii="方正仿宋_GBK" w:hAnsi="方正仿宋_GBK" w:eastAsia="方正仿宋_GBK" w:cs="方正仿宋_GBK"/>
          <w:b w:val="0"/>
          <w:bCs w:val="0"/>
          <w:color w:val="000000"/>
          <w:sz w:val="32"/>
          <w:szCs w:val="32"/>
        </w:rPr>
        <w:t>长江上游和西南稻区</w:t>
      </w:r>
      <w:r>
        <w:rPr>
          <w:rFonts w:hint="eastAsia" w:ascii="方正仿宋_GBK" w:hAnsi="方正仿宋_GBK" w:eastAsia="方正仿宋_GBK" w:cs="方正仿宋_GBK"/>
          <w:b w:val="0"/>
          <w:bCs w:val="0"/>
          <w:color w:val="000000"/>
          <w:sz w:val="32"/>
          <w:szCs w:val="32"/>
          <w:lang w:val="en-US" w:eastAsia="zh-CN"/>
        </w:rPr>
        <w:t>频发的春旱，确保中稻满栽满插，应在</w:t>
      </w:r>
      <w:r>
        <w:rPr>
          <w:rFonts w:hint="eastAsia" w:ascii="方正仿宋_GBK" w:hAnsi="方正仿宋_GBK" w:eastAsia="方正仿宋_GBK" w:cs="方正仿宋_GBK"/>
          <w:b w:val="0"/>
          <w:bCs w:val="0"/>
          <w:color w:val="000000"/>
          <w:sz w:val="32"/>
          <w:szCs w:val="32"/>
        </w:rPr>
        <w:t>秋冬季采用</w:t>
      </w:r>
      <w:r>
        <w:rPr>
          <w:rFonts w:hint="eastAsia" w:ascii="方正仿宋_GBK" w:hAnsi="方正仿宋_GBK" w:eastAsia="方正仿宋_GBK" w:cs="方正仿宋_GBK"/>
          <w:b w:val="0"/>
          <w:bCs w:val="0"/>
          <w:color w:val="000000"/>
          <w:sz w:val="32"/>
          <w:szCs w:val="32"/>
          <w:lang w:val="en-US" w:eastAsia="zh-CN"/>
        </w:rPr>
        <w:t>机械</w:t>
      </w:r>
      <w:r>
        <w:rPr>
          <w:rFonts w:hint="eastAsia" w:ascii="方正仿宋_GBK" w:hAnsi="方正仿宋_GBK" w:eastAsia="方正仿宋_GBK" w:cs="方正仿宋_GBK"/>
          <w:b w:val="0"/>
          <w:bCs w:val="0"/>
          <w:color w:val="000000"/>
          <w:sz w:val="32"/>
          <w:szCs w:val="32"/>
        </w:rPr>
        <w:t>耕整稻田，蓄水</w:t>
      </w:r>
      <w:r>
        <w:rPr>
          <w:rFonts w:hint="eastAsia" w:ascii="方正仿宋_GBK" w:hAnsi="方正仿宋_GBK" w:eastAsia="方正仿宋_GBK" w:cs="方正仿宋_GBK"/>
          <w:b w:val="0"/>
          <w:bCs w:val="0"/>
          <w:color w:val="000000"/>
          <w:sz w:val="32"/>
          <w:szCs w:val="32"/>
          <w:lang w:val="en-US" w:eastAsia="zh-CN"/>
        </w:rPr>
        <w:t>抗旱、</w:t>
      </w:r>
      <w:r>
        <w:rPr>
          <w:rFonts w:hint="eastAsia" w:ascii="方正仿宋_GBK" w:hAnsi="方正仿宋_GBK" w:eastAsia="方正仿宋_GBK" w:cs="方正仿宋_GBK"/>
          <w:b w:val="0"/>
          <w:bCs w:val="0"/>
          <w:color w:val="000000"/>
          <w:sz w:val="32"/>
          <w:szCs w:val="32"/>
        </w:rPr>
        <w:t>灭虫除草</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腐熟秸秆</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培肥</w:t>
      </w:r>
      <w:r>
        <w:rPr>
          <w:rFonts w:hint="eastAsia" w:ascii="方正仿宋_GBK" w:hAnsi="方正仿宋_GBK" w:eastAsia="方正仿宋_GBK" w:cs="方正仿宋_GBK"/>
          <w:b w:val="0"/>
          <w:bCs w:val="0"/>
          <w:color w:val="000000"/>
          <w:sz w:val="32"/>
          <w:szCs w:val="32"/>
          <w:lang w:val="en-US" w:eastAsia="zh-CN"/>
        </w:rPr>
        <w:t>地力</w:t>
      </w:r>
      <w:r>
        <w:rPr>
          <w:rFonts w:hint="eastAsia" w:ascii="方正仿宋_GBK" w:hAnsi="方正仿宋_GBK" w:eastAsia="方正仿宋_GBK" w:cs="方正仿宋_GBK"/>
          <w:b w:val="0"/>
          <w:bCs w:val="0"/>
          <w:color w:val="000000"/>
          <w:sz w:val="32"/>
          <w:szCs w:val="32"/>
        </w:rPr>
        <w:t>。田块耕整作业深度宜为15.0</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16.0</w:t>
      </w:r>
      <w:r>
        <w:rPr>
          <w:rFonts w:hint="eastAsia" w:ascii="方正仿宋_GBK" w:hAnsi="方正仿宋_GBK" w:eastAsia="方正仿宋_GBK" w:cs="方正仿宋_GBK"/>
          <w:b w:val="0"/>
          <w:bCs w:val="0"/>
          <w:color w:val="000000"/>
          <w:sz w:val="32"/>
          <w:szCs w:val="32"/>
          <w:lang w:val="en-US" w:eastAsia="zh-CN"/>
        </w:rPr>
        <w:t>厘米</w:t>
      </w:r>
      <w:r>
        <w:rPr>
          <w:rFonts w:hint="eastAsia" w:ascii="方正仿宋_GBK" w:hAnsi="方正仿宋_GBK" w:eastAsia="方正仿宋_GBK" w:cs="方正仿宋_GBK"/>
          <w:b w:val="0"/>
          <w:bCs w:val="0"/>
          <w:color w:val="000000"/>
          <w:sz w:val="32"/>
          <w:szCs w:val="32"/>
        </w:rPr>
        <w:t>，</w:t>
      </w:r>
      <w:r>
        <w:rPr>
          <w:rFonts w:hint="eastAsia" w:ascii="方正仿宋_GBK" w:hAnsi="方正仿宋_GBK" w:eastAsia="方正仿宋_GBK" w:cs="方正仿宋_GBK"/>
          <w:b w:val="0"/>
          <w:bCs w:val="0"/>
          <w:color w:val="000000"/>
          <w:sz w:val="32"/>
          <w:szCs w:val="32"/>
          <w:lang w:val="en-US" w:eastAsia="zh-CN"/>
        </w:rPr>
        <w:t>秸秆和杂草翻埋</w:t>
      </w:r>
      <w:r>
        <w:rPr>
          <w:rFonts w:hint="eastAsia" w:ascii="方正仿宋_GBK" w:hAnsi="方正仿宋_GBK" w:eastAsia="方正仿宋_GBK" w:cs="方正仿宋_GBK"/>
          <w:b w:val="0"/>
          <w:bCs w:val="0"/>
          <w:color w:val="000000"/>
          <w:sz w:val="32"/>
          <w:szCs w:val="32"/>
        </w:rPr>
        <w:t>深度应≥4.0</w:t>
      </w:r>
      <w:r>
        <w:rPr>
          <w:rFonts w:hint="eastAsia" w:ascii="方正仿宋_GBK" w:hAnsi="方正仿宋_GBK" w:eastAsia="方正仿宋_GBK" w:cs="方正仿宋_GBK"/>
          <w:b w:val="0"/>
          <w:bCs w:val="0"/>
          <w:color w:val="000000"/>
          <w:sz w:val="32"/>
          <w:szCs w:val="32"/>
          <w:lang w:val="en-US" w:eastAsia="zh-CN"/>
        </w:rPr>
        <w:t>厘米</w:t>
      </w:r>
      <w:r>
        <w:rPr>
          <w:rFonts w:hint="eastAsia" w:ascii="方正仿宋_GBK" w:hAnsi="方正仿宋_GBK" w:eastAsia="方正仿宋_GBK" w:cs="方正仿宋_GBK"/>
          <w:b w:val="0"/>
          <w:bCs w:val="0"/>
          <w:color w:val="000000"/>
          <w:sz w:val="32"/>
          <w:szCs w:val="32"/>
        </w:rPr>
        <w:t>。</w:t>
      </w:r>
    </w:p>
    <w:p w14:paraId="60163EE4">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（三）适期早播，培育壮秧</w:t>
      </w:r>
    </w:p>
    <w:p w14:paraId="6C913252">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日平均气温稳定通过12℃是适宜播期，一般在3月上中旬播种。可因地制宜采用钵毯苗稀泥育秧、工厂化集中育秧等方式培育壮秧。一般亩用种量1.2千~1.5千克，播种18～20盘秧苗。秧苗期注意防治稻蓟马、恶苗病、立枯病等病虫害。</w:t>
      </w:r>
    </w:p>
    <w:p w14:paraId="31ED67FF">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（四）中苗机插，规范机械作业</w:t>
      </w:r>
    </w:p>
    <w:p w14:paraId="7DC6CBE2">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叶龄3~4叶是适栽期，可因地制宜采用手扶步进式或高速乘坐式插秧机。机插作业时，应沿稻田的长边保持直线行驶，每穴插足基本苗，确保作业机械行驶过程中不压苗、不漏苗。栽插密度宜为1.1×104~1.4×104穴/亩，邻接行间距28.0～32.0厘米，株距16.0～21.0厘米，每穴3~4苗，漏插率≤5%，作业覆盖率≥95%。连续漏插3穴以上的，应人工补苗。</w:t>
      </w:r>
    </w:p>
    <w:p w14:paraId="5DFBEBDD">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（五）平衡施肥，稳氮控磷增钾</w:t>
      </w:r>
    </w:p>
    <w:p w14:paraId="58F014CB">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一般地力田块，中稻宜亩施纯氮8千~10千克，氮（N）：磷（P2O5）：钾（K2O）养分配比宜为1:0.5:0.8。其中，氮肥可按照基肥：分蘖肥：穗肥=5:3:2的比例施用，磷肥可一次性作基肥施用，钾肥可按照基肥：穗肥=5:5的比例施用。基肥应在插秧前，采用旋耕施肥一体机深施；分蘖肥应在插秧后7～10天采用无人机撒施；穗肥应在拔节期（第一次晒田复水后）采用无人机撒施。</w:t>
      </w:r>
    </w:p>
    <w:p w14:paraId="01FD758E">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（六）浅水灌溉，二次晒田水分管理</w:t>
      </w:r>
    </w:p>
    <w:p w14:paraId="6DC202EA">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浅水机插，寸水活棵，当全田茎蘖总数达到13万苗左右，第一次排水晒田，控制无效分蘖。孕穗至灌浆结实期保持5～8厘米水层，缓解高温伏旱对中稻结实的影响。进入蜡熟期（收获前10天左右），第二次排水晒田，增加土壤硬实度，减少中稻机收对稻桩的碾压损伤。</w:t>
      </w:r>
    </w:p>
    <w:p w14:paraId="42937D00">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（七）早施粒芽肥，促进籽粒灌浆和再生芽生长</w:t>
      </w:r>
    </w:p>
    <w:p w14:paraId="5E9C6F00">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在中稻齐穗期至齐穗后5天，在稻田有水的条件下，采用无人机撒施方式，亩施纯氮5千~7千克。</w:t>
      </w:r>
    </w:p>
    <w:p w14:paraId="64AF9E06">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（八）预防病虫危害，适期开展绿色统防统治</w:t>
      </w:r>
    </w:p>
    <w:p w14:paraId="733F9E58">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根据病虫预测预报，选用高效、低毒、低残留农药和无人机统防统治。中稻重点防控稻瘟病、纹枯病，二化螟、稻飞虱、稻纵卷叶螟等病虫害，再生稻重点防控稻飞虱、粘虫等虫害。其中，纹枯病对于稻桩存活率有较大影响，宜在中稻分蘖盛期和破口期，选用40%井冈•蜡芽菌可湿性粉剂或30%苯甲•丙环唑乳油等生物农药防治，喷药时应采用粗雾喷雾法对准稻株中下部喷雾。</w:t>
      </w:r>
    </w:p>
    <w:p w14:paraId="53EBE534">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（九）看苗收获中稻，与机插同向机收作业</w:t>
      </w:r>
    </w:p>
    <w:p w14:paraId="2BB49917">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当全田10%稻株的倒2节可见再生苗出鞘时，为中稻收获适宜期。其中，8月上旬收割的留桩高度宜为30~35厘米，8月中旬收获的留桩高度宜为40～45厘米。机收作业时，应同步粉碎秸秆还田并与机插同向行进，即沿稻田的长边收割，在田的两端掉头、减小稻桩碾压率。同时，收获机轨距应与机插行距相匹配，小田块可选择履带宽度≤20厘米、作业幅宽≥105厘米的小型收获机，中、大田块可选择履带宽度≤35厘米、作业幅宽≥210厘米的联合收获机。</w:t>
      </w:r>
    </w:p>
    <w:tbl>
      <w:tblPr>
        <w:tblStyle w:val="10"/>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1"/>
      </w:tblGrid>
      <w:tr w14:paraId="3A88E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0376E88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方正仿宋_GBK" w:hAnsi="方正仿宋_GBK" w:eastAsia="方正仿宋_GBK" w:cs="方正仿宋_GBK"/>
                <w:b w:val="0"/>
                <w:bCs w:val="0"/>
                <w:color w:val="000000"/>
                <w:sz w:val="32"/>
                <w:szCs w:val="32"/>
                <w:vertAlign w:val="baseline"/>
                <w:lang w:val="en-US" w:eastAsia="zh-CN"/>
              </w:rPr>
            </w:pPr>
            <w:r>
              <w:rPr>
                <w:rFonts w:hint="eastAsia" w:ascii="方正仿宋_GBK" w:hAnsi="方正仿宋_GBK" w:eastAsia="方正仿宋_GBK" w:cs="方正仿宋_GBK"/>
                <w:b w:val="0"/>
                <w:bCs w:val="0"/>
                <w:color w:val="000000"/>
                <w:sz w:val="32"/>
                <w:szCs w:val="32"/>
              </w:rPr>
              <w:drawing>
                <wp:inline distT="0" distB="0" distL="114300" distR="114300">
                  <wp:extent cx="5615940" cy="3160395"/>
                  <wp:effectExtent l="0" t="0" r="3810" b="1905"/>
                  <wp:docPr id="35" name="图片 7" descr="F:\重庆农科院-20230118\成果\6-主推技术\重庆市主推技术-2025\2025年\25年农业主推技术-宜机化区中稻-再生稻全程轻简优质丰产栽培技术\再生稻全程机械化作业图片\图6 小型收割机机收蓄留再生稻.jpg"/>
                  <wp:cNvGraphicFramePr/>
                  <a:graphic xmlns:a="http://schemas.openxmlformats.org/drawingml/2006/main">
                    <a:graphicData uri="http://schemas.openxmlformats.org/drawingml/2006/picture">
                      <pic:pic xmlns:pic="http://schemas.openxmlformats.org/drawingml/2006/picture">
                        <pic:nvPicPr>
                          <pic:cNvPr id="35" name="图片 7" descr="F:\重庆农科院-20230118\成果\6-主推技术\重庆市主推技术-2025\2025年\25年农业主推技术-宜机化区中稻-再生稻全程轻简优质丰产栽培技术\再生稻全程机械化作业图片\图6 小型收割机机收蓄留再生稻.jpg"/>
                          <pic:cNvPicPr/>
                        </pic:nvPicPr>
                        <pic:blipFill>
                          <a:blip r:embed="rId13"/>
                          <a:stretch>
                            <a:fillRect/>
                          </a:stretch>
                        </pic:blipFill>
                        <pic:spPr>
                          <a:xfrm>
                            <a:off x="0" y="0"/>
                            <a:ext cx="5615940" cy="3160395"/>
                          </a:xfrm>
                          <a:prstGeom prst="rect">
                            <a:avLst/>
                          </a:prstGeom>
                          <a:noFill/>
                          <a:ln>
                            <a:noFill/>
                          </a:ln>
                        </pic:spPr>
                      </pic:pic>
                    </a:graphicData>
                  </a:graphic>
                </wp:inline>
              </w:drawing>
            </w:r>
          </w:p>
        </w:tc>
      </w:tr>
      <w:tr w14:paraId="4394B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09ED4CA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方正仿宋_GBK" w:hAnsi="方正仿宋_GBK" w:eastAsia="方正仿宋_GBK" w:cs="方正仿宋_GBK"/>
                <w:b w:val="0"/>
                <w:bCs w:val="0"/>
                <w:color w:val="000000"/>
                <w:sz w:val="32"/>
                <w:szCs w:val="32"/>
                <w:vertAlign w:val="baseline"/>
                <w:lang w:val="en-US" w:eastAsia="zh-CN"/>
              </w:rPr>
            </w:pPr>
            <w:r>
              <w:rPr>
                <w:rFonts w:hint="eastAsia" w:ascii="方正黑体_GBK" w:hAnsi="方正黑体_GBK" w:eastAsia="方正黑体_GBK" w:cs="方正黑体_GBK"/>
                <w:b w:val="0"/>
                <w:bCs w:val="0"/>
                <w:color w:val="000000"/>
                <w:sz w:val="28"/>
                <w:szCs w:val="28"/>
                <w:lang w:val="en-US" w:eastAsia="zh-CN"/>
              </w:rPr>
              <w:t>图2 小型收获机收获</w:t>
            </w:r>
            <w:r>
              <w:rPr>
                <w:rFonts w:hint="eastAsia" w:ascii="方正黑体_GBK" w:hAnsi="方正黑体_GBK" w:eastAsia="方正黑体_GBK" w:cs="方正黑体_GBK"/>
                <w:b w:val="0"/>
                <w:bCs w:val="0"/>
                <w:color w:val="000000"/>
                <w:sz w:val="28"/>
                <w:szCs w:val="28"/>
              </w:rPr>
              <w:t>重庆永川</w:t>
            </w:r>
            <w:r>
              <w:rPr>
                <w:rFonts w:hint="eastAsia" w:ascii="方正黑体_GBK" w:hAnsi="方正黑体_GBK" w:eastAsia="方正黑体_GBK" w:cs="方正黑体_GBK"/>
                <w:b w:val="0"/>
                <w:bCs w:val="0"/>
                <w:color w:val="000000"/>
                <w:sz w:val="28"/>
                <w:szCs w:val="28"/>
                <w:lang w:val="en-US" w:eastAsia="zh-CN"/>
              </w:rPr>
              <w:t>区的中稻蓄留</w:t>
            </w:r>
            <w:r>
              <w:rPr>
                <w:rFonts w:hint="eastAsia" w:ascii="方正黑体_GBK" w:hAnsi="方正黑体_GBK" w:eastAsia="方正黑体_GBK" w:cs="方正黑体_GBK"/>
                <w:b w:val="0"/>
                <w:bCs w:val="0"/>
                <w:color w:val="000000"/>
                <w:sz w:val="28"/>
                <w:szCs w:val="28"/>
              </w:rPr>
              <w:t>再生稻</w:t>
            </w:r>
          </w:p>
        </w:tc>
      </w:tr>
    </w:tbl>
    <w:p w14:paraId="4EA25C56">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（十）再生季抗旱保芽，及时施用提苗肥</w:t>
      </w:r>
    </w:p>
    <w:p w14:paraId="4BCBCF24">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中稻收获后，应立即复水抗旱保芽。再生苗长齐后，可保持浅水层至抽穗扬花期。再生稻齐穗后，可用干湿交替水分管理。籽粒接近黄熟时排水晒田。中稻收获后3天内，应采用无人机每亩撒施纯氮3千~5千克，促进再生苗生长。</w:t>
      </w:r>
    </w:p>
    <w:p w14:paraId="5940499C">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p>
    <w:tbl>
      <w:tblPr>
        <w:tblStyle w:val="10"/>
        <w:tblpPr w:leftFromText="180" w:rightFromText="180" w:vertAnchor="text" w:horzAnchor="page" w:tblpXSpec="center" w:tblpY="76"/>
        <w:tblOverlap w:val="never"/>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1"/>
      </w:tblGrid>
      <w:tr w14:paraId="3765E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3F56E42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vertAlign w:val="baseline"/>
                <w:lang w:val="en-US" w:eastAsia="zh-CN"/>
              </w:rPr>
            </w:pPr>
            <w:r>
              <w:rPr>
                <w:rFonts w:hint="eastAsia" w:ascii="方正黑体_GBK" w:hAnsi="方正黑体_GBK" w:eastAsia="方正黑体_GBK" w:cs="方正黑体_GBK"/>
                <w:b w:val="0"/>
                <w:bCs w:val="0"/>
                <w:color w:val="000000"/>
                <w:sz w:val="28"/>
                <w:szCs w:val="28"/>
              </w:rPr>
              <w:drawing>
                <wp:inline distT="0" distB="0" distL="114300" distR="114300">
                  <wp:extent cx="5615940" cy="3160395"/>
                  <wp:effectExtent l="0" t="0" r="3810" b="1905"/>
                  <wp:docPr id="34" name="图片 8" descr="F:\重庆农科院-20230118\成果\6-主推技术\重庆市主推技术-2025\2025年\25年农业主推技术-宜机化区中稻-再生稻全程轻简优质丰产栽培技术\再生稻全程机械化作业图片\微信图片_20241109163455.jpg"/>
                  <wp:cNvGraphicFramePr/>
                  <a:graphic xmlns:a="http://schemas.openxmlformats.org/drawingml/2006/main">
                    <a:graphicData uri="http://schemas.openxmlformats.org/drawingml/2006/picture">
                      <pic:pic xmlns:pic="http://schemas.openxmlformats.org/drawingml/2006/picture">
                        <pic:nvPicPr>
                          <pic:cNvPr id="34" name="图片 8" descr="F:\重庆农科院-20230118\成果\6-主推技术\重庆市主推技术-2025\2025年\25年农业主推技术-宜机化区中稻-再生稻全程轻简优质丰产栽培技术\再生稻全程机械化作业图片\微信图片_20241109163455.jpg"/>
                          <pic:cNvPicPr/>
                        </pic:nvPicPr>
                        <pic:blipFill>
                          <a:blip r:embed="rId14"/>
                          <a:stretch>
                            <a:fillRect/>
                          </a:stretch>
                        </pic:blipFill>
                        <pic:spPr>
                          <a:xfrm>
                            <a:off x="0" y="0"/>
                            <a:ext cx="5615940" cy="3160395"/>
                          </a:xfrm>
                          <a:prstGeom prst="rect">
                            <a:avLst/>
                          </a:prstGeom>
                          <a:noFill/>
                          <a:ln>
                            <a:noFill/>
                          </a:ln>
                        </pic:spPr>
                      </pic:pic>
                    </a:graphicData>
                  </a:graphic>
                </wp:inline>
              </w:drawing>
            </w:r>
          </w:p>
        </w:tc>
      </w:tr>
      <w:tr w14:paraId="3B764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29862DC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vertAlign w:val="baseline"/>
                <w:lang w:val="en-US" w:eastAsia="zh-CN"/>
              </w:rPr>
            </w:pPr>
            <w:r>
              <w:rPr>
                <w:rFonts w:hint="eastAsia" w:ascii="方正黑体_GBK" w:hAnsi="方正黑体_GBK" w:eastAsia="方正黑体_GBK" w:cs="方正黑体_GBK"/>
                <w:b w:val="0"/>
                <w:bCs w:val="0"/>
                <w:color w:val="000000"/>
                <w:sz w:val="28"/>
                <w:szCs w:val="28"/>
                <w:lang w:val="en-US" w:eastAsia="zh-CN"/>
              </w:rPr>
              <w:t>图3 重庆永川的中稻机收后再生苗长势</w:t>
            </w:r>
          </w:p>
        </w:tc>
      </w:tr>
    </w:tbl>
    <w:p w14:paraId="224196F5">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（十一）叶面喷施调节剂，抗旱保芽促结实</w:t>
      </w:r>
    </w:p>
    <w:p w14:paraId="06AAA21E">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中稻齐穗期，可于阴天或晴天下午叶面喷施磷酸二氢钾500~800倍液。中稻收获后3～5天，可于清晨稻桩有露水时，可叶面喷施细胞分裂素30毫克/千克。再生苗长齐后，可用氨基酸植物高级营养液5毫升兑水5千~8千克，叶面喷施再生苗1～2次。再生稻抽穗10%～20%时，可亩用赤霉素1.5~2.0 克兑水50千克叶面喷施。</w:t>
      </w:r>
    </w:p>
    <w:p w14:paraId="48F9A044">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（十二）及时收获，低温烘干再生稻</w:t>
      </w:r>
    </w:p>
    <w:p w14:paraId="5EEA46F2">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当全田90%的再生稻籽粒黄熟时，择晴天收获，并采用低温烘干。</w:t>
      </w:r>
    </w:p>
    <w:tbl>
      <w:tblPr>
        <w:tblStyle w:val="10"/>
        <w:tblW w:w="90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1"/>
      </w:tblGrid>
      <w:tr w14:paraId="7B999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Borders>
              <w:tl2br w:val="nil"/>
              <w:tr2bl w:val="nil"/>
            </w:tcBorders>
            <w:noWrap w:val="0"/>
            <w:vAlign w:val="top"/>
          </w:tcPr>
          <w:p w14:paraId="281BD05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方正仿宋_GBK" w:hAnsi="方正仿宋_GBK" w:eastAsia="方正仿宋_GBK" w:cs="方正仿宋_GBK"/>
                <w:b w:val="0"/>
                <w:bCs w:val="0"/>
                <w:color w:val="000000"/>
                <w:sz w:val="32"/>
                <w:szCs w:val="32"/>
                <w:vertAlign w:val="baseline"/>
                <w:lang w:val="en-US" w:eastAsia="zh-CN"/>
              </w:rPr>
            </w:pPr>
            <w:r>
              <w:rPr>
                <w:rFonts w:hint="eastAsia" w:ascii="方正仿宋_GBK" w:hAnsi="方正仿宋_GBK" w:eastAsia="方正仿宋_GBK" w:cs="方正仿宋_GBK"/>
                <w:b w:val="0"/>
                <w:bCs w:val="0"/>
                <w:color w:val="000000"/>
                <w:sz w:val="32"/>
                <w:szCs w:val="32"/>
              </w:rPr>
              <w:drawing>
                <wp:inline distT="0" distB="0" distL="114300" distR="114300">
                  <wp:extent cx="5615940" cy="3160395"/>
                  <wp:effectExtent l="0" t="0" r="3810" b="1905"/>
                  <wp:docPr id="32" name="图片 9" descr="F:\重庆农科院-20230118\成果\6-主推技术\重庆市主推技术-2025\2025年\25年农业主推技术-宜机化区中稻-再生稻全程轻简优质丰产栽培技术\再生稻全程机械化作业图片\微信图片_20241109162210.jpg"/>
                  <wp:cNvGraphicFramePr/>
                  <a:graphic xmlns:a="http://schemas.openxmlformats.org/drawingml/2006/main">
                    <a:graphicData uri="http://schemas.openxmlformats.org/drawingml/2006/picture">
                      <pic:pic xmlns:pic="http://schemas.openxmlformats.org/drawingml/2006/picture">
                        <pic:nvPicPr>
                          <pic:cNvPr id="32" name="图片 9" descr="F:\重庆农科院-20230118\成果\6-主推技术\重庆市主推技术-2025\2025年\25年农业主推技术-宜机化区中稻-再生稻全程轻简优质丰产栽培技术\再生稻全程机械化作业图片\微信图片_20241109162210.jpg"/>
                          <pic:cNvPicPr/>
                        </pic:nvPicPr>
                        <pic:blipFill>
                          <a:blip r:embed="rId15"/>
                          <a:stretch>
                            <a:fillRect/>
                          </a:stretch>
                        </pic:blipFill>
                        <pic:spPr>
                          <a:xfrm>
                            <a:off x="0" y="0"/>
                            <a:ext cx="5615940" cy="3160395"/>
                          </a:xfrm>
                          <a:prstGeom prst="rect">
                            <a:avLst/>
                          </a:prstGeom>
                          <a:noFill/>
                          <a:ln>
                            <a:noFill/>
                          </a:ln>
                        </pic:spPr>
                      </pic:pic>
                    </a:graphicData>
                  </a:graphic>
                </wp:inline>
              </w:drawing>
            </w:r>
          </w:p>
        </w:tc>
      </w:tr>
      <w:tr w14:paraId="72DE0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Borders>
              <w:tl2br w:val="nil"/>
              <w:tr2bl w:val="nil"/>
            </w:tcBorders>
            <w:noWrap w:val="0"/>
            <w:vAlign w:val="top"/>
          </w:tcPr>
          <w:p w14:paraId="1E1061FC">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方正仿宋_GBK" w:hAnsi="方正仿宋_GBK" w:eastAsia="方正仿宋_GBK" w:cs="方正仿宋_GBK"/>
                <w:b w:val="0"/>
                <w:bCs w:val="0"/>
                <w:color w:val="000000"/>
                <w:sz w:val="32"/>
                <w:szCs w:val="32"/>
                <w:vertAlign w:val="baseline"/>
                <w:lang w:val="en-US" w:eastAsia="zh-CN"/>
              </w:rPr>
            </w:pPr>
            <w:r>
              <w:rPr>
                <w:rFonts w:hint="eastAsia" w:ascii="方正黑体_GBK" w:hAnsi="方正黑体_GBK" w:eastAsia="方正黑体_GBK" w:cs="方正黑体_GBK"/>
                <w:b w:val="0"/>
                <w:bCs w:val="0"/>
                <w:color w:val="000000"/>
                <w:sz w:val="28"/>
                <w:szCs w:val="28"/>
                <w:lang w:val="en-US" w:eastAsia="zh-CN"/>
              </w:rPr>
              <w:t>图4 重庆永川的中稻机收再生稻成熟期长势</w:t>
            </w:r>
          </w:p>
        </w:tc>
      </w:tr>
    </w:tbl>
    <w:p w14:paraId="568BEBDA">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黑体_GBK" w:hAnsi="方正黑体_GBK" w:eastAsia="方正黑体_GBK" w:cs="方正黑体_GBK"/>
          <w:b w:val="0"/>
          <w:bCs w:val="0"/>
          <w:color w:val="000000"/>
          <w:sz w:val="32"/>
          <w:szCs w:val="32"/>
          <w:lang w:eastAsia="zh-CN"/>
        </w:rPr>
      </w:pPr>
      <w:r>
        <w:rPr>
          <w:rFonts w:hint="eastAsia" w:ascii="方正黑体_GBK" w:hAnsi="方正黑体_GBK" w:eastAsia="方正黑体_GBK" w:cs="方正黑体_GBK"/>
          <w:b w:val="0"/>
          <w:bCs w:val="0"/>
          <w:color w:val="000000"/>
          <w:sz w:val="32"/>
          <w:szCs w:val="32"/>
          <w:lang w:eastAsia="zh-CN"/>
        </w:rPr>
        <w:t>三、适宜区域</w:t>
      </w:r>
    </w:p>
    <w:p w14:paraId="099BB053">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本技术适宜在长江上游和西南光温资源一季有余、两季不足的中稻-再生稻区推广应用，在高标准农田宜机化改造区的应用效果更佳。</w:t>
      </w:r>
    </w:p>
    <w:p w14:paraId="6A450C16">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黑体_GBK" w:hAnsi="方正黑体_GBK" w:eastAsia="方正黑体_GBK" w:cs="方正黑体_GBK"/>
          <w:b w:val="0"/>
          <w:bCs w:val="0"/>
          <w:color w:val="000000"/>
          <w:sz w:val="32"/>
          <w:szCs w:val="32"/>
          <w:lang w:eastAsia="zh-CN"/>
        </w:rPr>
      </w:pPr>
      <w:r>
        <w:rPr>
          <w:rFonts w:hint="eastAsia" w:ascii="方正黑体_GBK" w:hAnsi="方正黑体_GBK" w:eastAsia="方正黑体_GBK" w:cs="方正黑体_GBK"/>
          <w:b w:val="0"/>
          <w:bCs w:val="0"/>
          <w:color w:val="000000"/>
          <w:sz w:val="32"/>
          <w:szCs w:val="32"/>
          <w:lang w:eastAsia="zh-CN"/>
        </w:rPr>
        <w:t>四、注意事项</w:t>
      </w:r>
    </w:p>
    <w:p w14:paraId="4A4A6876">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（一）因地制宜选择水稻品种，优先种植当地主推的两季丰产、优质、抗逆宜机收品种。</w:t>
      </w:r>
    </w:p>
    <w:p w14:paraId="4A0984E6">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（二）因地制宜采用钵毯苗宽窄行机插、等行距机插等方式，中稻栽插密度宜为1.1×104~1.4×104穴/亩，每穴3~4苗。</w:t>
      </w:r>
    </w:p>
    <w:p w14:paraId="5FD8A249">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（三）因地制宜选择再生稻收获机械，注意与田块实际大小、土壤硬实度、种植规模以及机手作业水平等配套。</w:t>
      </w:r>
    </w:p>
    <w:p w14:paraId="7FDAAC74">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黑体_GBK" w:hAnsi="方正黑体_GBK" w:eastAsia="方正黑体_GBK" w:cs="方正黑体_GBK"/>
          <w:b w:val="0"/>
          <w:bCs w:val="0"/>
          <w:color w:val="000000"/>
          <w:sz w:val="32"/>
          <w:szCs w:val="32"/>
          <w:lang w:eastAsia="zh-CN"/>
        </w:rPr>
      </w:pPr>
      <w:r>
        <w:rPr>
          <w:rFonts w:hint="eastAsia" w:ascii="方正黑体_GBK" w:hAnsi="方正黑体_GBK" w:eastAsia="方正黑体_GBK" w:cs="方正黑体_GBK"/>
          <w:b w:val="0"/>
          <w:bCs w:val="0"/>
          <w:color w:val="000000"/>
          <w:sz w:val="32"/>
          <w:szCs w:val="32"/>
          <w:lang w:eastAsia="zh-CN"/>
        </w:rPr>
        <w:t>五、技术依托单位</w:t>
      </w:r>
    </w:p>
    <w:p w14:paraId="1C5EE0F8">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（一）单位名称：重庆市农业科学院</w:t>
      </w:r>
    </w:p>
    <w:p w14:paraId="24AA35A1">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联系地址：重庆市九龙坡区白市驿镇农科大道100号</w:t>
      </w:r>
    </w:p>
    <w:p w14:paraId="27C79DDC">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邮政编码：401329</w:t>
      </w:r>
    </w:p>
    <w:p w14:paraId="3195A62E">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 系 人：姚雄、张巫军、李经勇、梁子蒙</w:t>
      </w:r>
    </w:p>
    <w:p w14:paraId="5C1CEC38">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联系电话：18983692215，18983692235</w:t>
      </w:r>
    </w:p>
    <w:p w14:paraId="67FF8BD1">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电子邮箱：yuyourice@cqaas.cn，zhangwj881125@163.com</w:t>
      </w:r>
    </w:p>
    <w:p w14:paraId="06E604E4">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（二）单位名称：重庆市农业技术推广总站</w:t>
      </w:r>
    </w:p>
    <w:p w14:paraId="2FF05737">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联系地址：重庆市渝北区黄山大道东段186号</w:t>
      </w:r>
    </w:p>
    <w:p w14:paraId="19737EDC">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邮政编码：401420</w:t>
      </w:r>
    </w:p>
    <w:p w14:paraId="4F52934A">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 系 人：方立魁</w:t>
      </w:r>
    </w:p>
    <w:p w14:paraId="4D7B3E86">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联系电话：13996487680</w:t>
      </w:r>
    </w:p>
    <w:p w14:paraId="536D7B9D">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电子邮箱：93660236@qq.com</w:t>
      </w:r>
    </w:p>
    <w:p w14:paraId="5E1BED8D">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（三）单位名称：四川省农业技术推广总站</w:t>
      </w:r>
    </w:p>
    <w:p w14:paraId="2B30A796">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联系地址：四川省成都市武侯祠大街4号</w:t>
      </w:r>
    </w:p>
    <w:p w14:paraId="0F7B96F9">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邮政编码：610041</w:t>
      </w:r>
    </w:p>
    <w:p w14:paraId="506DF3C3">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 系 人：周虹</w:t>
      </w:r>
    </w:p>
    <w:p w14:paraId="0872D943">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联系电话：13540143821</w:t>
      </w:r>
    </w:p>
    <w:p w14:paraId="0B0AD65C">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电子邮箱：402253722@qq.com</w:t>
      </w:r>
    </w:p>
    <w:p w14:paraId="2B6B224E">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sz w:val="32"/>
          <w:szCs w:val="32"/>
        </w:rPr>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rtlGutter w:val="0"/>
          <w:docGrid w:type="lines" w:linePitch="579" w:charSpace="0"/>
        </w:sectPr>
      </w:pPr>
    </w:p>
    <w:p w14:paraId="41B00E27">
      <w:pPr>
        <w:pStyle w:val="3"/>
        <w:bidi w:val="0"/>
        <w:rPr>
          <w:rFonts w:hint="eastAsia"/>
          <w:lang w:val="en-US" w:eastAsia="zh-CN"/>
        </w:rPr>
      </w:pPr>
      <w:r>
        <w:rPr>
          <w:rFonts w:hint="eastAsia"/>
          <w:lang w:val="en-US" w:eastAsia="zh-CN"/>
        </w:rPr>
        <w:t>3.大豆玉米带状复合种植技术</w:t>
      </w:r>
    </w:p>
    <w:p w14:paraId="4BF85093">
      <w:pPr>
        <w:keepNext w:val="0"/>
        <w:keepLines w:val="0"/>
        <w:pageBreakBefore w:val="0"/>
        <w:wordWrap/>
        <w:overflowPunct/>
        <w:topLinePunct w:val="0"/>
        <w:bidi w:val="0"/>
        <w:spacing w:beforeAutospacing="0" w:afterAutospacing="0" w:line="600" w:lineRule="exact"/>
        <w:ind w:left="0" w:leftChars="0" w:right="0" w:rightChars="0" w:firstLine="640" w:firstLineChars="200"/>
        <w:jc w:val="center"/>
        <w:rPr>
          <w:rFonts w:hint="eastAsia" w:ascii="方正仿宋_GBK" w:hAnsi="方正仿宋_GBK" w:eastAsia="方正仿宋_GBK" w:cs="方正仿宋_GBK"/>
          <w:b w:val="0"/>
          <w:bCs w:val="0"/>
          <w:color w:val="000000"/>
          <w:sz w:val="32"/>
          <w:szCs w:val="32"/>
        </w:rPr>
      </w:pPr>
    </w:p>
    <w:p w14:paraId="17016867">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黑体_GBK" w:cs="方正仿宋_GBK"/>
          <w:b w:val="0"/>
          <w:bCs w:val="0"/>
          <w:color w:val="000000"/>
          <w:sz w:val="32"/>
          <w:szCs w:val="32"/>
          <w:lang w:eastAsia="zh-CN"/>
        </w:rPr>
        <w:t>摘要：</w:t>
      </w:r>
      <w:r>
        <w:rPr>
          <w:rFonts w:hint="eastAsia" w:ascii="方正仿宋_GBK" w:hAnsi="方正仿宋_GBK" w:eastAsia="方正仿宋_GBK" w:cs="方正仿宋_GBK"/>
          <w:b w:val="0"/>
          <w:bCs w:val="0"/>
          <w:color w:val="auto"/>
          <w:sz w:val="32"/>
          <w:szCs w:val="32"/>
          <w:lang w:val="en-US" w:eastAsia="zh-CN"/>
        </w:rPr>
        <w:t>净作玉米、大豆两种作物争地，而传统大豆玉米间套作存在田间配置不合理、大豆倒伏严重、施肥技术不匹配、病虫草害防控技术难、机械化水平低等问题，玉米与大豆的协同发展一直未能有效解决。本技术以“选配品种、扩间增光、缩株保密”为核心，“合理施肥、化控抗倒、绿色防控”为配套的大豆玉米带状复合种植技术体系，并应用匹配的种管收作业专用机具，实现了实现“间套轮一体，大豆、玉米协同发展，耕种收全程机械化生产”的目标。实践证明，本技术在保证玉米不减产的基础上，增加一季大豆，亩产值增加500—600元，亩利润提高300—400元，并能够效减少土壤流失，增加有机质含量，减少氧化亚氮及二氧化碳排放，具有显著的生态效益。本技术2019年遴选为国家大豆振兴技术重点推广技术，2008年—2025年列为农业农村部主推技术，2024、2025年列为重庆市农业主推技术，2022—2023连续两年写入中央1号文件，并在黄淮海、西北、西南地区大力推广，2003—2025年全国累计推广近2亿亩，取得了巨大的经济效益及生态效益。</w:t>
      </w:r>
    </w:p>
    <w:p w14:paraId="2C610B5A">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一、技术概述</w:t>
      </w:r>
    </w:p>
    <w:p w14:paraId="5C27EAEF">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（一）背景情况</w:t>
      </w:r>
    </w:p>
    <w:p w14:paraId="6B0AA4D4">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大豆、玉米是我国重要的大宗粮食、油料、饲料作物，常年需求大豆1.1亿吨、玉米3.3亿吨，以净作生产方式满足国内消费需求，需用近15亿亩耕地，依靠大幅度增加净作面积提高大豆、玉米自给率难度较大。大豆、玉米为同季旱粮作物，二者争地矛盾成为困扰我国粮油安全的“卡脖子”问题。大豆玉米间套作栽培在耕作制度上有利于解决大豆和玉米两种作物争地的矛盾，但传统的间套作模式也存在的田间配置不合理、大豆倒伏严重、施肥技术不匹配、病虫草害防控技术难题、机械化水平低等问题。采用玉米—大豆带状间作套种方式，以选配品种、扩间增光、缩株保密为核心，合理施肥、化控抗倒、绿色防控为配套的复合种植技术体系，破解了间套作高低位作物不能协调高产与绿色稳产的世界难题，能够在不减少玉米产量，甚至增加玉米产量的同时增收一季大豆，实现“作物协同高产、机具通过、分带轮作”三融合。本技术2003—2024年全国累计推广1.5亿亩，2008年—2025年列为农业农村部主推技术，2019年遴选为国家大豆振兴技术重点推广技术，2022、2023年连续两年明确写入中央1号文件，并在黄淮海、西北、西南地区大力推广，为保证国家玉米安全、大幅度提高大豆自给率提供了重要技术支撑。</w:t>
      </w:r>
    </w:p>
    <w:p w14:paraId="4D9DA34A">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（二）推广应用情况</w:t>
      </w:r>
    </w:p>
    <w:p w14:paraId="76F874E2">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玉米—大豆带状复合种植技术研究始于2002年，连续12年入选农业农村部主推技术，2019年遴选为国家大豆振兴计划重点推广技术。本技术在我国西南地区、黄淮海、西北及东北地区进行了大面积推广，迄今累计推广面积近2亿亩。重庆市于2022—2025年大面积推广170万亩以上，示范效果良好。2023年酉阳县春大豆春玉米带状复合种植示范片，春玉米平均亩产631.1公斤、春大豆亩产96.7公斤；涪陵区春大豆春玉米带状复合种植示范片，春玉米亩产619.9公斤，春大豆亩产91.5公斤；巴南区夏大豆春玉米带状复合种植示范片，春玉米平均亩产580.3公斤；黔江区夏大豆夏玉米带状复合种植示范片，夏玉米亩产563公斤，夏大豆亩产102.7公斤；开州区夏大豆春玉米带状种植示范片，春玉米亩产708公斤，夏大豆平均亩产150公斤；奉节县大豆玉米带状复合种植示范片玉米平均亩产510公斤，大豆平均亩产155公斤；2024年涪陵区春大豆春玉米带状复合种植示范片，春玉米亩产654.3公斤，春大豆亩产91.06公斤；酉阳县夏玉米夏大豆带状复合种植示范片，夏玉米亩产430公斤，夏大豆亩产135.6公斤；2025年涪陵区新妙镇春大豆春玉米带状复合种植示范片，春玉米亩产520.8公斤，春大豆亩产91.06公斤；酉阳县仓岭镇春大豆-春玉米带状复合种植示范片，春玉米亩产621.9公斤、春大豆亩产102.2公斤，忠县春大豆-春玉米带状复合种植示范片玉米亩产459.7公斤，大豆亩产128.7公斤。</w:t>
      </w:r>
    </w:p>
    <w:p w14:paraId="32B4801D">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（三）技术效果</w:t>
      </w:r>
    </w:p>
    <w:p w14:paraId="0A1E9CEE">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与原主产作物（玉米）单作相比，每亩增产大豆100—150公斤，减施纯氮4—6公斤、减施农药25—40%，增收节支300—400元（不含国家200元政策补助）。带状复合种植系统光能利用率达到3%以上、作物固碳能力增加18.6%，年均温室气体排放强度降低45.9%。</w:t>
      </w:r>
    </w:p>
    <w:p w14:paraId="601D6614">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楷体_GBK" w:cs="方正仿宋_GBK"/>
          <w:b w:val="0"/>
          <w:bCs w:val="0"/>
          <w:color w:val="000000"/>
          <w:sz w:val="32"/>
          <w:szCs w:val="32"/>
          <w:lang w:val="en-US" w:eastAsia="zh-CN"/>
        </w:rPr>
        <w:t>（四）入选和获奖情况</w:t>
      </w:r>
    </w:p>
    <w:p w14:paraId="765EEC57">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该技术于2019年遴选为国家大豆振兴技术重点推广技术，2024、2025年列为重庆市农业主推技术，2025年国家农业主推技术，获2017年中国作物学会中国作物科技奖、2019年四川省科技进步奖一等奖、甘肃省科技进步奖一等奖，2019—2021年度全国农牧渔业丰收奖推广合作奖。重庆市农业技术推广总站（含玉米产业技术体系创新团队综合利用功能研究室）2024、2025年作为该技术依托单位，入选重庆市主推技术，三年累计推广面积150万亩。</w:t>
      </w:r>
    </w:p>
    <w:p w14:paraId="65516CC3">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val="en-US" w:eastAsia="zh-CN"/>
        </w:rPr>
        <w:t>二、技术要点</w:t>
      </w:r>
    </w:p>
    <w:p w14:paraId="1E120290">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（一）品种选用。</w:t>
      </w:r>
      <w:r>
        <w:rPr>
          <w:rFonts w:hint="eastAsia" w:ascii="方正仿宋_GBK" w:hAnsi="方正仿宋_GBK" w:eastAsia="方正仿宋_GBK" w:cs="方正仿宋_GBK"/>
          <w:b w:val="0"/>
          <w:bCs w:val="0"/>
          <w:color w:val="auto"/>
          <w:sz w:val="32"/>
          <w:szCs w:val="32"/>
          <w:lang w:val="en-US" w:eastAsia="zh-CN"/>
        </w:rPr>
        <w:t>玉米品种选用抗倒伏能力强、生育期适中的紧凑型或半紧凑型品种，如东单1331、科玉1108、先玉1171、康农玉808等。大豆品种选用耐荫蔽、抗倒伏的中迟熟大豆品种，春大豆可选用油春1204、中豆46、华圣28等品种，夏大豆可选用南夏豆25、南豆12、洛豆1号等品种。</w:t>
      </w:r>
    </w:p>
    <w:p w14:paraId="47BF5425">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（二）行比配置。</w:t>
      </w:r>
      <w:r>
        <w:rPr>
          <w:rFonts w:hint="eastAsia" w:ascii="方正仿宋_GBK" w:hAnsi="方正仿宋_GBK" w:eastAsia="方正仿宋_GBK" w:cs="方正仿宋_GBK"/>
          <w:b w:val="0"/>
          <w:bCs w:val="0"/>
          <w:color w:val="auto"/>
          <w:sz w:val="32"/>
          <w:szCs w:val="32"/>
          <w:lang w:val="en-US" w:eastAsia="zh-CN"/>
        </w:rPr>
        <w:t>春玉米—夏大豆带状套作采用3：2（3行大豆：2行玉米）行比配置。生产单元宽度2.2—2.4米，玉米行距40厘米，大豆行距30—35厘米，玉米大豆间距60—70厘米。春玉米—春大豆带状间作（夏玉米—夏大豆间作）采用4：2（4行大豆：2行玉米）行比配置。生产单元宽度2.5—2.7米,玉米行距40厘米，大豆行距30—35厘米，玉米大豆间距60—70厘米。</w:t>
      </w:r>
    </w:p>
    <w:tbl>
      <w:tblPr>
        <w:tblStyle w:val="10"/>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1"/>
      </w:tblGrid>
      <w:tr w14:paraId="69C17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5D539DA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方正仿宋_GBK" w:hAnsi="方正仿宋_GBK" w:eastAsia="方正仿宋_GBK" w:cs="方正仿宋_GBK"/>
                <w:b w:val="0"/>
                <w:bCs w:val="0"/>
                <w:color w:val="auto"/>
                <w:sz w:val="32"/>
                <w:szCs w:val="32"/>
                <w:vertAlign w:val="baseline"/>
                <w:lang w:val="en-US" w:eastAsia="zh-CN"/>
              </w:rPr>
            </w:pPr>
            <w:r>
              <w:drawing>
                <wp:inline distT="0" distB="0" distL="114300" distR="114300">
                  <wp:extent cx="4533900" cy="2114550"/>
                  <wp:effectExtent l="0" t="0" r="0"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6"/>
                          <a:stretch>
                            <a:fillRect/>
                          </a:stretch>
                        </pic:blipFill>
                        <pic:spPr>
                          <a:xfrm>
                            <a:off x="0" y="0"/>
                            <a:ext cx="4533900" cy="2114550"/>
                          </a:xfrm>
                          <a:prstGeom prst="rect">
                            <a:avLst/>
                          </a:prstGeom>
                          <a:noFill/>
                          <a:ln>
                            <a:noFill/>
                          </a:ln>
                        </pic:spPr>
                      </pic:pic>
                    </a:graphicData>
                  </a:graphic>
                </wp:inline>
              </w:drawing>
            </w:r>
          </w:p>
        </w:tc>
      </w:tr>
      <w:tr w14:paraId="76114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032D1C9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方正仿宋_GBK" w:hAnsi="方正仿宋_GBK" w:eastAsia="方正仿宋_GBK" w:cs="方正仿宋_GBK"/>
                <w:b w:val="0"/>
                <w:bCs w:val="0"/>
                <w:color w:val="auto"/>
                <w:sz w:val="32"/>
                <w:szCs w:val="32"/>
                <w:vertAlign w:val="baseline"/>
                <w:lang w:val="en-US" w:eastAsia="zh-CN"/>
              </w:rPr>
            </w:pPr>
            <w:r>
              <w:rPr>
                <w:rFonts w:hint="eastAsia" w:ascii="方正黑体_GBK" w:hAnsi="方正黑体_GBK" w:eastAsia="方正黑体_GBK" w:cs="方正黑体_GBK"/>
                <w:b w:val="0"/>
                <w:bCs w:val="0"/>
                <w:kern w:val="2"/>
                <w:sz w:val="28"/>
                <w:szCs w:val="28"/>
                <w:lang w:val="en-US" w:eastAsia="zh-CN" w:bidi="ar-SA"/>
              </w:rPr>
              <w:t>图1 大豆玉米带状套作</w:t>
            </w:r>
          </w:p>
        </w:tc>
      </w:tr>
      <w:tr w14:paraId="32A4A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2BE4EF9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方正仿宋_GBK" w:hAnsi="方正仿宋_GBK" w:eastAsia="方正仿宋_GBK" w:cs="方正仿宋_GBK"/>
                <w:b w:val="0"/>
                <w:bCs w:val="0"/>
                <w:color w:val="auto"/>
                <w:sz w:val="32"/>
                <w:szCs w:val="32"/>
                <w:vertAlign w:val="baseline"/>
                <w:lang w:val="en-US" w:eastAsia="zh-CN"/>
              </w:rPr>
            </w:pPr>
            <w:r>
              <w:drawing>
                <wp:inline distT="0" distB="0" distL="114300" distR="114300">
                  <wp:extent cx="4552950" cy="2590800"/>
                  <wp:effectExtent l="0" t="0" r="0" b="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7"/>
                          <a:stretch>
                            <a:fillRect/>
                          </a:stretch>
                        </pic:blipFill>
                        <pic:spPr>
                          <a:xfrm>
                            <a:off x="0" y="0"/>
                            <a:ext cx="4552950" cy="2590800"/>
                          </a:xfrm>
                          <a:prstGeom prst="rect">
                            <a:avLst/>
                          </a:prstGeom>
                          <a:noFill/>
                          <a:ln>
                            <a:noFill/>
                          </a:ln>
                        </pic:spPr>
                      </pic:pic>
                    </a:graphicData>
                  </a:graphic>
                </wp:inline>
              </w:drawing>
            </w:r>
          </w:p>
        </w:tc>
      </w:tr>
      <w:tr w14:paraId="7D724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11AB399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pPr>
            <w:r>
              <w:rPr>
                <w:rFonts w:hint="eastAsia" w:ascii="方正黑体_GBK" w:hAnsi="方正黑体_GBK" w:eastAsia="方正黑体_GBK" w:cs="方正黑体_GBK"/>
                <w:b w:val="0"/>
                <w:bCs w:val="0"/>
                <w:kern w:val="2"/>
                <w:sz w:val="28"/>
                <w:szCs w:val="28"/>
                <w:lang w:val="en-US" w:eastAsia="zh-CN" w:bidi="ar-SA"/>
              </w:rPr>
              <w:t>图2 大豆玉米带状间作</w:t>
            </w:r>
          </w:p>
        </w:tc>
      </w:tr>
    </w:tbl>
    <w:p w14:paraId="0CDB37F5">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（三）播种时间和方式。</w:t>
      </w:r>
      <w:r>
        <w:rPr>
          <w:rFonts w:hint="eastAsia" w:ascii="方正仿宋_GBK" w:hAnsi="方正仿宋_GBK" w:eastAsia="方正仿宋_GBK" w:cs="方正仿宋_GBK"/>
          <w:b w:val="0"/>
          <w:bCs w:val="0"/>
          <w:color w:val="auto"/>
          <w:sz w:val="32"/>
          <w:szCs w:val="32"/>
          <w:lang w:val="en-US" w:eastAsia="zh-CN"/>
        </w:rPr>
        <w:t>春玉米3月中旬至4月中旬，春大豆3月中旬至4月上旬，夏大豆6月下旬前，黄淮海引进的夏大豆品种宜于5月上旬前播种。具体播种时间根据海拔高度、品种特性及生产习惯来确定。丘陵、梯田以人工播种为主，建议采用常规人工穴播方式进行点播，或采用大豆玉米手推式播种机直播。平坝、浅丘等适宜机械化作业的区域，可采用机械播种。</w:t>
      </w:r>
    </w:p>
    <w:p w14:paraId="4B9C9EC0">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玉米播种：采用3：2和4：2模式播种玉米，可选用2行播种机调整行距为40厘米，或将现有的3行播种机或4行播种机拆除多余的播种单体，留下2个播种单体，并将行距调整为40厘米。大豆播种：3：2大豆套作时，可选用现有的3行播种机，也可在2行播种机上增加一个播种单体，或4行播种机拆除多余的播种单体，并将行距调整至适宜的大豆播种行距，完成大豆播种作业。4：2大豆间作时，建议选用4行播种机完成大豆播种作业。如大豆玉米按照4：2同时播种，可购置大豆玉米带状复合种植分带播种机以提高播种精度和作业效率。</w:t>
      </w:r>
    </w:p>
    <w:tbl>
      <w:tblPr>
        <w:tblStyle w:val="1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1"/>
      </w:tblGrid>
      <w:tr w14:paraId="7FEA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noWrap w:val="0"/>
            <w:vAlign w:val="top"/>
          </w:tcPr>
          <w:p w14:paraId="1C0EAFA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方正仿宋_GBK" w:hAnsi="方正仿宋_GBK" w:eastAsia="方正仿宋_GBK" w:cs="方正仿宋_GBK"/>
                <w:b w:val="0"/>
                <w:bCs w:val="0"/>
                <w:color w:val="auto"/>
                <w:sz w:val="32"/>
                <w:szCs w:val="32"/>
                <w:vertAlign w:val="baseline"/>
                <w:lang w:val="en-US" w:eastAsia="zh-CN"/>
              </w:rPr>
            </w:pPr>
            <w:r>
              <w:drawing>
                <wp:inline distT="0" distB="0" distL="114300" distR="114300">
                  <wp:extent cx="2260600" cy="1696720"/>
                  <wp:effectExtent l="0" t="0" r="6350" b="1778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18"/>
                          <a:stretch>
                            <a:fillRect/>
                          </a:stretch>
                        </pic:blipFill>
                        <pic:spPr>
                          <a:xfrm>
                            <a:off x="0" y="0"/>
                            <a:ext cx="2260600" cy="1696720"/>
                          </a:xfrm>
                          <a:prstGeom prst="rect">
                            <a:avLst/>
                          </a:prstGeom>
                          <a:noFill/>
                          <a:ln>
                            <a:noFill/>
                          </a:ln>
                        </pic:spPr>
                      </pic:pic>
                    </a:graphicData>
                  </a:graphic>
                </wp:inline>
              </w:drawing>
            </w:r>
          </w:p>
        </w:tc>
        <w:tc>
          <w:tcPr>
            <w:tcW w:w="4531" w:type="dxa"/>
            <w:noWrap w:val="0"/>
            <w:vAlign w:val="top"/>
          </w:tcPr>
          <w:p w14:paraId="62B8E8C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方正仿宋_GBK" w:hAnsi="方正仿宋_GBK" w:eastAsia="方正仿宋_GBK" w:cs="方正仿宋_GBK"/>
                <w:b w:val="0"/>
                <w:bCs w:val="0"/>
                <w:color w:val="auto"/>
                <w:sz w:val="32"/>
                <w:szCs w:val="32"/>
                <w:vertAlign w:val="baseline"/>
                <w:lang w:val="en-US" w:eastAsia="zh-CN"/>
              </w:rPr>
            </w:pPr>
            <w:r>
              <w:drawing>
                <wp:inline distT="0" distB="0" distL="114300" distR="114300">
                  <wp:extent cx="2302510" cy="1728470"/>
                  <wp:effectExtent l="0" t="0" r="2540" b="508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19"/>
                          <a:stretch>
                            <a:fillRect/>
                          </a:stretch>
                        </pic:blipFill>
                        <pic:spPr>
                          <a:xfrm>
                            <a:off x="0" y="0"/>
                            <a:ext cx="2302510" cy="1728470"/>
                          </a:xfrm>
                          <a:prstGeom prst="rect">
                            <a:avLst/>
                          </a:prstGeom>
                          <a:noFill/>
                          <a:ln>
                            <a:noFill/>
                          </a:ln>
                        </pic:spPr>
                      </pic:pic>
                    </a:graphicData>
                  </a:graphic>
                </wp:inline>
              </w:drawing>
            </w:r>
          </w:p>
        </w:tc>
      </w:tr>
      <w:tr w14:paraId="6450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noWrap w:val="0"/>
            <w:vAlign w:val="top"/>
          </w:tcPr>
          <w:p w14:paraId="3DFD1C9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b w:val="0"/>
                <w:bCs w:val="0"/>
                <w:kern w:val="2"/>
                <w:sz w:val="28"/>
                <w:szCs w:val="28"/>
                <w:lang w:val="en-US" w:eastAsia="zh-CN" w:bidi="ar-SA"/>
              </w:rPr>
              <w:t>图3 大豆玉米间作一体化播种</w:t>
            </w:r>
          </w:p>
        </w:tc>
        <w:tc>
          <w:tcPr>
            <w:tcW w:w="4531" w:type="dxa"/>
            <w:noWrap w:val="0"/>
            <w:vAlign w:val="top"/>
          </w:tcPr>
          <w:p w14:paraId="5A468AF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b w:val="0"/>
                <w:bCs w:val="0"/>
                <w:kern w:val="2"/>
                <w:sz w:val="28"/>
                <w:szCs w:val="28"/>
                <w:lang w:val="en-US" w:eastAsia="zh-CN" w:bidi="ar-SA"/>
              </w:rPr>
              <w:t>图4 大豆玉米套作分带播种</w:t>
            </w:r>
          </w:p>
        </w:tc>
      </w:tr>
    </w:tbl>
    <w:p w14:paraId="0D650E00">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（四）适宜密度。</w:t>
      </w:r>
      <w:r>
        <w:rPr>
          <w:rFonts w:hint="eastAsia" w:ascii="方正仿宋_GBK" w:hAnsi="方正仿宋_GBK" w:eastAsia="方正仿宋_GBK" w:cs="方正仿宋_GBK"/>
          <w:b w:val="0"/>
          <w:bCs w:val="0"/>
          <w:color w:val="auto"/>
          <w:sz w:val="32"/>
          <w:szCs w:val="32"/>
          <w:lang w:val="en-US" w:eastAsia="zh-CN"/>
        </w:rPr>
        <w:t>大豆玉米带状复合种植的玉米密度应较农民习惯间套作增加，大豆密度达到当地同品种净作大豆密度的70%以上。大豆玉米带状套作3：2行比配置。玉米播种粒数4000粒/亩左右，确保有效株数不低于3500株/亩；大豆播种粒数9000~10000粒/亩，确保有效株数不低于7000株/亩。机播玉米、大豆均单粒穴播，玉米株距14~15厘米、大豆株距9~10厘米；人工点播玉米、大豆一穴均定苗双株，穴距较机播增加1倍。大豆玉米带状间作4：2行比配置。玉米播种粒数4000粒/亩左右，确保有效株数不低于3500株/亩；大豆播种粒数11000粒/亩左右，确保有效株数不低于7500株/亩。机播玉米、大豆均单粒穴播，玉米株距13厘米、大豆株距9~10厘米，玉米大豆均单粒穴播；人工点播玉米、大豆一穴均定苗双株，穴距较机播增加1倍。</w:t>
      </w:r>
    </w:p>
    <w:p w14:paraId="14A95A4D">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（五）合理施肥。</w:t>
      </w:r>
      <w:r>
        <w:rPr>
          <w:rFonts w:hint="eastAsia" w:ascii="方正仿宋_GBK" w:hAnsi="方正仿宋_GBK" w:eastAsia="方正仿宋_GBK" w:cs="方正仿宋_GBK"/>
          <w:b w:val="0"/>
          <w:bCs w:val="0"/>
          <w:color w:val="auto"/>
          <w:sz w:val="32"/>
          <w:szCs w:val="32"/>
          <w:lang w:val="en-US" w:eastAsia="zh-CN"/>
        </w:rPr>
        <w:t>大豆、玉米分别控施氮肥，玉米要施足氮肥，大豆少施或不施氮肥。带状复合种植玉米单株施肥量与净作玉米单株施肥量相同。大豆施低氮复合肥，纯N亩用量不高于3公斤；玉米施高氮复合肥，纯N亩用量不低于15公斤。采用侧深施肥，肥料距离播种行15厘米，深度10厘米左右。</w:t>
      </w:r>
    </w:p>
    <w:p w14:paraId="2831DABA">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带状套作：按净作玉米高产施肥标准施肥。玉米播种时每亩施40公斤复合肥（20—15—10）或近似配方肥作底肥；玉米大喇叭口期左右大豆播种时，在离玉米植株20厘米处每亩追施40公斤复合肥（20—10—15）或近似配方肥兼做玉米追肥及大豆底肥。带状间作：采用玉米、大豆一次性基施。玉米播种时每亩施用56公斤高氮稳定性复合肥或缓（控）释肥（24—6—10）或近似配方肥及16公斤钙镁磷肥（含磷12%）。大豆播种时每亩施用低氮复合肥（14—16—15）或近似配方肥8~10公斤，土壤瘠薄的新开垦地块在大豆初花期可适当追施3~5公斤尿素。微肥促花保荚：大豆分枝期、初花期与鼓粒初期，结合病虫统防及调节剂处理喷施叶面肥，单次每亩喷施800~1000倍液的90%磷酸二氢钾50克+稀施美50毫升；套作模式下大豆在初花期可增施8%胺鲜脂20克，兑水30~40公斤，叶面均匀喷施。</w:t>
      </w:r>
    </w:p>
    <w:p w14:paraId="5741BE4D">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（六）除草方法。</w:t>
      </w:r>
      <w:r>
        <w:rPr>
          <w:rFonts w:hint="eastAsia" w:ascii="方正仿宋_GBK" w:hAnsi="方正仿宋_GBK" w:eastAsia="方正仿宋_GBK" w:cs="方正仿宋_GBK"/>
          <w:b w:val="0"/>
          <w:bCs w:val="0"/>
          <w:color w:val="auto"/>
          <w:sz w:val="32"/>
          <w:szCs w:val="32"/>
          <w:lang w:val="en-US" w:eastAsia="zh-CN"/>
        </w:rPr>
        <w:t>大豆玉米带状复合种植除草坚持“预防为主、防治结合”的方针，做到早防早治，采用“封闭为主，封定结合，防小防早”的方法进行除草。</w:t>
      </w:r>
    </w:p>
    <w:p w14:paraId="26A228C3">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封闭除草：在播种后2天内封闭除草。可选用96%精异丙甲草胺乳油50~85毫升/亩，兑水30~50公斤均匀喷施，根据土壤墒情调节用水量。苗后定向除草：土壤封闭效果不理想的地块，需要在苗后分区域定向除草。玉米种植带在苗后3~5叶期选用80%烟嘧磺隆可湿性粉剂4~5克/亩+200克/升氯氟吡氧乙酸乳油50~67毫升/亩，兑水30~40公斤定向茎叶喷雾。大豆种植带可选用25%氟磺胺草醚水剂60~100毫升/亩或10%精喹禾灵乳油25~35毫升/亩+25%氟磺胺草醚水剂60~100毫升/亩，兑水30~40公斤茎叶喷雾。茎叶处理定向喷雾用药量应按照每种作物的实际占地面积计算。可选用自走式单杆喷雾机或背负式喷雾器加装定向喷头和定向罩子，分别对着大豆带或玉米带喷药，喷头离地高度以喷药雾滴不超出大豆带或玉米带为准，严禁药滴超出大豆带或玉米带，在下午无风时进行。</w:t>
      </w:r>
    </w:p>
    <w:p w14:paraId="21CD6B9D">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（七）化学控旺。</w:t>
      </w:r>
      <w:r>
        <w:rPr>
          <w:rFonts w:hint="eastAsia" w:ascii="方正仿宋_GBK" w:hAnsi="方正仿宋_GBK" w:eastAsia="方正仿宋_GBK" w:cs="方正仿宋_GBK"/>
          <w:b w:val="0"/>
          <w:bCs w:val="0"/>
          <w:color w:val="auto"/>
          <w:sz w:val="32"/>
          <w:szCs w:val="32"/>
          <w:lang w:val="en-US" w:eastAsia="zh-CN"/>
        </w:rPr>
        <w:t>土壤肥力高、植株旺长采用化控调节剂控高：在玉米6~8片展开叶时，亩用胺鲜·乙烯利（玉米矮丰）25毫升兑水30公斤喷雾；大豆在分枝期和初花期分别用5%烯效唑20~50克/亩（苗期剂量可小至20克），兑水30公斤喷雾，防止徒长和倒伏。大豆玉米化控剂均严格按照产品使用说明书推荐剂量和时期施用，不漏喷、重喷。</w:t>
      </w:r>
    </w:p>
    <w:p w14:paraId="29E58E85">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（八）病虫防治。</w:t>
      </w:r>
      <w:r>
        <w:rPr>
          <w:rFonts w:hint="eastAsia" w:ascii="方正仿宋_GBK" w:hAnsi="方正仿宋_GBK" w:eastAsia="方正仿宋_GBK" w:cs="方正仿宋_GBK"/>
          <w:b w:val="0"/>
          <w:bCs w:val="0"/>
          <w:color w:val="auto"/>
          <w:sz w:val="32"/>
          <w:szCs w:val="32"/>
          <w:lang w:val="en-US" w:eastAsia="zh-CN"/>
        </w:rPr>
        <w:t>遵循“预防为主、综合防治”的方针，加强田间管理，做到早防早治，统防统控。</w:t>
      </w:r>
    </w:p>
    <w:p w14:paraId="5D14EEFF">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播种期选择含有精甲•咯菌腈、丁硫•福美双、噻虫嗪•噻呋酰胺等成分的种衣剂进行种子包衣或拌种，防治大豆根腐病、玉米茎腐病、丝黑穗等土传种传病害和地下害虫等苗期病害虫。建议大豆播种前用“根瘤菌+拌种剂”拌种，同步提高大豆固氮能力。</w:t>
      </w:r>
    </w:p>
    <w:p w14:paraId="137D63BB">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苗期—玉米抽雄期（大豆分枝期）重点防治草地贪夜蛾、玉米螟、桃蛀螟、玉米纹枯病、大豆锈病、斜纹夜蛾等。一是采取理化诱控措施，在草地贪夜蛾、玉米螟、桃蛀螟、斜纹夜蛾等成虫发生期使用杀虫灯结合性诱剂诱杀害虫；二是针对斜纹夜蛾、金龟子（蛴螬成虫）等害虫，自田间出现开始，采用生物防治措施，优先选用苏云金杆菌、球孢白僵菌、甘蓝夜蛾核型多角体病毒、金龟子绿僵菌等生物制剂进行喷施防治；三是在田间斜纹夜蛾、玉米螟、草地贪夜蛾、桃蛀螟、蚜虫、红蜘蛛等害虫发生密度较大时，选用四氯虫酰胺、甲氨基阿维菌素苯甲酸盐、乙基多杀菌素、茚虫威等杀虫剂喷雾防治，根据玉米、大豆叶斑类病害、锈病等病害发生情况，选用吡唑醚菌酯、戊唑醇等杀菌剂喷雾防治。</w:t>
      </w:r>
    </w:p>
    <w:p w14:paraId="03DA166D">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开花—成熟期是大豆保荚、玉米保穗的关键时期。在前期防控的基础上，根据玉米大小斑病、锈病、钻蛀性害虫，大豆锈病、豆荚螟、粘虫、大豆食心虫、斜纹夜蛾、点蜂缘蝽等发生情况，针对性选用枯草芽胞杆菌、井冈霉素A、苯醚甲环唑、丙环•嘧菌酯等杀菌剂和氯虫苯甲酰胺、高效氯氟氰菊酯、阿维菌素、溴氰菊酯或者含有噻虫嗪成分的杀虫剂喷施，兼治玉米、大豆病虫害。</w:t>
      </w:r>
    </w:p>
    <w:p w14:paraId="33FD7482">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（九）收获方法。</w:t>
      </w:r>
      <w:r>
        <w:rPr>
          <w:rFonts w:hint="eastAsia" w:ascii="方正仿宋_GBK" w:hAnsi="方正仿宋_GBK" w:eastAsia="方正仿宋_GBK" w:cs="方正仿宋_GBK"/>
          <w:b w:val="0"/>
          <w:bCs w:val="0"/>
          <w:color w:val="auto"/>
          <w:sz w:val="32"/>
          <w:szCs w:val="32"/>
          <w:lang w:val="en-US" w:eastAsia="zh-CN"/>
        </w:rPr>
        <w:t>大豆玉米带状复合种植收获方法包括先收玉米后收大豆、先收大豆后收玉米、玉米大豆同步收获等多种收获方式，各地区根据大豆玉米行比配置模式选择适宜的收获机和收获方法。</w:t>
      </w:r>
    </w:p>
    <w:p w14:paraId="6478B731">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人工收获：玉米在籽粒乳线消失，籽粒基部与穗轴的连接处出现“黑粉层”，达到完熟时即可收获；大豆在田间叶片脱落，豆荚呈现黄色或黑色，手摇植株籽粒发响，达到完熟时即可收获。机械收获：先收玉米，玉米成熟后选择割辐宽度不超过1.6米的两行自走式玉米收获机先收获玉米果穗或籽粒，大豆成熟后再用当地常规机具收获大豆籽粒；先收大豆，大豆成熟后选择割辐宽度不超过1.8米的窄幅履带式大豆收获机先收获大豆籽粒，玉米成熟后</w:t>
      </w:r>
      <w:bookmarkStart w:id="7" w:name="_Hlk153972694"/>
      <w:r>
        <w:rPr>
          <w:rFonts w:hint="eastAsia" w:ascii="方正仿宋_GBK" w:hAnsi="方正仿宋_GBK" w:eastAsia="方正仿宋_GBK" w:cs="方正仿宋_GBK"/>
          <w:b w:val="0"/>
          <w:bCs w:val="0"/>
          <w:color w:val="auto"/>
          <w:sz w:val="32"/>
          <w:szCs w:val="32"/>
          <w:lang w:val="en-US" w:eastAsia="zh-CN"/>
        </w:rPr>
        <w:t>再用当地常规机具收获玉米果穗或籽粒</w:t>
      </w:r>
      <w:bookmarkEnd w:id="7"/>
      <w:r>
        <w:rPr>
          <w:rFonts w:hint="eastAsia" w:ascii="方正仿宋_GBK" w:hAnsi="方正仿宋_GBK" w:eastAsia="方正仿宋_GBK" w:cs="方正仿宋_GBK"/>
          <w:b w:val="0"/>
          <w:bCs w:val="0"/>
          <w:color w:val="auto"/>
          <w:sz w:val="32"/>
          <w:szCs w:val="32"/>
          <w:lang w:val="en-US" w:eastAsia="zh-CN"/>
        </w:rPr>
        <w:t>；</w:t>
      </w:r>
      <w:bookmarkStart w:id="8" w:name="_Hlk153973110"/>
      <w:r>
        <w:rPr>
          <w:rFonts w:hint="eastAsia" w:ascii="方正仿宋_GBK" w:hAnsi="方正仿宋_GBK" w:eastAsia="方正仿宋_GBK" w:cs="方正仿宋_GBK"/>
          <w:b w:val="0"/>
          <w:bCs w:val="0"/>
          <w:color w:val="auto"/>
          <w:sz w:val="32"/>
          <w:szCs w:val="32"/>
          <w:lang w:val="en-US" w:eastAsia="zh-CN"/>
        </w:rPr>
        <w:t>如大豆玉米同时成熟，可选用当地常用的玉米收获机和大豆收获机采用前后布局的方式进行同步跟随收获</w:t>
      </w:r>
      <w:bookmarkEnd w:id="8"/>
      <w:r>
        <w:rPr>
          <w:rFonts w:hint="eastAsia" w:ascii="方正仿宋_GBK" w:hAnsi="方正仿宋_GBK" w:eastAsia="方正仿宋_GBK" w:cs="方正仿宋_GBK"/>
          <w:b w:val="0"/>
          <w:bCs w:val="0"/>
          <w:color w:val="auto"/>
          <w:sz w:val="32"/>
          <w:szCs w:val="32"/>
          <w:lang w:val="en-US" w:eastAsia="zh-CN"/>
        </w:rPr>
        <w:t>。</w:t>
      </w:r>
    </w:p>
    <w:tbl>
      <w:tblPr>
        <w:tblStyle w:val="10"/>
        <w:tblW w:w="90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0"/>
        <w:gridCol w:w="4531"/>
      </w:tblGrid>
      <w:tr w14:paraId="469DA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0" w:type="dxa"/>
            <w:tcBorders>
              <w:tl2br w:val="nil"/>
              <w:tr2bl w:val="nil"/>
            </w:tcBorders>
            <w:noWrap w:val="0"/>
            <w:vAlign w:val="top"/>
          </w:tcPr>
          <w:p w14:paraId="30ADB7A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方正仿宋_GBK" w:hAnsi="方正仿宋_GBK" w:eastAsia="方正仿宋_GBK" w:cs="方正仿宋_GBK"/>
                <w:b w:val="0"/>
                <w:bCs w:val="0"/>
                <w:color w:val="auto"/>
                <w:sz w:val="32"/>
                <w:szCs w:val="32"/>
                <w:vertAlign w:val="baseline"/>
                <w:lang w:val="en-US" w:eastAsia="zh-CN"/>
              </w:rPr>
            </w:pPr>
            <w:r>
              <w:drawing>
                <wp:inline distT="0" distB="0" distL="114300" distR="114300">
                  <wp:extent cx="2651760" cy="1984375"/>
                  <wp:effectExtent l="0" t="0" r="15240" b="1587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20"/>
                          <a:stretch>
                            <a:fillRect/>
                          </a:stretch>
                        </pic:blipFill>
                        <pic:spPr>
                          <a:xfrm>
                            <a:off x="0" y="0"/>
                            <a:ext cx="2651760" cy="1984375"/>
                          </a:xfrm>
                          <a:prstGeom prst="rect">
                            <a:avLst/>
                          </a:prstGeom>
                          <a:noFill/>
                          <a:ln>
                            <a:noFill/>
                          </a:ln>
                        </pic:spPr>
                      </pic:pic>
                    </a:graphicData>
                  </a:graphic>
                </wp:inline>
              </w:drawing>
            </w:r>
          </w:p>
        </w:tc>
        <w:tc>
          <w:tcPr>
            <w:tcW w:w="4531" w:type="dxa"/>
            <w:tcBorders>
              <w:tl2br w:val="nil"/>
              <w:tr2bl w:val="nil"/>
            </w:tcBorders>
            <w:noWrap w:val="0"/>
            <w:vAlign w:val="top"/>
          </w:tcPr>
          <w:p w14:paraId="11CD39A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方正仿宋_GBK" w:hAnsi="方正仿宋_GBK" w:eastAsia="方正仿宋_GBK" w:cs="方正仿宋_GBK"/>
                <w:b w:val="0"/>
                <w:bCs w:val="0"/>
                <w:color w:val="auto"/>
                <w:sz w:val="32"/>
                <w:szCs w:val="32"/>
                <w:vertAlign w:val="baseline"/>
                <w:lang w:val="en-US" w:eastAsia="zh-CN"/>
              </w:rPr>
            </w:pPr>
            <w:r>
              <w:drawing>
                <wp:inline distT="0" distB="0" distL="114300" distR="114300">
                  <wp:extent cx="2660650" cy="2004060"/>
                  <wp:effectExtent l="0" t="0" r="6350" b="1524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1"/>
                          <a:stretch>
                            <a:fillRect/>
                          </a:stretch>
                        </pic:blipFill>
                        <pic:spPr>
                          <a:xfrm>
                            <a:off x="0" y="0"/>
                            <a:ext cx="2660650" cy="2004060"/>
                          </a:xfrm>
                          <a:prstGeom prst="rect">
                            <a:avLst/>
                          </a:prstGeom>
                          <a:noFill/>
                          <a:ln>
                            <a:noFill/>
                          </a:ln>
                        </pic:spPr>
                      </pic:pic>
                    </a:graphicData>
                  </a:graphic>
                </wp:inline>
              </w:drawing>
            </w:r>
          </w:p>
        </w:tc>
      </w:tr>
      <w:tr w14:paraId="150FD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0" w:type="dxa"/>
            <w:tcBorders>
              <w:tl2br w:val="nil"/>
              <w:tr2bl w:val="nil"/>
            </w:tcBorders>
            <w:noWrap w:val="0"/>
            <w:vAlign w:val="top"/>
          </w:tcPr>
          <w:p w14:paraId="7E93F31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b w:val="0"/>
                <w:bCs w:val="0"/>
                <w:kern w:val="2"/>
                <w:sz w:val="28"/>
                <w:szCs w:val="28"/>
                <w:lang w:val="en-US" w:eastAsia="zh-CN" w:bidi="ar-SA"/>
              </w:rPr>
              <w:t>图5 大豆人工收获后机械脱粒</w:t>
            </w:r>
          </w:p>
        </w:tc>
        <w:tc>
          <w:tcPr>
            <w:tcW w:w="4531" w:type="dxa"/>
            <w:tcBorders>
              <w:tl2br w:val="nil"/>
              <w:tr2bl w:val="nil"/>
            </w:tcBorders>
            <w:noWrap w:val="0"/>
            <w:vAlign w:val="top"/>
          </w:tcPr>
          <w:p w14:paraId="56A1EC0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b w:val="0"/>
                <w:bCs w:val="0"/>
                <w:kern w:val="2"/>
                <w:sz w:val="28"/>
                <w:szCs w:val="28"/>
                <w:lang w:val="en-US" w:eastAsia="zh-CN" w:bidi="ar-SA"/>
              </w:rPr>
              <w:t>图6 玉米机收</w:t>
            </w:r>
          </w:p>
        </w:tc>
      </w:tr>
    </w:tbl>
    <w:p w14:paraId="2F260C95">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黑体_GBK" w:cs="方正仿宋_GBK"/>
          <w:b w:val="0"/>
          <w:bCs w:val="0"/>
          <w:color w:val="000000"/>
          <w:sz w:val="32"/>
          <w:szCs w:val="32"/>
          <w:lang w:val="en-US" w:eastAsia="zh-CN"/>
        </w:rPr>
        <w:t>三、适宜区域</w:t>
      </w:r>
    </w:p>
    <w:p w14:paraId="2DBEFF10">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本技术在全市区域内均可大面积应用。</w:t>
      </w:r>
    </w:p>
    <w:p w14:paraId="00985C6A">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黑体_GBK" w:cs="方正仿宋_GBK"/>
          <w:b w:val="0"/>
          <w:bCs w:val="0"/>
          <w:color w:val="000000"/>
          <w:sz w:val="32"/>
          <w:szCs w:val="32"/>
          <w:lang w:val="en-US" w:eastAsia="zh-CN"/>
        </w:rPr>
        <w:t>四、注意事项</w:t>
      </w:r>
    </w:p>
    <w:p w14:paraId="0CB03496">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播种前需调试播种机的开沟深度、用种量、用肥量，确保一播全苗；玉米施肥量要根据单作单株需肥量来确定，确保肥料施足，如果封闭除草效果不佳，应及时采取茎叶除草，注意使用物理隔帘定向喷雾；玉米在6—8展叶期，大豆在分枝期和初花期分别喷施控旺剂，防止旺长。</w:t>
      </w:r>
    </w:p>
    <w:p w14:paraId="537B6202">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bookmarkStart w:id="9" w:name="_Hlk178440578"/>
      <w:r>
        <w:rPr>
          <w:rFonts w:hint="eastAsia" w:ascii="方正仿宋_GBK" w:hAnsi="方正仿宋_GBK" w:eastAsia="方正黑体_GBK" w:cs="方正仿宋_GBK"/>
          <w:b w:val="0"/>
          <w:bCs w:val="0"/>
          <w:color w:val="000000"/>
          <w:sz w:val="32"/>
          <w:szCs w:val="32"/>
          <w:lang w:val="en-US" w:eastAsia="zh-CN"/>
        </w:rPr>
        <w:t>五、技术依托单位</w:t>
      </w:r>
      <w:bookmarkEnd w:id="9"/>
    </w:p>
    <w:p w14:paraId="1101F67C">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（一）重庆市农业技术推广总站</w:t>
      </w:r>
    </w:p>
    <w:p w14:paraId="60CF44BF">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联系地址：重庆市两江新区黄山大道186号</w:t>
      </w:r>
    </w:p>
    <w:p w14:paraId="1155DE80">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邮政编码：401121</w:t>
      </w:r>
    </w:p>
    <w:p w14:paraId="7BFDFBDF">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联 系 人：易靖  张颖韬  方立魁</w:t>
      </w:r>
    </w:p>
    <w:p w14:paraId="77C10518">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联系电话：13708382324</w:t>
      </w:r>
    </w:p>
    <w:p w14:paraId="77362F8B">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电子邮箱：1242938047@qq.com</w:t>
      </w:r>
    </w:p>
    <w:p w14:paraId="01F3B4EC">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（二）四川农业大学</w:t>
      </w:r>
    </w:p>
    <w:p w14:paraId="3A5E5298">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联系地址：四川省成都市温江区公平惠民路211号</w:t>
      </w:r>
    </w:p>
    <w:p w14:paraId="589F3E16">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邮政编码：611130</w:t>
      </w:r>
    </w:p>
    <w:p w14:paraId="65920527">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联 系 人：雍太文  王小春  吴雨珊</w:t>
      </w:r>
    </w:p>
    <w:p w14:paraId="6AF10396">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联系电话：13980173140</w:t>
      </w:r>
    </w:p>
    <w:p w14:paraId="26164164">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电子邮箱：</w:t>
      </w:r>
      <w:r>
        <w:rPr>
          <w:rFonts w:hint="eastAsia" w:ascii="方正仿宋_GBK" w:hAnsi="方正仿宋_GBK" w:eastAsia="方正仿宋_GBK" w:cs="方正仿宋_GBK"/>
          <w:b w:val="0"/>
          <w:bCs w:val="0"/>
          <w:color w:val="auto"/>
          <w:sz w:val="32"/>
          <w:szCs w:val="32"/>
          <w:lang w:val="en-US" w:eastAsia="zh-CN"/>
        </w:rPr>
        <w:fldChar w:fldCharType="begin"/>
      </w:r>
      <w:r>
        <w:rPr>
          <w:rFonts w:hint="eastAsia" w:ascii="方正仿宋_GBK" w:hAnsi="方正仿宋_GBK" w:eastAsia="方正仿宋_GBK" w:cs="方正仿宋_GBK"/>
          <w:b w:val="0"/>
          <w:bCs w:val="0"/>
          <w:color w:val="auto"/>
          <w:sz w:val="32"/>
          <w:szCs w:val="32"/>
          <w:lang w:val="en-US" w:eastAsia="zh-CN"/>
        </w:rPr>
        <w:instrText xml:space="preserve"> HYPERLINK "mailto:scndytw@qq.com" </w:instrText>
      </w:r>
      <w:r>
        <w:rPr>
          <w:rFonts w:hint="eastAsia" w:ascii="方正仿宋_GBK" w:hAnsi="方正仿宋_GBK" w:eastAsia="方正仿宋_GBK" w:cs="方正仿宋_GBK"/>
          <w:b w:val="0"/>
          <w:bCs w:val="0"/>
          <w:color w:val="auto"/>
          <w:sz w:val="32"/>
          <w:szCs w:val="32"/>
          <w:lang w:val="en-US" w:eastAsia="zh-CN"/>
        </w:rPr>
        <w:fldChar w:fldCharType="separate"/>
      </w:r>
      <w:r>
        <w:rPr>
          <w:rFonts w:hint="eastAsia" w:ascii="方正仿宋_GBK" w:hAnsi="方正仿宋_GBK" w:eastAsia="方正仿宋_GBK" w:cs="方正仿宋_GBK"/>
          <w:b w:val="0"/>
          <w:bCs w:val="0"/>
          <w:color w:val="auto"/>
          <w:sz w:val="32"/>
          <w:szCs w:val="32"/>
          <w:lang w:val="en-US" w:eastAsia="zh-CN"/>
        </w:rPr>
        <w:t>scndytw@qq.com</w:t>
      </w:r>
      <w:r>
        <w:rPr>
          <w:rFonts w:hint="eastAsia" w:ascii="方正仿宋_GBK" w:hAnsi="方正仿宋_GBK" w:eastAsia="方正仿宋_GBK" w:cs="方正仿宋_GBK"/>
          <w:b w:val="0"/>
          <w:bCs w:val="0"/>
          <w:color w:val="auto"/>
          <w:sz w:val="32"/>
          <w:szCs w:val="32"/>
          <w:lang w:val="en-US" w:eastAsia="zh-CN"/>
        </w:rPr>
        <w:fldChar w:fldCharType="end"/>
      </w:r>
    </w:p>
    <w:p w14:paraId="0311D628">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（三）重庆市农业科学院</w:t>
      </w:r>
    </w:p>
    <w:p w14:paraId="01FD97E2">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联系地址：重庆市九龙坡区白市驿镇农科大道</w:t>
      </w:r>
    </w:p>
    <w:p w14:paraId="393E12CB">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邮政编码：401329</w:t>
      </w:r>
    </w:p>
    <w:p w14:paraId="55A3D78C">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联 系 人：柯剑鸿  田红琳  易红华‌</w:t>
      </w:r>
    </w:p>
    <w:p w14:paraId="1DB3A8C0">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联系电话：18983692513</w:t>
      </w:r>
    </w:p>
    <w:p w14:paraId="7C63673A">
      <w:pPr>
        <w:keepNext w:val="0"/>
        <w:keepLines w:val="0"/>
        <w:pageBreakBefore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rtlGutter w:val="0"/>
          <w:docGrid w:type="lines" w:linePitch="579" w:charSpace="0"/>
        </w:sectPr>
      </w:pPr>
      <w:r>
        <w:rPr>
          <w:rFonts w:hint="eastAsia" w:ascii="方正仿宋_GBK" w:hAnsi="方正仿宋_GBK" w:eastAsia="方正仿宋_GBK" w:cs="方正仿宋_GBK"/>
          <w:b w:val="0"/>
          <w:bCs w:val="0"/>
          <w:color w:val="auto"/>
          <w:sz w:val="32"/>
          <w:szCs w:val="32"/>
          <w:lang w:val="en-US" w:eastAsia="zh-CN"/>
        </w:rPr>
        <w:t>电子邮箱：403288290@qq.com</w:t>
      </w:r>
    </w:p>
    <w:p w14:paraId="36AC9368">
      <w:pPr>
        <w:pStyle w:val="3"/>
        <w:bidi w:val="0"/>
        <w:rPr>
          <w:rFonts w:hint="eastAsia"/>
        </w:rPr>
      </w:pPr>
      <w:r>
        <w:rPr>
          <w:rFonts w:hint="eastAsia"/>
          <w:lang w:val="en-US" w:eastAsia="zh-CN"/>
        </w:rPr>
        <w:t>4.香型</w:t>
      </w:r>
      <w:r>
        <w:rPr>
          <w:rFonts w:hint="eastAsia"/>
        </w:rPr>
        <w:t>优质稻保优稳香栽培技术</w:t>
      </w:r>
    </w:p>
    <w:p w14:paraId="2F015F84">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p>
    <w:p w14:paraId="4D5A00F2">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rPr>
      </w:pPr>
      <w:r>
        <w:rPr>
          <w:rFonts w:hint="eastAsia" w:ascii="方正仿宋_GBK" w:hAnsi="方正仿宋_GBK" w:eastAsia="方正黑体_GBK" w:cs="方正仿宋_GBK"/>
          <w:b w:val="0"/>
          <w:bCs w:val="0"/>
          <w:color w:val="auto"/>
          <w:sz w:val="32"/>
          <w:szCs w:val="32"/>
          <w:lang w:val="en-US" w:eastAsia="zh-CN"/>
        </w:rPr>
        <w:t>摘要：</w:t>
      </w:r>
      <w:r>
        <w:rPr>
          <w:rFonts w:hint="eastAsia" w:ascii="方正仿宋_GBK" w:hAnsi="方正仿宋_GBK" w:eastAsia="方正仿宋_GBK" w:cs="方正仿宋_GBK"/>
          <w:b w:val="0"/>
          <w:bCs w:val="0"/>
          <w:color w:val="333333"/>
          <w:sz w:val="32"/>
          <w:szCs w:val="32"/>
          <w:lang w:val="en-US" w:eastAsia="zh-CN"/>
        </w:rPr>
        <w:t>本技术针对我市</w:t>
      </w:r>
      <w:r>
        <w:rPr>
          <w:rFonts w:hint="eastAsia" w:ascii="方正仿宋_GBK" w:hAnsi="方正仿宋_GBK" w:eastAsia="方正仿宋_GBK" w:cs="方正仿宋_GBK"/>
          <w:b w:val="0"/>
          <w:bCs w:val="0"/>
          <w:color w:val="333333"/>
          <w:sz w:val="32"/>
          <w:szCs w:val="32"/>
        </w:rPr>
        <w:t>香型高食味品质品种缺乏，香气不浓、食味</w:t>
      </w:r>
      <w:r>
        <w:rPr>
          <w:rFonts w:hint="eastAsia" w:ascii="方正仿宋_GBK" w:hAnsi="方正仿宋_GBK" w:eastAsia="方正仿宋_GBK" w:cs="方正仿宋_GBK"/>
          <w:b w:val="0"/>
          <w:bCs w:val="0"/>
          <w:color w:val="333333"/>
          <w:sz w:val="32"/>
          <w:szCs w:val="32"/>
          <w:lang w:val="en-US" w:eastAsia="zh-CN"/>
        </w:rPr>
        <w:t>不佳</w:t>
      </w:r>
      <w:r>
        <w:rPr>
          <w:rFonts w:hint="eastAsia" w:ascii="方正仿宋_GBK" w:hAnsi="方正仿宋_GBK" w:eastAsia="方正仿宋_GBK" w:cs="方正仿宋_GBK"/>
          <w:b w:val="0"/>
          <w:bCs w:val="0"/>
          <w:color w:val="333333"/>
          <w:sz w:val="32"/>
          <w:szCs w:val="32"/>
        </w:rPr>
        <w:t>；在同一地区，使用同一香型优质稻品种，连续种植时，香气和食味值明显下降</w:t>
      </w:r>
      <w:r>
        <w:rPr>
          <w:rFonts w:hint="eastAsia" w:ascii="方正仿宋_GBK" w:hAnsi="方正仿宋_GBK" w:eastAsia="方正仿宋_GBK" w:cs="方正仿宋_GBK"/>
          <w:b w:val="0"/>
          <w:bCs w:val="0"/>
          <w:color w:val="333333"/>
          <w:sz w:val="32"/>
          <w:szCs w:val="32"/>
          <w:lang w:eastAsia="zh-CN"/>
        </w:rPr>
        <w:t>，</w:t>
      </w:r>
      <w:r>
        <w:rPr>
          <w:rFonts w:hint="eastAsia" w:ascii="方正仿宋_GBK" w:hAnsi="方正仿宋_GBK" w:eastAsia="方正仿宋_GBK" w:cs="方正仿宋_GBK"/>
          <w:b w:val="0"/>
          <w:bCs w:val="0"/>
          <w:color w:val="333333"/>
          <w:sz w:val="32"/>
          <w:szCs w:val="32"/>
          <w:lang w:val="en-US" w:eastAsia="zh-CN"/>
        </w:rPr>
        <w:t>总体品质不稳不利于品牌打造难题</w:t>
      </w:r>
      <w:r>
        <w:rPr>
          <w:rFonts w:hint="eastAsia" w:ascii="方正仿宋_GBK" w:hAnsi="方正仿宋_GBK" w:eastAsia="方正仿宋_GBK" w:cs="方正仿宋_GBK"/>
          <w:b w:val="0"/>
          <w:bCs w:val="0"/>
          <w:color w:val="333333"/>
          <w:sz w:val="32"/>
          <w:szCs w:val="32"/>
        </w:rPr>
        <w:t>。</w:t>
      </w:r>
      <w:r>
        <w:rPr>
          <w:rFonts w:hint="eastAsia" w:ascii="方正仿宋_GBK" w:hAnsi="方正仿宋_GBK" w:eastAsia="方正仿宋_GBK" w:cs="方正仿宋_GBK"/>
          <w:b w:val="0"/>
          <w:bCs w:val="0"/>
          <w:color w:val="333333"/>
          <w:sz w:val="32"/>
          <w:szCs w:val="32"/>
          <w:lang w:val="en-US" w:eastAsia="zh-CN"/>
        </w:rPr>
        <w:t>以</w:t>
      </w:r>
      <w:r>
        <w:rPr>
          <w:rFonts w:hint="eastAsia" w:ascii="方正仿宋_GBK" w:hAnsi="方正仿宋_GBK" w:eastAsia="方正仿宋_GBK" w:cs="方正仿宋_GBK"/>
          <w:b w:val="0"/>
          <w:bCs w:val="0"/>
          <w:color w:val="333333"/>
          <w:sz w:val="32"/>
          <w:szCs w:val="32"/>
        </w:rPr>
        <w:t>优选香型优质稻品种；增窝增苗增产；肥水科学运筹保优稳香</w:t>
      </w:r>
      <w:r>
        <w:rPr>
          <w:rFonts w:hint="eastAsia" w:ascii="方正仿宋_GBK" w:hAnsi="方正仿宋_GBK" w:eastAsia="方正仿宋_GBK" w:cs="方正仿宋_GBK"/>
          <w:b w:val="0"/>
          <w:bCs w:val="0"/>
          <w:color w:val="333333"/>
          <w:sz w:val="32"/>
          <w:szCs w:val="32"/>
          <w:lang w:val="en-US" w:eastAsia="zh-CN"/>
        </w:rPr>
        <w:t>为技术核心集成</w:t>
      </w:r>
      <w:r>
        <w:rPr>
          <w:rFonts w:hint="eastAsia" w:ascii="方正仿宋_GBK" w:hAnsi="方正仿宋_GBK" w:eastAsia="方正仿宋_GBK" w:cs="方正仿宋_GBK"/>
          <w:b w:val="0"/>
          <w:bCs w:val="0"/>
          <w:color w:val="333333"/>
          <w:sz w:val="32"/>
          <w:szCs w:val="32"/>
        </w:rPr>
        <w:t>香型优质稻保优稳香栽培技术</w:t>
      </w:r>
      <w:r>
        <w:rPr>
          <w:rFonts w:hint="eastAsia" w:ascii="方正仿宋_GBK" w:hAnsi="方正仿宋_GBK" w:eastAsia="方正仿宋_GBK" w:cs="方正仿宋_GBK"/>
          <w:b w:val="0"/>
          <w:bCs w:val="0"/>
          <w:color w:val="333333"/>
          <w:sz w:val="32"/>
          <w:szCs w:val="32"/>
          <w:lang w:eastAsia="zh-CN"/>
        </w:rPr>
        <w:t>，</w:t>
      </w:r>
      <w:r>
        <w:rPr>
          <w:rFonts w:hint="eastAsia" w:ascii="方正仿宋_GBK" w:hAnsi="方正仿宋_GBK" w:eastAsia="方正仿宋_GBK" w:cs="方正仿宋_GBK"/>
          <w:b w:val="0"/>
          <w:bCs w:val="0"/>
          <w:color w:val="333333"/>
          <w:sz w:val="32"/>
          <w:szCs w:val="32"/>
          <w:u w:val="none"/>
          <w:lang w:val="en-US" w:eastAsia="zh-CN"/>
        </w:rPr>
        <w:t>具有</w:t>
      </w:r>
      <w:r>
        <w:rPr>
          <w:rFonts w:hint="eastAsia" w:ascii="方正仿宋_GBK" w:hAnsi="方正仿宋_GBK" w:eastAsia="方正仿宋_GBK" w:cs="方正仿宋_GBK"/>
          <w:b w:val="0"/>
          <w:bCs w:val="0"/>
          <w:color w:val="333333"/>
          <w:sz w:val="32"/>
          <w:szCs w:val="32"/>
          <w:u w:val="none"/>
        </w:rPr>
        <w:t>增香机理清晰，增窝增苗增产显著，保优提质效果突出</w:t>
      </w:r>
      <w:r>
        <w:rPr>
          <w:rFonts w:hint="eastAsia" w:ascii="方正仿宋_GBK" w:hAnsi="方正仿宋_GBK" w:eastAsia="方正仿宋_GBK" w:cs="方正仿宋_GBK"/>
          <w:b w:val="0"/>
          <w:bCs w:val="0"/>
          <w:color w:val="333333"/>
          <w:sz w:val="32"/>
          <w:szCs w:val="32"/>
          <w:u w:val="none"/>
          <w:lang w:val="en-US" w:eastAsia="zh-CN"/>
        </w:rPr>
        <w:t>特点</w:t>
      </w:r>
      <w:r>
        <w:rPr>
          <w:rFonts w:hint="eastAsia" w:ascii="方正仿宋_GBK" w:hAnsi="方正仿宋_GBK" w:eastAsia="方正仿宋_GBK" w:cs="方正仿宋_GBK"/>
          <w:b w:val="0"/>
          <w:bCs w:val="0"/>
          <w:color w:val="333333"/>
          <w:sz w:val="32"/>
          <w:szCs w:val="32"/>
          <w:u w:val="none"/>
        </w:rPr>
        <w:t>。</w:t>
      </w:r>
      <w:r>
        <w:rPr>
          <w:rFonts w:hint="eastAsia" w:ascii="方正仿宋_GBK" w:hAnsi="方正仿宋_GBK" w:eastAsia="方正仿宋_GBK" w:cs="方正仿宋_GBK"/>
          <w:b w:val="0"/>
          <w:bCs w:val="0"/>
          <w:color w:val="333333"/>
          <w:sz w:val="32"/>
          <w:szCs w:val="32"/>
          <w:lang w:val="en-US" w:eastAsia="zh-CN"/>
        </w:rPr>
        <w:t>2022年重庆市引领技术，2023年-2025年重庆市主推技术。在开州、万州、梁平、酉阳、南川等优质稻基地推广应用，取得显著成效，打造了稷匠香禾重庆香米、三峡贡米等品牌。</w:t>
      </w:r>
    </w:p>
    <w:p w14:paraId="324F9908">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一、技术概述</w:t>
      </w:r>
    </w:p>
    <w:p w14:paraId="1E0414DA">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楷体_GBK" w:cs="方正仿宋_GBK"/>
          <w:b w:val="0"/>
          <w:bCs w:val="0"/>
          <w:color w:val="000000"/>
          <w:sz w:val="32"/>
          <w:szCs w:val="32"/>
          <w:lang w:eastAsia="zh-CN"/>
        </w:rPr>
        <w:t>（一）背景情况</w:t>
      </w:r>
    </w:p>
    <w:p w14:paraId="3741A34F">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香稻是水稻中的珍品，具有独特的香味和优良品质。其中的泰国香米是泰国主要出口创汇的农产品之一。我国香稻种植历史悠久，近年来也先后选育出一批香稻品种，为发展香稻提供了坚实的品种基础。水稻是重庆市第一大粮食作物，种植面积在1000万亩左右。其中倒置低山区和中高海拔区域昼夜温差大、伏旱发生频率低，土壤、灌溉水、大气清洁是重庆的优质稻产区，南川头渡、万州太安等33个贡米之乡是其中的核心区域。贡米之乡的气候和土壤环境条件非常适宜香稻的生产，在历史上，忠县梅坝贡米、秀山涌洞贡米等贡米均有“一家煮饭，四邻香”的美誉。近年来，我市启动了贡米产业振兴行动，大力发展中高端优质米，取得了一些成效，但是与“五常稻花香”“江西万年贡米”等国内知名贡米相比依然存在贡米品质特征不突出、品牌打造基础弱等问题。其中香型高食味品质品种缺乏，香气不如泰国香米浓、食味不如五常稻花香好；在同一地区，使用同一香型优质稻品种，连续种植时，香气和食味值明显下降。为此重庆市农业技术推广总站引进华南农业大学香稻增香栽培技术，并根据重庆优质稻生产实际创新集成为“香型优质稻保优稳香栽培技术”。</w:t>
      </w:r>
    </w:p>
    <w:p w14:paraId="6F346A11">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（二）推广应用情况</w:t>
      </w:r>
    </w:p>
    <w:p w14:paraId="3044844C">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2021年至2025年，该技术在重庆市开州区、南川区、梁平区、石柱县、酉阳县等优质稻产区累计示范5万亩以上。其中2021开州大德镇、南川河图镇建设“香型优质稻保优稳香栽培技术”示范片4个，分别选用了香型优质稻丰优香占、宜香优2115、神农优228，建设示范片4个，面积400亩。经专家田间实收测产，开州示范田平均亩产658.25公斤，较对照增产15.4%。南川示范田平均亩产654.47公斤，较对照增产14.9%。示范达到了增产提质的效果。2025年该技术依托“重庆市现代农业技术体系水稻创新团队”“主要粮油作物大面积单产提升市县乡三级示范片建设”“第六批重庆市专家服务团项目”在开州、万州、酉阳、秀山、綦江等优质稻核心产地开展了本地化的技术指标优化和集成示范取得了获得种植业主的一致好评。其中秀山县涌洞镇优质香稻保优稳香示范片平均亩产422.45公斤比同田对照345.29公斤增77.16公斤增22.35%，比当地大面积种植336.09公斤增86.36公斤增25.7%，助力涌洞贡米提档升级增产提质。</w:t>
      </w:r>
    </w:p>
    <w:p w14:paraId="1E35A86D">
      <w:pPr>
        <w:keepNext w:val="0"/>
        <w:keepLines w:val="0"/>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楷体_GBK" w:cs="方正仿宋_GBK"/>
          <w:b w:val="0"/>
          <w:bCs w:val="0"/>
          <w:color w:val="000000"/>
          <w:sz w:val="32"/>
          <w:szCs w:val="32"/>
          <w:lang w:eastAsia="zh-CN"/>
        </w:rPr>
        <w:t>（三）技术效果</w:t>
      </w:r>
    </w:p>
    <w:p w14:paraId="7B8A2216">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2023年重庆市农业农村委组织专家对开州区“香型优质稻保优稳香栽培技术”示范片进行了实收测产。示范片100亩常规香稻南晶香占平均亩产524.6公斤，产地价按4.00元/公斤计算，亩产值2098.40元。当地普通品种常规栽培平均亩产587.5公斤，产地价3.00元/公斤，亩产值1762.50元，示范片亩产值增加335.9元，示范技术增收效果明显。以此为原粮加工的中高端优质米“稷匠香禾”重庆香米，12元/公斤，受到消费者认可。在梁平区蟠龙镇示范应用该技术打造的冷沙寒香米获得了“三峡杯重庆好吃香米称号”。该技术的推广应用也为开州、万州、酉阳、秀山等贡米产地构建了良种、良法配套，增产提质协同的优质稻发展技术路径。</w:t>
      </w:r>
    </w:p>
    <w:tbl>
      <w:tblPr>
        <w:tblStyle w:val="10"/>
        <w:tblW w:w="90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44"/>
        <w:gridCol w:w="4417"/>
      </w:tblGrid>
      <w:tr w14:paraId="28772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Borders>
              <w:tl2br w:val="nil"/>
              <w:tr2bl w:val="nil"/>
            </w:tcBorders>
            <w:noWrap w:val="0"/>
            <w:vAlign w:val="top"/>
          </w:tcPr>
          <w:p w14:paraId="6B79237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firstLine="0" w:firstLineChars="0"/>
              <w:jc w:val="center"/>
              <w:textAlignment w:val="auto"/>
              <w:rPr>
                <w:rFonts w:hint="eastAsia" w:ascii="方正仿宋_GBK" w:hAnsi="方正仿宋_GBK" w:eastAsia="方正仿宋_GBK" w:cs="方正仿宋_GBK"/>
                <w:b w:val="0"/>
                <w:bCs w:val="0"/>
                <w:color w:val="333333"/>
                <w:sz w:val="32"/>
                <w:szCs w:val="32"/>
                <w:vertAlign w:val="baseline"/>
                <w:lang w:val="en-US" w:eastAsia="zh-CN"/>
              </w:rPr>
            </w:pPr>
            <w:r>
              <w:drawing>
                <wp:inline distT="0" distB="0" distL="114300" distR="114300">
                  <wp:extent cx="2886075" cy="2162175"/>
                  <wp:effectExtent l="0" t="0" r="9525" b="952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2"/>
                          <a:stretch>
                            <a:fillRect/>
                          </a:stretch>
                        </pic:blipFill>
                        <pic:spPr>
                          <a:xfrm>
                            <a:off x="0" y="0"/>
                            <a:ext cx="2886075" cy="2162175"/>
                          </a:xfrm>
                          <a:prstGeom prst="rect">
                            <a:avLst/>
                          </a:prstGeom>
                          <a:noFill/>
                          <a:ln>
                            <a:noFill/>
                          </a:ln>
                        </pic:spPr>
                      </pic:pic>
                    </a:graphicData>
                  </a:graphic>
                </wp:inline>
              </w:drawing>
            </w:r>
          </w:p>
        </w:tc>
        <w:tc>
          <w:tcPr>
            <w:tcW w:w="4417" w:type="dxa"/>
            <w:tcBorders>
              <w:tl2br w:val="nil"/>
              <w:tr2bl w:val="nil"/>
            </w:tcBorders>
            <w:noWrap w:val="0"/>
            <w:vAlign w:val="top"/>
          </w:tcPr>
          <w:p w14:paraId="1C3E70B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firstLine="0" w:firstLineChars="0"/>
              <w:jc w:val="center"/>
              <w:textAlignment w:val="auto"/>
              <w:rPr>
                <w:rFonts w:hint="eastAsia" w:ascii="方正仿宋_GBK" w:hAnsi="方正仿宋_GBK" w:eastAsia="方正仿宋_GBK" w:cs="方正仿宋_GBK"/>
                <w:b w:val="0"/>
                <w:bCs w:val="0"/>
                <w:color w:val="333333"/>
                <w:sz w:val="32"/>
                <w:szCs w:val="32"/>
                <w:vertAlign w:val="baseline"/>
                <w:lang w:val="en-US" w:eastAsia="zh-CN"/>
              </w:rPr>
            </w:pPr>
            <w:r>
              <w:drawing>
                <wp:inline distT="0" distB="0" distL="114300" distR="114300">
                  <wp:extent cx="2738755" cy="2051685"/>
                  <wp:effectExtent l="0" t="0" r="4445" b="5715"/>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23"/>
                          <a:stretch>
                            <a:fillRect/>
                          </a:stretch>
                        </pic:blipFill>
                        <pic:spPr>
                          <a:xfrm>
                            <a:off x="0" y="0"/>
                            <a:ext cx="2738755" cy="2051685"/>
                          </a:xfrm>
                          <a:prstGeom prst="rect">
                            <a:avLst/>
                          </a:prstGeom>
                          <a:noFill/>
                          <a:ln>
                            <a:noFill/>
                          </a:ln>
                        </pic:spPr>
                      </pic:pic>
                    </a:graphicData>
                  </a:graphic>
                </wp:inline>
              </w:drawing>
            </w:r>
          </w:p>
        </w:tc>
      </w:tr>
      <w:tr w14:paraId="73267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Borders>
              <w:tl2br w:val="nil"/>
              <w:tr2bl w:val="nil"/>
            </w:tcBorders>
            <w:noWrap w:val="0"/>
            <w:vAlign w:val="top"/>
          </w:tcPr>
          <w:p w14:paraId="3679DC5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333333"/>
                <w:sz w:val="28"/>
                <w:szCs w:val="28"/>
                <w:vertAlign w:val="baseline"/>
                <w:lang w:val="en-US" w:eastAsia="zh-CN"/>
              </w:rPr>
            </w:pPr>
            <w:r>
              <w:rPr>
                <w:rFonts w:hint="eastAsia" w:ascii="方正黑体_GBK" w:hAnsi="方正黑体_GBK" w:eastAsia="方正黑体_GBK" w:cs="方正黑体_GBK"/>
                <w:b w:val="0"/>
                <w:bCs w:val="0"/>
                <w:color w:val="333333"/>
                <w:kern w:val="2"/>
                <w:sz w:val="28"/>
                <w:szCs w:val="28"/>
                <w:lang w:val="en-US" w:eastAsia="zh-CN" w:bidi="ar-SA"/>
              </w:rPr>
              <w:t>图</w:t>
            </w:r>
            <w:r>
              <w:rPr>
                <w:rFonts w:hint="eastAsia" w:ascii="方正黑体_GBK" w:hAnsi="方正黑体_GBK" w:eastAsia="方正黑体_GBK" w:cs="方正黑体_GBK"/>
                <w:b w:val="0"/>
                <w:bCs w:val="0"/>
                <w:color w:val="333333"/>
                <w:kern w:val="2"/>
                <w:sz w:val="28"/>
                <w:szCs w:val="28"/>
                <w:lang w:val="en-US" w:eastAsia="zh-CN" w:bidi="ar-SA"/>
              </w:rPr>
              <w:fldChar w:fldCharType="begin"/>
            </w:r>
            <w:r>
              <w:rPr>
                <w:rFonts w:hint="eastAsia" w:ascii="方正黑体_GBK" w:hAnsi="方正黑体_GBK" w:eastAsia="方正黑体_GBK" w:cs="方正黑体_GBK"/>
                <w:b w:val="0"/>
                <w:bCs w:val="0"/>
                <w:color w:val="333333"/>
                <w:kern w:val="2"/>
                <w:sz w:val="28"/>
                <w:szCs w:val="28"/>
                <w:lang w:val="en-US" w:eastAsia="zh-CN" w:bidi="ar-SA"/>
              </w:rPr>
              <w:instrText xml:space="preserve"> SEQ 图 \* ARABIC </w:instrText>
            </w:r>
            <w:r>
              <w:rPr>
                <w:rFonts w:hint="eastAsia" w:ascii="方正黑体_GBK" w:hAnsi="方正黑体_GBK" w:eastAsia="方正黑体_GBK" w:cs="方正黑体_GBK"/>
                <w:b w:val="0"/>
                <w:bCs w:val="0"/>
                <w:color w:val="333333"/>
                <w:kern w:val="2"/>
                <w:sz w:val="28"/>
                <w:szCs w:val="28"/>
                <w:lang w:val="en-US" w:eastAsia="zh-CN" w:bidi="ar-SA"/>
              </w:rPr>
              <w:fldChar w:fldCharType="separate"/>
            </w:r>
            <w:r>
              <w:rPr>
                <w:rFonts w:hint="eastAsia" w:ascii="方正黑体_GBK" w:hAnsi="方正黑体_GBK" w:eastAsia="方正黑体_GBK" w:cs="方正黑体_GBK"/>
                <w:b w:val="0"/>
                <w:bCs w:val="0"/>
                <w:color w:val="333333"/>
                <w:kern w:val="2"/>
                <w:sz w:val="28"/>
                <w:szCs w:val="28"/>
                <w:lang w:val="en-US" w:eastAsia="zh-CN" w:bidi="ar-SA"/>
              </w:rPr>
              <w:t>1</w:t>
            </w:r>
            <w:r>
              <w:rPr>
                <w:rFonts w:hint="eastAsia" w:ascii="方正黑体_GBK" w:hAnsi="方正黑体_GBK" w:eastAsia="方正黑体_GBK" w:cs="方正黑体_GBK"/>
                <w:b w:val="0"/>
                <w:bCs w:val="0"/>
                <w:color w:val="333333"/>
                <w:kern w:val="2"/>
                <w:sz w:val="28"/>
                <w:szCs w:val="28"/>
                <w:lang w:val="en-US" w:eastAsia="zh-CN" w:bidi="ar-SA"/>
              </w:rPr>
              <w:fldChar w:fldCharType="end"/>
            </w:r>
            <w:r>
              <w:rPr>
                <w:rFonts w:hint="eastAsia" w:ascii="方正黑体_GBK" w:hAnsi="方正黑体_GBK" w:eastAsia="方正黑体_GBK" w:cs="方正黑体_GBK"/>
                <w:b w:val="0"/>
                <w:bCs w:val="0"/>
                <w:color w:val="333333"/>
                <w:kern w:val="2"/>
                <w:sz w:val="28"/>
                <w:szCs w:val="28"/>
                <w:lang w:val="en-US" w:eastAsia="zh-CN" w:bidi="ar-SA"/>
              </w:rPr>
              <w:t xml:space="preserve"> 2024年开州区香型优质保优稳香栽培技术示范</w:t>
            </w:r>
          </w:p>
        </w:tc>
        <w:tc>
          <w:tcPr>
            <w:tcW w:w="4417" w:type="dxa"/>
            <w:tcBorders>
              <w:tl2br w:val="nil"/>
              <w:tr2bl w:val="nil"/>
            </w:tcBorders>
            <w:noWrap w:val="0"/>
            <w:vAlign w:val="top"/>
          </w:tcPr>
          <w:p w14:paraId="6F4967E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333333"/>
                <w:sz w:val="28"/>
                <w:szCs w:val="28"/>
                <w:vertAlign w:val="baseline"/>
                <w:lang w:val="en-US" w:eastAsia="zh-CN"/>
              </w:rPr>
            </w:pPr>
            <w:r>
              <w:rPr>
                <w:rFonts w:hint="eastAsia" w:ascii="方正黑体_GBK" w:hAnsi="方正黑体_GBK" w:eastAsia="方正黑体_GBK" w:cs="方正黑体_GBK"/>
                <w:b w:val="0"/>
                <w:bCs w:val="0"/>
                <w:color w:val="333333"/>
                <w:kern w:val="2"/>
                <w:sz w:val="28"/>
                <w:szCs w:val="28"/>
                <w:lang w:val="en-US" w:eastAsia="zh-CN" w:bidi="ar-SA"/>
              </w:rPr>
              <w:t>图</w:t>
            </w:r>
            <w:r>
              <w:rPr>
                <w:rFonts w:hint="eastAsia" w:ascii="方正黑体_GBK" w:hAnsi="方正黑体_GBK" w:eastAsia="方正黑体_GBK" w:cs="方正黑体_GBK"/>
                <w:b w:val="0"/>
                <w:bCs w:val="0"/>
                <w:color w:val="333333"/>
                <w:kern w:val="2"/>
                <w:sz w:val="28"/>
                <w:szCs w:val="28"/>
                <w:lang w:val="en-US" w:eastAsia="zh-CN" w:bidi="ar-SA"/>
              </w:rPr>
              <w:fldChar w:fldCharType="begin"/>
            </w:r>
            <w:r>
              <w:rPr>
                <w:rFonts w:hint="eastAsia" w:ascii="方正黑体_GBK" w:hAnsi="方正黑体_GBK" w:eastAsia="方正黑体_GBK" w:cs="方正黑体_GBK"/>
                <w:b w:val="0"/>
                <w:bCs w:val="0"/>
                <w:color w:val="333333"/>
                <w:kern w:val="2"/>
                <w:sz w:val="28"/>
                <w:szCs w:val="28"/>
                <w:lang w:val="en-US" w:eastAsia="zh-CN" w:bidi="ar-SA"/>
              </w:rPr>
              <w:instrText xml:space="preserve"> SEQ 图 \* ARABIC </w:instrText>
            </w:r>
            <w:r>
              <w:rPr>
                <w:rFonts w:hint="eastAsia" w:ascii="方正黑体_GBK" w:hAnsi="方正黑体_GBK" w:eastAsia="方正黑体_GBK" w:cs="方正黑体_GBK"/>
                <w:b w:val="0"/>
                <w:bCs w:val="0"/>
                <w:color w:val="333333"/>
                <w:kern w:val="2"/>
                <w:sz w:val="28"/>
                <w:szCs w:val="28"/>
                <w:lang w:val="en-US" w:eastAsia="zh-CN" w:bidi="ar-SA"/>
              </w:rPr>
              <w:fldChar w:fldCharType="separate"/>
            </w:r>
            <w:r>
              <w:rPr>
                <w:rFonts w:hint="eastAsia" w:ascii="方正黑体_GBK" w:hAnsi="方正黑体_GBK" w:eastAsia="方正黑体_GBK" w:cs="方正黑体_GBK"/>
                <w:b w:val="0"/>
                <w:bCs w:val="0"/>
                <w:color w:val="333333"/>
                <w:kern w:val="2"/>
                <w:sz w:val="28"/>
                <w:szCs w:val="28"/>
                <w:lang w:val="en-US" w:eastAsia="zh-CN" w:bidi="ar-SA"/>
              </w:rPr>
              <w:t>2</w:t>
            </w:r>
            <w:r>
              <w:rPr>
                <w:rFonts w:hint="eastAsia" w:ascii="方正黑体_GBK" w:hAnsi="方正黑体_GBK" w:eastAsia="方正黑体_GBK" w:cs="方正黑体_GBK"/>
                <w:b w:val="0"/>
                <w:bCs w:val="0"/>
                <w:color w:val="333333"/>
                <w:kern w:val="2"/>
                <w:sz w:val="28"/>
                <w:szCs w:val="28"/>
                <w:lang w:val="en-US" w:eastAsia="zh-CN" w:bidi="ar-SA"/>
              </w:rPr>
              <w:fldChar w:fldCharType="end"/>
            </w:r>
            <w:r>
              <w:rPr>
                <w:rFonts w:hint="eastAsia" w:ascii="方正黑体_GBK" w:hAnsi="方正黑体_GBK" w:eastAsia="方正黑体_GBK" w:cs="方正黑体_GBK"/>
                <w:b w:val="0"/>
                <w:bCs w:val="0"/>
                <w:color w:val="333333"/>
                <w:kern w:val="2"/>
                <w:sz w:val="28"/>
                <w:szCs w:val="28"/>
                <w:lang w:val="en-US" w:eastAsia="zh-CN" w:bidi="ar-SA"/>
              </w:rPr>
              <w:t xml:space="preserve"> 酉阳县种植大户香型优质稻保优稳香技术培训</w:t>
            </w:r>
          </w:p>
        </w:tc>
      </w:tr>
      <w:tr w14:paraId="0A4C3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Borders>
              <w:tl2br w:val="nil"/>
              <w:tr2bl w:val="nil"/>
            </w:tcBorders>
            <w:noWrap w:val="0"/>
            <w:vAlign w:val="top"/>
          </w:tcPr>
          <w:p w14:paraId="24FDC0A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firstLine="0" w:firstLineChars="0"/>
              <w:jc w:val="center"/>
              <w:textAlignment w:val="auto"/>
              <w:rPr>
                <w:rFonts w:hint="eastAsia" w:ascii="方正仿宋_GBK" w:hAnsi="方正仿宋_GBK" w:eastAsia="方正仿宋_GBK" w:cs="方正仿宋_GBK"/>
                <w:b w:val="0"/>
                <w:bCs w:val="0"/>
                <w:color w:val="333333"/>
                <w:sz w:val="32"/>
                <w:szCs w:val="32"/>
                <w:vertAlign w:val="baseline"/>
                <w:lang w:val="en-US" w:eastAsia="zh-CN"/>
              </w:rPr>
            </w:pPr>
            <w:r>
              <w:drawing>
                <wp:inline distT="0" distB="0" distL="114300" distR="114300">
                  <wp:extent cx="2802255" cy="2099310"/>
                  <wp:effectExtent l="0" t="0" r="17145" b="15240"/>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24"/>
                          <a:stretch>
                            <a:fillRect/>
                          </a:stretch>
                        </pic:blipFill>
                        <pic:spPr>
                          <a:xfrm>
                            <a:off x="0" y="0"/>
                            <a:ext cx="2802255" cy="2099310"/>
                          </a:xfrm>
                          <a:prstGeom prst="rect">
                            <a:avLst/>
                          </a:prstGeom>
                          <a:noFill/>
                          <a:ln>
                            <a:noFill/>
                          </a:ln>
                        </pic:spPr>
                      </pic:pic>
                    </a:graphicData>
                  </a:graphic>
                </wp:inline>
              </w:drawing>
            </w:r>
          </w:p>
        </w:tc>
        <w:tc>
          <w:tcPr>
            <w:tcW w:w="4417" w:type="dxa"/>
            <w:tcBorders>
              <w:tl2br w:val="nil"/>
              <w:tr2bl w:val="nil"/>
            </w:tcBorders>
            <w:noWrap w:val="0"/>
            <w:vAlign w:val="top"/>
          </w:tcPr>
          <w:p w14:paraId="68CB710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firstLine="0" w:firstLineChars="0"/>
              <w:jc w:val="center"/>
              <w:textAlignment w:val="auto"/>
              <w:rPr>
                <w:rFonts w:hint="eastAsia" w:ascii="方正仿宋_GBK" w:hAnsi="方正仿宋_GBK" w:eastAsia="方正仿宋_GBK" w:cs="方正仿宋_GBK"/>
                <w:b w:val="0"/>
                <w:bCs w:val="0"/>
                <w:color w:val="333333"/>
                <w:sz w:val="32"/>
                <w:szCs w:val="32"/>
                <w:vertAlign w:val="baseline"/>
                <w:lang w:val="en-US" w:eastAsia="zh-CN"/>
              </w:rPr>
            </w:pPr>
          </w:p>
        </w:tc>
      </w:tr>
      <w:tr w14:paraId="450A3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Borders>
              <w:tl2br w:val="nil"/>
              <w:tr2bl w:val="nil"/>
            </w:tcBorders>
            <w:noWrap w:val="0"/>
            <w:vAlign w:val="top"/>
          </w:tcPr>
          <w:p w14:paraId="0CCC216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firstLine="0" w:firstLineChars="0"/>
              <w:jc w:val="center"/>
              <w:textAlignment w:val="auto"/>
            </w:pPr>
            <w:r>
              <w:rPr>
                <w:rFonts w:hint="eastAsia" w:ascii="方正黑体_GBK" w:hAnsi="方正黑体_GBK" w:eastAsia="方正黑体_GBK" w:cs="方正黑体_GBK"/>
                <w:b w:val="0"/>
                <w:bCs w:val="0"/>
                <w:color w:val="333333"/>
                <w:kern w:val="2"/>
                <w:sz w:val="28"/>
                <w:szCs w:val="28"/>
                <w:lang w:val="en-US" w:eastAsia="zh-CN" w:bidi="ar-SA"/>
              </w:rPr>
              <w:t>图</w:t>
            </w:r>
            <w:r>
              <w:rPr>
                <w:rFonts w:hint="eastAsia" w:ascii="方正黑体_GBK" w:hAnsi="方正黑体_GBK" w:eastAsia="方正黑体_GBK" w:cs="方正黑体_GBK"/>
                <w:b w:val="0"/>
                <w:bCs w:val="0"/>
                <w:color w:val="333333"/>
                <w:kern w:val="2"/>
                <w:sz w:val="28"/>
                <w:szCs w:val="28"/>
                <w:lang w:val="en-US" w:eastAsia="zh-CN" w:bidi="ar-SA"/>
              </w:rPr>
              <w:fldChar w:fldCharType="begin"/>
            </w:r>
            <w:r>
              <w:rPr>
                <w:rFonts w:hint="eastAsia" w:ascii="方正黑体_GBK" w:hAnsi="方正黑体_GBK" w:eastAsia="方正黑体_GBK" w:cs="方正黑体_GBK"/>
                <w:b w:val="0"/>
                <w:bCs w:val="0"/>
                <w:color w:val="333333"/>
                <w:kern w:val="2"/>
                <w:sz w:val="28"/>
                <w:szCs w:val="28"/>
                <w:lang w:val="en-US" w:eastAsia="zh-CN" w:bidi="ar-SA"/>
              </w:rPr>
              <w:instrText xml:space="preserve"> SEQ 图 \* ARABIC </w:instrText>
            </w:r>
            <w:r>
              <w:rPr>
                <w:rFonts w:hint="eastAsia" w:ascii="方正黑体_GBK" w:hAnsi="方正黑体_GBK" w:eastAsia="方正黑体_GBK" w:cs="方正黑体_GBK"/>
                <w:b w:val="0"/>
                <w:bCs w:val="0"/>
                <w:color w:val="333333"/>
                <w:kern w:val="2"/>
                <w:sz w:val="28"/>
                <w:szCs w:val="28"/>
                <w:lang w:val="en-US" w:eastAsia="zh-CN" w:bidi="ar-SA"/>
              </w:rPr>
              <w:fldChar w:fldCharType="separate"/>
            </w:r>
            <w:r>
              <w:rPr>
                <w:rFonts w:hint="eastAsia" w:ascii="方正黑体_GBK" w:hAnsi="方正黑体_GBK" w:eastAsia="方正黑体_GBK" w:cs="方正黑体_GBK"/>
                <w:b w:val="0"/>
                <w:bCs w:val="0"/>
                <w:color w:val="333333"/>
                <w:kern w:val="2"/>
                <w:sz w:val="28"/>
                <w:szCs w:val="28"/>
                <w:lang w:val="en-US" w:eastAsia="zh-CN" w:bidi="ar-SA"/>
              </w:rPr>
              <w:t>3</w:t>
            </w:r>
            <w:r>
              <w:rPr>
                <w:rFonts w:hint="eastAsia" w:ascii="方正黑体_GBK" w:hAnsi="方正黑体_GBK" w:eastAsia="方正黑体_GBK" w:cs="方正黑体_GBK"/>
                <w:b w:val="0"/>
                <w:bCs w:val="0"/>
                <w:color w:val="333333"/>
                <w:kern w:val="2"/>
                <w:sz w:val="28"/>
                <w:szCs w:val="28"/>
                <w:lang w:val="en-US" w:eastAsia="zh-CN" w:bidi="ar-SA"/>
              </w:rPr>
              <w:fldChar w:fldCharType="end"/>
            </w:r>
            <w:r>
              <w:rPr>
                <w:rFonts w:hint="eastAsia" w:ascii="方正黑体_GBK" w:hAnsi="方正黑体_GBK" w:eastAsia="方正黑体_GBK" w:cs="方正黑体_GBK"/>
                <w:b w:val="0"/>
                <w:bCs w:val="0"/>
                <w:color w:val="333333"/>
                <w:kern w:val="2"/>
                <w:sz w:val="28"/>
                <w:szCs w:val="28"/>
                <w:lang w:val="en-US" w:eastAsia="zh-CN" w:bidi="ar-SA"/>
              </w:rPr>
              <w:t xml:space="preserve"> 2025年酉阳县香型优质稻品质筛选试验</w:t>
            </w:r>
          </w:p>
        </w:tc>
        <w:tc>
          <w:tcPr>
            <w:tcW w:w="4417" w:type="dxa"/>
            <w:tcBorders>
              <w:tl2br w:val="nil"/>
              <w:tr2bl w:val="nil"/>
            </w:tcBorders>
            <w:noWrap w:val="0"/>
            <w:vAlign w:val="top"/>
          </w:tcPr>
          <w:p w14:paraId="32F3591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firstLine="0" w:firstLineChars="0"/>
              <w:jc w:val="center"/>
              <w:textAlignment w:val="auto"/>
              <w:rPr>
                <w:rFonts w:hint="eastAsia" w:ascii="方正仿宋_GBK" w:hAnsi="方正仿宋_GBK" w:eastAsia="方正仿宋_GBK" w:cs="方正仿宋_GBK"/>
                <w:b w:val="0"/>
                <w:bCs w:val="0"/>
                <w:color w:val="333333"/>
                <w:sz w:val="32"/>
                <w:szCs w:val="32"/>
                <w:vertAlign w:val="baseline"/>
                <w:lang w:val="en-US" w:eastAsia="zh-CN"/>
              </w:rPr>
            </w:pPr>
          </w:p>
        </w:tc>
      </w:tr>
    </w:tbl>
    <w:p w14:paraId="6A536931">
      <w:pPr>
        <w:keepNext w:val="0"/>
        <w:keepLines w:val="0"/>
        <w:pageBreakBefore w:val="0"/>
        <w:kinsoku/>
        <w:wordWrap/>
        <w:overflowPunct/>
        <w:topLinePunct w:val="0"/>
        <w:autoSpaceDE/>
        <w:autoSpaceDN/>
        <w:bidi w:val="0"/>
        <w:snapToGrid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（四）入选和获奖情况</w:t>
      </w:r>
    </w:p>
    <w:p w14:paraId="2C67DC04">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该技术入选2022年重庆市农业农村委引领型技术，2023年-2025年入选重庆市农业农村委主推技术。以该技术形成了重庆市地方标准《香稻栽培技术规程》DB 50/T1516。</w:t>
      </w:r>
    </w:p>
    <w:p w14:paraId="2CC4E537">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二、技术要点</w:t>
      </w:r>
    </w:p>
    <w:p w14:paraId="4A0BBB6D">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楷体_GBK" w:hAnsi="方正楷体_GBK" w:eastAsia="方正楷体_GBK" w:cs="方正楷体_GBK"/>
          <w:b w:val="0"/>
          <w:bCs w:val="0"/>
          <w:color w:val="333333"/>
          <w:sz w:val="32"/>
          <w:szCs w:val="32"/>
          <w:lang w:val="en-US" w:eastAsia="zh-CN"/>
        </w:rPr>
        <w:t>（一）选用香型优质稻品种。</w:t>
      </w:r>
      <w:r>
        <w:rPr>
          <w:rFonts w:hint="eastAsia" w:ascii="方正仿宋_GBK" w:hAnsi="方正仿宋_GBK" w:eastAsia="方正仿宋_GBK" w:cs="方正仿宋_GBK"/>
          <w:b w:val="0"/>
          <w:bCs w:val="0"/>
          <w:color w:val="333333"/>
          <w:sz w:val="32"/>
          <w:szCs w:val="32"/>
          <w:lang w:val="en-US" w:eastAsia="zh-CN"/>
        </w:rPr>
        <w:t>如宜香优2115、渝香203、美香新占等。</w:t>
      </w:r>
    </w:p>
    <w:p w14:paraId="2C7CABFD">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楷体_GBK" w:hAnsi="方正楷体_GBK" w:eastAsia="方正楷体_GBK" w:cs="方正楷体_GBK"/>
          <w:b w:val="0"/>
          <w:bCs w:val="0"/>
          <w:color w:val="333333"/>
          <w:sz w:val="32"/>
          <w:szCs w:val="32"/>
          <w:lang w:val="en-US" w:eastAsia="zh-CN"/>
        </w:rPr>
        <w:t>（二）培育壮秧。</w:t>
      </w:r>
      <w:r>
        <w:rPr>
          <w:rFonts w:hint="eastAsia" w:ascii="方正仿宋_GBK" w:hAnsi="方正仿宋_GBK" w:eastAsia="方正仿宋_GBK" w:cs="方正仿宋_GBK"/>
          <w:b w:val="0"/>
          <w:bCs w:val="0"/>
          <w:color w:val="333333"/>
          <w:sz w:val="32"/>
          <w:szCs w:val="32"/>
          <w:lang w:val="en-US" w:eastAsia="zh-CN"/>
        </w:rPr>
        <w:t>播种量按每亩大田常规香稻品种2kg～3kg，杂交香稻组合1kg～1.25kg，旱育壮秧。</w:t>
      </w:r>
    </w:p>
    <w:p w14:paraId="3977488F">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楷体_GBK" w:hAnsi="方正楷体_GBK" w:eastAsia="方正楷体_GBK" w:cs="方正楷体_GBK"/>
          <w:b w:val="0"/>
          <w:bCs w:val="0"/>
          <w:color w:val="333333"/>
          <w:sz w:val="32"/>
          <w:szCs w:val="32"/>
          <w:lang w:val="en-US" w:eastAsia="zh-CN"/>
        </w:rPr>
        <w:t>（三）确定适宜的栽插期与密度。</w:t>
      </w:r>
      <w:r>
        <w:rPr>
          <w:rFonts w:hint="eastAsia" w:ascii="方正仿宋_GBK" w:hAnsi="方正仿宋_GBK" w:eastAsia="方正仿宋_GBK" w:cs="方正仿宋_GBK"/>
          <w:b w:val="0"/>
          <w:bCs w:val="0"/>
          <w:color w:val="333333"/>
          <w:sz w:val="32"/>
          <w:szCs w:val="32"/>
          <w:lang w:val="en-US" w:eastAsia="zh-CN"/>
        </w:rPr>
        <w:t>4月下旬秧苗达到4叶~5叶时开始栽秧。宽窄行规范栽插，一般宽行规格为33cm～40cm，窄行16cm～20cm，窝距16cm～18cm，杂交稻窝植双粒双株，亩植1.0万～1.2万窝；常规稻窝植3～4株，亩植1.1万～1.4万窝。</w:t>
      </w:r>
    </w:p>
    <w:p w14:paraId="6F29FDAA">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楷体_GBK" w:hAnsi="方正楷体_GBK" w:eastAsia="方正楷体_GBK" w:cs="方正楷体_GBK"/>
          <w:b w:val="0"/>
          <w:bCs w:val="0"/>
          <w:color w:val="333333"/>
          <w:sz w:val="32"/>
          <w:szCs w:val="32"/>
          <w:lang w:val="en-US" w:eastAsia="zh-CN"/>
        </w:rPr>
        <w:t>（四）合理肥料运筹。</w:t>
      </w:r>
      <w:r>
        <w:rPr>
          <w:rFonts w:hint="eastAsia" w:ascii="方正仿宋_GBK" w:hAnsi="方正仿宋_GBK" w:eastAsia="方正仿宋_GBK" w:cs="方正仿宋_GBK"/>
          <w:b w:val="0"/>
          <w:bCs w:val="0"/>
          <w:color w:val="333333"/>
          <w:sz w:val="32"/>
          <w:szCs w:val="32"/>
          <w:lang w:val="en-US" w:eastAsia="zh-CN"/>
        </w:rPr>
        <w:t>参考当地测土配方推荐施肥量，整田时作全层基肥施用“香稻专用肥”30kg～50kg/亩；插秧后7天，追施分蘖肥“香稻专用肥”20kg～30kg/亩。在稻穗破口期结合病虫防治，用“香稻增香叶面肥”200g/亩，兑水50kg喷施。</w:t>
      </w:r>
    </w:p>
    <w:p w14:paraId="1D7C64F3">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楷体_GBK" w:hAnsi="方正楷体_GBK" w:eastAsia="方正楷体_GBK" w:cs="方正楷体_GBK"/>
          <w:b w:val="0"/>
          <w:bCs w:val="0"/>
          <w:color w:val="333333"/>
          <w:sz w:val="32"/>
          <w:szCs w:val="32"/>
          <w:lang w:val="en-US" w:eastAsia="zh-CN"/>
        </w:rPr>
        <w:t>（五）科学少水灌溉。</w:t>
      </w:r>
      <w:r>
        <w:rPr>
          <w:rFonts w:hint="eastAsia" w:ascii="方正仿宋_GBK" w:hAnsi="方正仿宋_GBK" w:eastAsia="方正仿宋_GBK" w:cs="方正仿宋_GBK"/>
          <w:b w:val="0"/>
          <w:bCs w:val="0"/>
          <w:color w:val="333333"/>
          <w:sz w:val="32"/>
          <w:szCs w:val="32"/>
          <w:lang w:val="en-US" w:eastAsia="zh-CN"/>
        </w:rPr>
        <w:t>插秧后浅水返青分蘖，够苗晒田；长穗期保持浅水；灌浆结实期，采用轻度落干（土壤水势为-25±5kPa）的灌溉方式。</w:t>
      </w:r>
    </w:p>
    <w:p w14:paraId="7E01BC7B">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楷体_GBK" w:hAnsi="方正楷体_GBK" w:eastAsia="方正楷体_GBK" w:cs="方正楷体_GBK"/>
          <w:b w:val="0"/>
          <w:bCs w:val="0"/>
          <w:color w:val="333333"/>
          <w:sz w:val="32"/>
          <w:szCs w:val="32"/>
          <w:lang w:val="en-US" w:eastAsia="zh-CN"/>
        </w:rPr>
        <w:t>（六）综合防治病虫害。</w:t>
      </w:r>
      <w:r>
        <w:rPr>
          <w:rFonts w:hint="eastAsia" w:ascii="方正仿宋_GBK" w:hAnsi="方正仿宋_GBK" w:eastAsia="方正仿宋_GBK" w:cs="方正仿宋_GBK"/>
          <w:b w:val="0"/>
          <w:bCs w:val="0"/>
          <w:color w:val="333333"/>
          <w:sz w:val="32"/>
          <w:szCs w:val="32"/>
          <w:lang w:val="en-US" w:eastAsia="zh-CN"/>
        </w:rPr>
        <w:t>按当地病虫害预报，绿色防控与统防统治相结合及时防治病虫害。</w:t>
      </w:r>
    </w:p>
    <w:p w14:paraId="0AD4C7BE">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楷体_GBK" w:hAnsi="方正楷体_GBK" w:eastAsia="方正楷体_GBK" w:cs="方正楷体_GBK"/>
          <w:b w:val="0"/>
          <w:bCs w:val="0"/>
          <w:color w:val="333333"/>
          <w:sz w:val="32"/>
          <w:szCs w:val="32"/>
          <w:lang w:val="en-US" w:eastAsia="zh-CN"/>
        </w:rPr>
        <w:t>（七）适时早收。</w:t>
      </w:r>
      <w:r>
        <w:rPr>
          <w:rFonts w:hint="eastAsia" w:ascii="方正仿宋_GBK" w:hAnsi="方正仿宋_GBK" w:eastAsia="方正仿宋_GBK" w:cs="方正仿宋_GBK"/>
          <w:b w:val="0"/>
          <w:bCs w:val="0"/>
          <w:color w:val="333333"/>
          <w:sz w:val="32"/>
          <w:szCs w:val="32"/>
          <w:lang w:val="en-US" w:eastAsia="zh-CN"/>
        </w:rPr>
        <w:t>比传统优质稻栽培提早2～3d收割：常规香稻93%，杂交香稻88%实粒黄熟时。</w:t>
      </w:r>
    </w:p>
    <w:p w14:paraId="1BC86EFC">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黑体_GBK" w:cs="方正仿宋_GBK"/>
          <w:b w:val="0"/>
          <w:bCs w:val="0"/>
          <w:color w:val="000000"/>
          <w:sz w:val="32"/>
          <w:szCs w:val="32"/>
          <w:lang w:eastAsia="zh-CN"/>
        </w:rPr>
        <w:t>三、适宜区域</w:t>
      </w:r>
    </w:p>
    <w:p w14:paraId="435F95D7">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长江上游一季中稻区。</w:t>
      </w:r>
    </w:p>
    <w:p w14:paraId="2505A277">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黑体_GBK" w:cs="方正仿宋_GBK"/>
          <w:b w:val="0"/>
          <w:bCs w:val="0"/>
          <w:color w:val="000000"/>
          <w:sz w:val="32"/>
          <w:szCs w:val="32"/>
          <w:lang w:eastAsia="zh-CN"/>
        </w:rPr>
        <w:t>四、注意事项</w:t>
      </w:r>
    </w:p>
    <w:p w14:paraId="37E78EEF">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宜选用品质指标符合 NY/T 593规定二等（含二等）以上，稻米香味符合 NY/T 596 规定的香稻品种。</w:t>
      </w:r>
    </w:p>
    <w:p w14:paraId="66CA96E4">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五、技术依托单位</w:t>
      </w:r>
    </w:p>
    <w:p w14:paraId="1A32AF46">
      <w:pPr>
        <w:keepNext w:val="0"/>
        <w:keepLines w:val="0"/>
        <w:pageBreakBefore w:val="0"/>
        <w:wordWrap/>
        <w:overflowPunct/>
        <w:topLinePunct w:val="0"/>
        <w:bidi w:val="0"/>
        <w:adjustRightInd/>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（一）重庆市农业技术推广总站</w:t>
      </w:r>
    </w:p>
    <w:p w14:paraId="16CC4903">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联系地址：重庆市渝北黄山大道东段186号</w:t>
      </w:r>
    </w:p>
    <w:p w14:paraId="14D992AE">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邮政编码：401121</w:t>
      </w:r>
    </w:p>
    <w:p w14:paraId="604F943D">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联 系 人：方立魁、康山杰</w:t>
      </w:r>
    </w:p>
    <w:p w14:paraId="6C047A3C">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联系电话：023-89133432</w:t>
      </w:r>
    </w:p>
    <w:p w14:paraId="7BBD4351">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电子邮箱：fang61_1982@126.com</w:t>
      </w:r>
    </w:p>
    <w:p w14:paraId="4BBF7760">
      <w:pPr>
        <w:keepNext w:val="0"/>
        <w:keepLines w:val="0"/>
        <w:pageBreakBefore w:val="0"/>
        <w:wordWrap/>
        <w:overflowPunct/>
        <w:topLinePunct w:val="0"/>
        <w:bidi w:val="0"/>
        <w:adjustRightInd/>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（二）重庆市开州区农业发展服务中心</w:t>
      </w:r>
    </w:p>
    <w:p w14:paraId="47BC278A">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联系地址：开州区文峰街道富厚街291号</w:t>
      </w:r>
    </w:p>
    <w:p w14:paraId="3221B3B6">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邮政编码：405499</w:t>
      </w:r>
    </w:p>
    <w:p w14:paraId="6413FA12">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联系人：王开周</w:t>
      </w:r>
    </w:p>
    <w:p w14:paraId="58FFFDB3">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联系电话：15223528345</w:t>
      </w:r>
    </w:p>
    <w:p w14:paraId="23870864">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电子邮箱：</w:t>
      </w:r>
      <w:r>
        <w:rPr>
          <w:rFonts w:hint="eastAsia" w:ascii="方正仿宋_GBK" w:hAnsi="方正仿宋_GBK" w:eastAsia="方正仿宋_GBK" w:cs="方正仿宋_GBK"/>
          <w:b w:val="0"/>
          <w:bCs w:val="0"/>
          <w:color w:val="333333"/>
          <w:sz w:val="32"/>
          <w:szCs w:val="32"/>
          <w:lang w:val="en-US" w:eastAsia="zh-CN"/>
        </w:rPr>
        <w:fldChar w:fldCharType="begin"/>
      </w:r>
      <w:r>
        <w:rPr>
          <w:rFonts w:hint="eastAsia" w:ascii="方正仿宋_GBK" w:hAnsi="方正仿宋_GBK" w:eastAsia="方正仿宋_GBK" w:cs="方正仿宋_GBK"/>
          <w:b w:val="0"/>
          <w:bCs w:val="0"/>
          <w:color w:val="333333"/>
          <w:sz w:val="32"/>
          <w:szCs w:val="32"/>
          <w:lang w:val="en-US" w:eastAsia="zh-CN"/>
        </w:rPr>
        <w:instrText xml:space="preserve"> HYPERLINK "mailto:437185059@qq.com" </w:instrText>
      </w:r>
      <w:r>
        <w:rPr>
          <w:rFonts w:hint="eastAsia" w:ascii="方正仿宋_GBK" w:hAnsi="方正仿宋_GBK" w:eastAsia="方正仿宋_GBK" w:cs="方正仿宋_GBK"/>
          <w:b w:val="0"/>
          <w:bCs w:val="0"/>
          <w:color w:val="333333"/>
          <w:sz w:val="32"/>
          <w:szCs w:val="32"/>
          <w:lang w:val="en-US" w:eastAsia="zh-CN"/>
        </w:rPr>
        <w:fldChar w:fldCharType="separate"/>
      </w:r>
      <w:r>
        <w:rPr>
          <w:rFonts w:hint="eastAsia" w:ascii="方正仿宋_GBK" w:hAnsi="方正仿宋_GBK" w:eastAsia="方正仿宋_GBK" w:cs="方正仿宋_GBK"/>
          <w:b w:val="0"/>
          <w:bCs w:val="0"/>
          <w:color w:val="333333"/>
          <w:sz w:val="32"/>
          <w:szCs w:val="32"/>
          <w:lang w:val="en-US" w:eastAsia="zh-CN"/>
        </w:rPr>
        <w:t>437185059@qq.com</w:t>
      </w:r>
      <w:r>
        <w:rPr>
          <w:rFonts w:hint="eastAsia" w:ascii="方正仿宋_GBK" w:hAnsi="方正仿宋_GBK" w:eastAsia="方正仿宋_GBK" w:cs="方正仿宋_GBK"/>
          <w:b w:val="0"/>
          <w:bCs w:val="0"/>
          <w:color w:val="333333"/>
          <w:sz w:val="32"/>
          <w:szCs w:val="32"/>
          <w:lang w:val="en-US" w:eastAsia="zh-CN"/>
        </w:rPr>
        <w:fldChar w:fldCharType="end"/>
      </w:r>
    </w:p>
    <w:p w14:paraId="6642AA49">
      <w:pPr>
        <w:keepNext w:val="0"/>
        <w:keepLines w:val="0"/>
        <w:pageBreakBefore w:val="0"/>
        <w:wordWrap/>
        <w:overflowPunct/>
        <w:topLinePunct w:val="0"/>
        <w:bidi w:val="0"/>
        <w:adjustRightInd/>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（三）酉阳土家族苗族自治县农业技术推广站</w:t>
      </w:r>
    </w:p>
    <w:p w14:paraId="16FF439E">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联系地址：酉阳县钟多街道城南社区钟南大道24号</w:t>
      </w:r>
    </w:p>
    <w:p w14:paraId="69453874">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邮政编码：409800</w:t>
      </w:r>
    </w:p>
    <w:p w14:paraId="417F1D38">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联系人：李君保</w:t>
      </w:r>
    </w:p>
    <w:p w14:paraId="1983981F">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333333"/>
          <w:sz w:val="32"/>
          <w:szCs w:val="32"/>
          <w:lang w:val="en-US" w:eastAsia="zh-CN"/>
        </w:rPr>
      </w:pPr>
      <w:r>
        <w:rPr>
          <w:rFonts w:hint="eastAsia" w:ascii="方正仿宋_GBK" w:hAnsi="方正仿宋_GBK" w:eastAsia="方正仿宋_GBK" w:cs="方正仿宋_GBK"/>
          <w:b w:val="0"/>
          <w:bCs w:val="0"/>
          <w:color w:val="333333"/>
          <w:sz w:val="32"/>
          <w:szCs w:val="32"/>
          <w:lang w:val="en-US" w:eastAsia="zh-CN"/>
        </w:rPr>
        <w:t>联系电话：023-75587254</w:t>
      </w:r>
    </w:p>
    <w:p w14:paraId="67A344C4">
      <w:pPr>
        <w:keepNext w:val="0"/>
        <w:keepLines w:val="0"/>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333333"/>
          <w:sz w:val="32"/>
          <w:szCs w:val="32"/>
          <w:lang w:val="en-US" w:eastAsia="zh-CN"/>
        </w:rPr>
        <w:t>电子邮箱：njtgzzw@163.com</w:t>
      </w:r>
    </w:p>
    <w:p w14:paraId="6ADCE41A">
      <w:pPr>
        <w:keepNext w:val="0"/>
        <w:keepLines w:val="0"/>
        <w:pageBreakBefore w:val="0"/>
        <w:widowControl w:val="0"/>
        <w:kinsoku/>
        <w:wordWrap/>
        <w:overflowPunct/>
        <w:topLinePunct w:val="0"/>
        <w:autoSpaceDE/>
        <w:autoSpaceDN/>
        <w:bidi w:val="0"/>
        <w:spacing w:beforeAutospacing="0" w:afterAutospacing="0" w:line="600" w:lineRule="exact"/>
        <w:ind w:left="0" w:leftChars="0" w:right="0" w:rightChars="0" w:firstLine="640" w:firstLineChars="200"/>
        <w:textAlignment w:val="auto"/>
        <w:rPr>
          <w:rFonts w:hint="eastAsia" w:ascii="方正仿宋_GBK" w:hAnsi="方正仿宋_GBK" w:eastAsia="方正仿宋_GBK" w:cs="方正仿宋_GBK"/>
          <w:b w:val="0"/>
          <w:bCs w:val="0"/>
          <w:color w:val="auto"/>
          <w:sz w:val="32"/>
          <w:szCs w:val="32"/>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rtlGutter w:val="0"/>
          <w:docGrid w:type="lines" w:linePitch="579" w:charSpace="0"/>
        </w:sectPr>
      </w:pPr>
    </w:p>
    <w:p w14:paraId="473A7A63">
      <w:pPr>
        <w:pStyle w:val="3"/>
        <w:bidi w:val="0"/>
        <w:rPr>
          <w:rFonts w:hint="eastAsia"/>
        </w:rPr>
      </w:pPr>
      <w:r>
        <w:rPr>
          <w:rFonts w:hint="eastAsia"/>
          <w:lang w:val="en-US" w:eastAsia="zh-CN"/>
        </w:rPr>
        <w:t>5.</w:t>
      </w:r>
      <w:r>
        <w:rPr>
          <w:rFonts w:hint="eastAsia"/>
        </w:rPr>
        <w:t>鹅精准高效饲养管理技术</w:t>
      </w:r>
    </w:p>
    <w:p w14:paraId="618D71F3">
      <w:pPr>
        <w:pageBreakBefore w:val="0"/>
        <w:wordWrap/>
        <w:overflowPunct/>
        <w:topLinePunct w:val="0"/>
        <w:bidi w:val="0"/>
        <w:spacing w:beforeAutospacing="0" w:afterAutospacing="0" w:line="600" w:lineRule="exact"/>
        <w:ind w:left="0" w:leftChars="0" w:right="0" w:rightChars="0" w:firstLine="640" w:firstLineChars="200"/>
        <w:jc w:val="center"/>
        <w:rPr>
          <w:rFonts w:hint="eastAsia" w:ascii="方正仿宋_GBK" w:hAnsi="方正仿宋_GBK" w:eastAsia="方正仿宋_GBK" w:cs="方正仿宋_GBK"/>
          <w:b w:val="0"/>
          <w:bCs w:val="0"/>
          <w:color w:val="000000"/>
          <w:sz w:val="32"/>
          <w:szCs w:val="32"/>
        </w:rPr>
      </w:pPr>
    </w:p>
    <w:p w14:paraId="49B95A89">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黑体_GBK" w:cs="方正仿宋_GBK"/>
          <w:b w:val="0"/>
          <w:bCs w:val="0"/>
          <w:color w:val="000000"/>
          <w:sz w:val="32"/>
          <w:szCs w:val="32"/>
          <w:lang w:eastAsia="zh-CN"/>
        </w:rPr>
        <w:t>摘要：</w:t>
      </w:r>
      <w:r>
        <w:rPr>
          <w:rFonts w:hint="eastAsia" w:ascii="方正仿宋_GBK" w:hAnsi="方正仿宋_GBK" w:eastAsia="方正仿宋_GBK" w:cs="方正仿宋_GBK"/>
          <w:b w:val="0"/>
          <w:bCs w:val="0"/>
          <w:color w:val="000000"/>
          <w:sz w:val="32"/>
          <w:szCs w:val="32"/>
        </w:rPr>
        <w:t>我国是世界第一养鹅大国，但传统养殖模式普遍存在饲料利用效率低、劳动强度大、养殖环境差、生产效率不稳定等问题，制约了产业现代化发展。该技术针对上述产业痛点，集成了鹅饲料精准配制、饲料饮水精准供给、智能化环境控制和标准化饲养管理等核心技术，通过技术配套和设施升级，构建了一套可复制、可推广的现代化养鹅新模式。目前，该技术已在重庆、四川、广东、江苏、山东和黑龙江等地推广应用。据统计，2023年至2025年，本技术累计生产种鹅3.97万只，商品肉鹅195.5万只，鹅饲料11.91万吨，养殖设备3113台套。经测算，该技术近三年累计辐射总产值5.24亿元，新增经济效益5698.13万元。该技术的推广应用，对于实现鹅养殖的节本增效、保障产品质量安全、推动产业可持续健康发展具有重要意义。</w:t>
      </w:r>
    </w:p>
    <w:p w14:paraId="2728B23D">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一、技术概述</w:t>
      </w:r>
    </w:p>
    <w:p w14:paraId="6F7359AB">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（一）背景情况</w:t>
      </w:r>
    </w:p>
    <w:p w14:paraId="06083BC3">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我国是世界第一养鹅大国，养殖量占全球90%以上。鹅产业是我国优势特色畜牧产业，也是推动乡村振兴的重要产业。据国家水禽产业技术体系统计数据显示，2024年我国肉鹅出栏量5.69亿只，产肉量超175万吨，总产值592亿元。因鹅规模化养殖起步较晚，饲养管理相关技术薄弱，实际生产中多参考鸡和鸭饲养管理技术，导致饲料和饮水浪费严重、养殖环境差、死淘率较高、劳动强度大，严重降低了人们的养殖意愿和养殖效益，阻碍了肉鹅产业高质量发展。</w:t>
      </w:r>
    </w:p>
    <w:p w14:paraId="4511FEA2">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在此背景下，研究集成了鹅精准高效饲养管理技术。其中，鹅饲料精准配制及高效供给技术，系统确定了鹅常用饲料原料代谢能和氨基酸等养分含量，不同生长阶段鹅营养需要量，饲料调质温度、饲料颗粒直径等加工技术参数，饲料供给高度、空间等饲喂技术参数以及配套供料设备，实现了规模鹅场的精准饲喂；鹅饮水高效供给技术，确定了饮水温度、流速、时间等饮水供给技术参数以及配套供水设备，有效解决了离水饲养条件下饮水浪费的难题；鹅舍环境精准控制技术，系统确定了饲养密度、环境温度和光照等饲养管理参数及配套环境控制设备，提升了鹅舍环境舒适度与管理效率。该技术填补了鹅饲养管理部分关键环节的技术空白，提供了系统的规模鹅场饲料、饮水和环境精准管理方案，有效推动我国肉鹅产业向绿色、高效和高质量方向转型升级。</w:t>
      </w:r>
    </w:p>
    <w:p w14:paraId="75FF941F">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（二）推广应用情况</w:t>
      </w:r>
    </w:p>
    <w:p w14:paraId="6EEB6F83">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该技术先后在重庆、四川、广东、江苏、山东和黑龙江等省（市）推广应用。2023年至2025年，本技术累计生产种鹅3.97万只，商品肉鹅195.5万只，鹅饲料11.91万吨，养殖设备3113台套。</w:t>
      </w:r>
    </w:p>
    <w:p w14:paraId="0F35B313">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（三）技术效果</w:t>
      </w:r>
    </w:p>
    <w:p w14:paraId="7F8BDAE0">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应用鹅精准供料供水参数和设备，鹅饲料和饮水损耗减少50%以上，精准供料环节节省人力10%~30%，精准供水环节12%以上；应用鹅养殖环境控制参数和设备，鹅生长速度提高16%以上，料重比降低10%。经测算，本技术近三年累计辐射总产值5.24亿元，新增经济效益5698.13万元。该成果经济效益显著，社会和生态效益良好，有效推动我国鹅业新质生产力培育和鹅产业高质量发展，具有广阔的推广应用前景。</w:t>
      </w:r>
    </w:p>
    <w:p w14:paraId="2A13083D">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（四）入选和获奖情况</w:t>
      </w:r>
    </w:p>
    <w:p w14:paraId="34830343">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该技术成果曾获2019年“重庆市科学进步奖”二等奖、2021年度“神农中华农业科技奖”三等奖。</w:t>
      </w:r>
    </w:p>
    <w:p w14:paraId="6CE9F5AD">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二、技术要点</w:t>
      </w:r>
    </w:p>
    <w:p w14:paraId="3279DC42">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（一）肉鹅饲料精准配制技术</w:t>
      </w:r>
    </w:p>
    <w:p w14:paraId="22D8EA20">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1.鹅常用饲料原料数据库</w:t>
      </w:r>
    </w:p>
    <w:p w14:paraId="1F7ABD81">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该数据库包含可玉米、稻谷、米糠、麦麸、喷浆玉米皮等西南地区18种鹅常用饲料原料营养成分含量、代谢能和标准回肠可消化氨基酸含量（见下表1~4）。在鹅饲料配制过程中，可参考相关饲料数据参数，精准设计饲料配方，节约饲料成本。</w:t>
      </w:r>
    </w:p>
    <w:p w14:paraId="0365D2C1">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2.鹅营养需要量</w:t>
      </w:r>
    </w:p>
    <w:p w14:paraId="200F5A0B">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鹅营养需要应根据品种、生长阶段等精准提供。本技术制定了中小体型鹅各生长阶段营养需要量标准（见下表5）。在鹅饲料配制过程中，可依据各生长阶段营养需要，结合饲料养分含量参数，精准设计饲料配方，实现鹅饲料的精准饲喂。</w:t>
      </w:r>
    </w:p>
    <w:p w14:paraId="00DE361B">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rtlGutter w:val="0"/>
          <w:docGrid w:type="lines" w:linePitch="579" w:charSpace="0"/>
        </w:sectPr>
      </w:pPr>
    </w:p>
    <w:p w14:paraId="568B2645">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rPr>
        <w:t>表1 饲料原料常规成分含量（风干基础，87%干物质）</w:t>
      </w:r>
    </w:p>
    <w:tbl>
      <w:tblPr>
        <w:tblStyle w:val="9"/>
        <w:tblpPr w:leftFromText="180" w:rightFromText="180" w:vertAnchor="text" w:horzAnchor="page" w:tblpXSpec="center" w:tblpY="587"/>
        <w:tblOverlap w:val="never"/>
        <w:tblW w:w="13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417"/>
        <w:gridCol w:w="1205"/>
        <w:gridCol w:w="1260"/>
        <w:gridCol w:w="1345"/>
        <w:gridCol w:w="1223"/>
        <w:gridCol w:w="1857"/>
        <w:gridCol w:w="1857"/>
        <w:gridCol w:w="1205"/>
        <w:gridCol w:w="1005"/>
      </w:tblGrid>
      <w:tr w14:paraId="30F2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blHeader/>
          <w:jc w:val="center"/>
        </w:trPr>
        <w:tc>
          <w:tcPr>
            <w:tcW w:w="1306" w:type="dxa"/>
            <w:noWrap w:val="0"/>
            <w:vAlign w:val="center"/>
          </w:tcPr>
          <w:p w14:paraId="45988426">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饲料</w:t>
            </w:r>
          </w:p>
        </w:tc>
        <w:tc>
          <w:tcPr>
            <w:tcW w:w="1417" w:type="dxa"/>
            <w:noWrap w:val="0"/>
            <w:vAlign w:val="center"/>
          </w:tcPr>
          <w:p w14:paraId="061BDB90">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产地</w:t>
            </w:r>
          </w:p>
        </w:tc>
        <w:tc>
          <w:tcPr>
            <w:tcW w:w="1205" w:type="dxa"/>
            <w:noWrap w:val="0"/>
            <w:vAlign w:val="center"/>
          </w:tcPr>
          <w:p w14:paraId="3586FBC5">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干物质DM</w:t>
            </w:r>
          </w:p>
        </w:tc>
        <w:tc>
          <w:tcPr>
            <w:tcW w:w="1260" w:type="dxa"/>
            <w:noWrap w:val="0"/>
            <w:vAlign w:val="center"/>
          </w:tcPr>
          <w:p w14:paraId="7E1CC50B">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总能GE, MJ/kg</w:t>
            </w:r>
          </w:p>
        </w:tc>
        <w:tc>
          <w:tcPr>
            <w:tcW w:w="1345" w:type="dxa"/>
            <w:noWrap/>
            <w:vAlign w:val="center"/>
          </w:tcPr>
          <w:p w14:paraId="1FEE64F9">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粗蛋白质</w:t>
            </w:r>
          </w:p>
          <w:p w14:paraId="01A3F520">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CP</w:t>
            </w:r>
          </w:p>
        </w:tc>
        <w:tc>
          <w:tcPr>
            <w:tcW w:w="1223" w:type="dxa"/>
            <w:noWrap/>
            <w:vAlign w:val="center"/>
          </w:tcPr>
          <w:p w14:paraId="53275968">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粗纤维</w:t>
            </w:r>
          </w:p>
          <w:p w14:paraId="66787921">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CF</w:t>
            </w:r>
          </w:p>
        </w:tc>
        <w:tc>
          <w:tcPr>
            <w:tcW w:w="1857" w:type="dxa"/>
            <w:noWrap/>
            <w:vAlign w:val="center"/>
          </w:tcPr>
          <w:p w14:paraId="038A66B2">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中性洗涤纤维</w:t>
            </w:r>
          </w:p>
          <w:p w14:paraId="705A4DBE">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NDF</w:t>
            </w:r>
          </w:p>
        </w:tc>
        <w:tc>
          <w:tcPr>
            <w:tcW w:w="1857" w:type="dxa"/>
            <w:noWrap/>
            <w:vAlign w:val="center"/>
          </w:tcPr>
          <w:p w14:paraId="0DB671C0">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酸性洗涤纤维</w:t>
            </w:r>
          </w:p>
          <w:p w14:paraId="79131130">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ADF</w:t>
            </w:r>
          </w:p>
        </w:tc>
        <w:tc>
          <w:tcPr>
            <w:tcW w:w="1205" w:type="dxa"/>
            <w:noWrap w:val="0"/>
            <w:vAlign w:val="center"/>
          </w:tcPr>
          <w:p w14:paraId="69B35D20">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粗脂肪</w:t>
            </w:r>
          </w:p>
          <w:p w14:paraId="703C1C1C">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EE</w:t>
            </w:r>
          </w:p>
        </w:tc>
        <w:tc>
          <w:tcPr>
            <w:tcW w:w="1005" w:type="dxa"/>
            <w:noWrap w:val="0"/>
            <w:vAlign w:val="center"/>
          </w:tcPr>
          <w:p w14:paraId="20CEAC76">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粗灰分Ash</w:t>
            </w:r>
          </w:p>
        </w:tc>
      </w:tr>
      <w:tr w14:paraId="45C2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1306" w:type="dxa"/>
            <w:noWrap w:val="0"/>
            <w:vAlign w:val="bottom"/>
          </w:tcPr>
          <w:p w14:paraId="3426EF4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玉米</w:t>
            </w:r>
          </w:p>
        </w:tc>
        <w:tc>
          <w:tcPr>
            <w:tcW w:w="1417" w:type="dxa"/>
            <w:noWrap w:val="0"/>
            <w:vAlign w:val="top"/>
          </w:tcPr>
          <w:p w14:paraId="3596DEB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山西</w:t>
            </w:r>
          </w:p>
        </w:tc>
        <w:tc>
          <w:tcPr>
            <w:tcW w:w="1205" w:type="dxa"/>
            <w:noWrap w:val="0"/>
            <w:vAlign w:val="bottom"/>
          </w:tcPr>
          <w:p w14:paraId="4AACC6F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85.95</w:t>
            </w:r>
          </w:p>
        </w:tc>
        <w:tc>
          <w:tcPr>
            <w:tcW w:w="1260" w:type="dxa"/>
            <w:noWrap w:val="0"/>
            <w:vAlign w:val="bottom"/>
          </w:tcPr>
          <w:p w14:paraId="21D552D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16.05</w:t>
            </w:r>
          </w:p>
        </w:tc>
        <w:tc>
          <w:tcPr>
            <w:tcW w:w="1345" w:type="dxa"/>
            <w:noWrap/>
            <w:vAlign w:val="top"/>
          </w:tcPr>
          <w:p w14:paraId="33F2227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7.16</w:t>
            </w:r>
          </w:p>
        </w:tc>
        <w:tc>
          <w:tcPr>
            <w:tcW w:w="1223" w:type="dxa"/>
            <w:noWrap/>
            <w:vAlign w:val="top"/>
          </w:tcPr>
          <w:p w14:paraId="6E3383E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2.19</w:t>
            </w:r>
          </w:p>
        </w:tc>
        <w:tc>
          <w:tcPr>
            <w:tcW w:w="1857" w:type="dxa"/>
            <w:noWrap/>
            <w:vAlign w:val="top"/>
          </w:tcPr>
          <w:p w14:paraId="697E8CB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10.08</w:t>
            </w:r>
          </w:p>
        </w:tc>
        <w:tc>
          <w:tcPr>
            <w:tcW w:w="1857" w:type="dxa"/>
            <w:noWrap/>
            <w:vAlign w:val="top"/>
          </w:tcPr>
          <w:p w14:paraId="53DA74A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3.09</w:t>
            </w:r>
          </w:p>
        </w:tc>
        <w:tc>
          <w:tcPr>
            <w:tcW w:w="1205" w:type="dxa"/>
            <w:noWrap w:val="0"/>
            <w:vAlign w:val="center"/>
          </w:tcPr>
          <w:p w14:paraId="2CA6E7B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2.43</w:t>
            </w:r>
          </w:p>
        </w:tc>
        <w:tc>
          <w:tcPr>
            <w:tcW w:w="1005" w:type="dxa"/>
            <w:noWrap w:val="0"/>
            <w:vAlign w:val="center"/>
          </w:tcPr>
          <w:p w14:paraId="0402E41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1.01</w:t>
            </w:r>
          </w:p>
        </w:tc>
      </w:tr>
      <w:tr w14:paraId="3F5D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1306" w:type="dxa"/>
            <w:noWrap w:val="0"/>
            <w:vAlign w:val="bottom"/>
          </w:tcPr>
          <w:p w14:paraId="22475B9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玉米</w:t>
            </w:r>
          </w:p>
        </w:tc>
        <w:tc>
          <w:tcPr>
            <w:tcW w:w="1417" w:type="dxa"/>
            <w:noWrap w:val="0"/>
            <w:vAlign w:val="top"/>
          </w:tcPr>
          <w:p w14:paraId="0A5CB79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吉林</w:t>
            </w:r>
          </w:p>
        </w:tc>
        <w:tc>
          <w:tcPr>
            <w:tcW w:w="1205" w:type="dxa"/>
            <w:noWrap w:val="0"/>
            <w:vAlign w:val="bottom"/>
          </w:tcPr>
          <w:p w14:paraId="78B1C38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86.17</w:t>
            </w:r>
          </w:p>
        </w:tc>
        <w:tc>
          <w:tcPr>
            <w:tcW w:w="1260" w:type="dxa"/>
            <w:noWrap w:val="0"/>
            <w:vAlign w:val="bottom"/>
          </w:tcPr>
          <w:p w14:paraId="1307A3D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16.18</w:t>
            </w:r>
          </w:p>
        </w:tc>
        <w:tc>
          <w:tcPr>
            <w:tcW w:w="1345" w:type="dxa"/>
            <w:noWrap/>
            <w:vAlign w:val="top"/>
          </w:tcPr>
          <w:p w14:paraId="1ACDF8F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7.96</w:t>
            </w:r>
          </w:p>
        </w:tc>
        <w:tc>
          <w:tcPr>
            <w:tcW w:w="1223" w:type="dxa"/>
            <w:noWrap/>
            <w:vAlign w:val="top"/>
          </w:tcPr>
          <w:p w14:paraId="2F0D588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1.95</w:t>
            </w:r>
          </w:p>
        </w:tc>
        <w:tc>
          <w:tcPr>
            <w:tcW w:w="1857" w:type="dxa"/>
            <w:noWrap/>
            <w:vAlign w:val="top"/>
          </w:tcPr>
          <w:p w14:paraId="69C1CC2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9.39</w:t>
            </w:r>
          </w:p>
        </w:tc>
        <w:tc>
          <w:tcPr>
            <w:tcW w:w="1857" w:type="dxa"/>
            <w:noWrap/>
            <w:vAlign w:val="top"/>
          </w:tcPr>
          <w:p w14:paraId="7F27968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2.94</w:t>
            </w:r>
          </w:p>
        </w:tc>
        <w:tc>
          <w:tcPr>
            <w:tcW w:w="1205" w:type="dxa"/>
            <w:noWrap w:val="0"/>
            <w:vAlign w:val="center"/>
          </w:tcPr>
          <w:p w14:paraId="308F380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2.96</w:t>
            </w:r>
          </w:p>
        </w:tc>
        <w:tc>
          <w:tcPr>
            <w:tcW w:w="1005" w:type="dxa"/>
            <w:noWrap w:val="0"/>
            <w:vAlign w:val="center"/>
          </w:tcPr>
          <w:p w14:paraId="31D32C9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w:t>
            </w:r>
          </w:p>
        </w:tc>
      </w:tr>
      <w:tr w14:paraId="0940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bottom"/>
          </w:tcPr>
          <w:p w14:paraId="0A9CC6F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稻谷</w:t>
            </w:r>
          </w:p>
        </w:tc>
        <w:tc>
          <w:tcPr>
            <w:tcW w:w="1417" w:type="dxa"/>
            <w:noWrap w:val="0"/>
            <w:vAlign w:val="bottom"/>
          </w:tcPr>
          <w:p w14:paraId="10F5625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1205" w:type="dxa"/>
            <w:noWrap w:val="0"/>
            <w:vAlign w:val="bottom"/>
          </w:tcPr>
          <w:p w14:paraId="705A063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88.49</w:t>
            </w:r>
          </w:p>
        </w:tc>
        <w:tc>
          <w:tcPr>
            <w:tcW w:w="1260" w:type="dxa"/>
            <w:noWrap w:val="0"/>
            <w:vAlign w:val="bottom"/>
          </w:tcPr>
          <w:p w14:paraId="74DBCA4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15.62</w:t>
            </w:r>
          </w:p>
        </w:tc>
        <w:tc>
          <w:tcPr>
            <w:tcW w:w="1345" w:type="dxa"/>
            <w:noWrap/>
            <w:vAlign w:val="bottom"/>
          </w:tcPr>
          <w:p w14:paraId="7288556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6.21</w:t>
            </w:r>
          </w:p>
        </w:tc>
        <w:tc>
          <w:tcPr>
            <w:tcW w:w="1223" w:type="dxa"/>
            <w:noWrap/>
            <w:vAlign w:val="bottom"/>
          </w:tcPr>
          <w:p w14:paraId="2C7BF61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9.91</w:t>
            </w:r>
          </w:p>
        </w:tc>
        <w:tc>
          <w:tcPr>
            <w:tcW w:w="1857" w:type="dxa"/>
            <w:noWrap/>
            <w:vAlign w:val="bottom"/>
          </w:tcPr>
          <w:p w14:paraId="5C1B8F6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15.41</w:t>
            </w:r>
          </w:p>
        </w:tc>
        <w:tc>
          <w:tcPr>
            <w:tcW w:w="1857" w:type="dxa"/>
            <w:noWrap/>
            <w:vAlign w:val="bottom"/>
          </w:tcPr>
          <w:p w14:paraId="1F6EA19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14.55</w:t>
            </w:r>
          </w:p>
        </w:tc>
        <w:tc>
          <w:tcPr>
            <w:tcW w:w="1205" w:type="dxa"/>
            <w:noWrap w:val="0"/>
            <w:vAlign w:val="bottom"/>
          </w:tcPr>
          <w:p w14:paraId="70946A6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2.01</w:t>
            </w:r>
          </w:p>
        </w:tc>
        <w:tc>
          <w:tcPr>
            <w:tcW w:w="1005" w:type="dxa"/>
            <w:noWrap w:val="0"/>
            <w:vAlign w:val="bottom"/>
          </w:tcPr>
          <w:p w14:paraId="5C1CEE8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3.96</w:t>
            </w:r>
          </w:p>
        </w:tc>
      </w:tr>
      <w:tr w14:paraId="4E36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bottom"/>
          </w:tcPr>
          <w:p w14:paraId="540496D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米糠</w:t>
            </w:r>
          </w:p>
        </w:tc>
        <w:tc>
          <w:tcPr>
            <w:tcW w:w="1417" w:type="dxa"/>
            <w:noWrap w:val="0"/>
            <w:vAlign w:val="bottom"/>
          </w:tcPr>
          <w:p w14:paraId="6A0F3AC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1205" w:type="dxa"/>
            <w:noWrap w:val="0"/>
            <w:vAlign w:val="bottom"/>
          </w:tcPr>
          <w:p w14:paraId="6A94ADF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88.49</w:t>
            </w:r>
          </w:p>
        </w:tc>
        <w:tc>
          <w:tcPr>
            <w:tcW w:w="1260" w:type="dxa"/>
            <w:noWrap w:val="0"/>
            <w:vAlign w:val="bottom"/>
          </w:tcPr>
          <w:p w14:paraId="659C5CA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18.66</w:t>
            </w:r>
          </w:p>
        </w:tc>
        <w:tc>
          <w:tcPr>
            <w:tcW w:w="1345" w:type="dxa"/>
            <w:noWrap/>
            <w:vAlign w:val="bottom"/>
          </w:tcPr>
          <w:p w14:paraId="310DEA4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13.81</w:t>
            </w:r>
          </w:p>
        </w:tc>
        <w:tc>
          <w:tcPr>
            <w:tcW w:w="1223" w:type="dxa"/>
            <w:noWrap/>
            <w:vAlign w:val="bottom"/>
          </w:tcPr>
          <w:p w14:paraId="3742BA0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5.93</w:t>
            </w:r>
          </w:p>
        </w:tc>
        <w:tc>
          <w:tcPr>
            <w:tcW w:w="1857" w:type="dxa"/>
            <w:noWrap/>
            <w:vAlign w:val="bottom"/>
          </w:tcPr>
          <w:p w14:paraId="7879BA0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14.87</w:t>
            </w:r>
          </w:p>
        </w:tc>
        <w:tc>
          <w:tcPr>
            <w:tcW w:w="1857" w:type="dxa"/>
            <w:noWrap/>
            <w:vAlign w:val="bottom"/>
          </w:tcPr>
          <w:p w14:paraId="07C498E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7.30</w:t>
            </w:r>
          </w:p>
        </w:tc>
        <w:tc>
          <w:tcPr>
            <w:tcW w:w="1205" w:type="dxa"/>
            <w:noWrap w:val="0"/>
            <w:vAlign w:val="bottom"/>
          </w:tcPr>
          <w:p w14:paraId="6188897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15.73</w:t>
            </w:r>
          </w:p>
        </w:tc>
        <w:tc>
          <w:tcPr>
            <w:tcW w:w="1005" w:type="dxa"/>
            <w:noWrap w:val="0"/>
            <w:vAlign w:val="bottom"/>
          </w:tcPr>
          <w:p w14:paraId="116CDF4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7.29</w:t>
            </w:r>
          </w:p>
        </w:tc>
      </w:tr>
      <w:tr w14:paraId="1B2F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bottom"/>
          </w:tcPr>
          <w:p w14:paraId="259060B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麦麸</w:t>
            </w:r>
          </w:p>
        </w:tc>
        <w:tc>
          <w:tcPr>
            <w:tcW w:w="1417" w:type="dxa"/>
            <w:noWrap w:val="0"/>
            <w:vAlign w:val="bottom"/>
          </w:tcPr>
          <w:p w14:paraId="6A82CF1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河北</w:t>
            </w:r>
          </w:p>
        </w:tc>
        <w:tc>
          <w:tcPr>
            <w:tcW w:w="1205" w:type="dxa"/>
            <w:noWrap w:val="0"/>
            <w:vAlign w:val="bottom"/>
          </w:tcPr>
          <w:p w14:paraId="1F22898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87.18</w:t>
            </w:r>
          </w:p>
        </w:tc>
        <w:tc>
          <w:tcPr>
            <w:tcW w:w="1260" w:type="dxa"/>
            <w:noWrap w:val="0"/>
            <w:vAlign w:val="bottom"/>
          </w:tcPr>
          <w:p w14:paraId="71CE24B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16.61</w:t>
            </w:r>
          </w:p>
        </w:tc>
        <w:tc>
          <w:tcPr>
            <w:tcW w:w="1345" w:type="dxa"/>
            <w:noWrap/>
            <w:vAlign w:val="bottom"/>
          </w:tcPr>
          <w:p w14:paraId="1BF2877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15.62</w:t>
            </w:r>
          </w:p>
        </w:tc>
        <w:tc>
          <w:tcPr>
            <w:tcW w:w="1223" w:type="dxa"/>
            <w:noWrap/>
            <w:vAlign w:val="bottom"/>
          </w:tcPr>
          <w:p w14:paraId="2D7243B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11.64</w:t>
            </w:r>
          </w:p>
        </w:tc>
        <w:tc>
          <w:tcPr>
            <w:tcW w:w="1857" w:type="dxa"/>
            <w:noWrap/>
            <w:vAlign w:val="bottom"/>
          </w:tcPr>
          <w:p w14:paraId="256C00B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43.43</w:t>
            </w:r>
          </w:p>
        </w:tc>
        <w:tc>
          <w:tcPr>
            <w:tcW w:w="1857" w:type="dxa"/>
            <w:noWrap/>
            <w:vAlign w:val="bottom"/>
          </w:tcPr>
          <w:p w14:paraId="277479B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13.12</w:t>
            </w:r>
          </w:p>
        </w:tc>
        <w:tc>
          <w:tcPr>
            <w:tcW w:w="1205" w:type="dxa"/>
            <w:noWrap w:val="0"/>
            <w:vAlign w:val="bottom"/>
          </w:tcPr>
          <w:p w14:paraId="2EA1280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3.07</w:t>
            </w:r>
          </w:p>
        </w:tc>
        <w:tc>
          <w:tcPr>
            <w:tcW w:w="1005" w:type="dxa"/>
            <w:noWrap w:val="0"/>
            <w:vAlign w:val="bottom"/>
          </w:tcPr>
          <w:p w14:paraId="5D79861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5.86</w:t>
            </w:r>
          </w:p>
        </w:tc>
      </w:tr>
      <w:tr w14:paraId="40B9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bottom"/>
          </w:tcPr>
          <w:p w14:paraId="43937E3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喷浆玉米皮</w:t>
            </w:r>
          </w:p>
        </w:tc>
        <w:tc>
          <w:tcPr>
            <w:tcW w:w="1417" w:type="dxa"/>
            <w:noWrap w:val="0"/>
            <w:vAlign w:val="bottom"/>
          </w:tcPr>
          <w:p w14:paraId="5E1C492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甘肃</w:t>
            </w:r>
          </w:p>
        </w:tc>
        <w:tc>
          <w:tcPr>
            <w:tcW w:w="1205" w:type="dxa"/>
            <w:noWrap w:val="0"/>
            <w:vAlign w:val="bottom"/>
          </w:tcPr>
          <w:p w14:paraId="7A47243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87.52</w:t>
            </w:r>
          </w:p>
        </w:tc>
        <w:tc>
          <w:tcPr>
            <w:tcW w:w="1260" w:type="dxa"/>
            <w:noWrap w:val="0"/>
            <w:vAlign w:val="bottom"/>
          </w:tcPr>
          <w:p w14:paraId="42B0527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15.99</w:t>
            </w:r>
          </w:p>
        </w:tc>
        <w:tc>
          <w:tcPr>
            <w:tcW w:w="1345" w:type="dxa"/>
            <w:noWrap/>
            <w:vAlign w:val="bottom"/>
          </w:tcPr>
          <w:p w14:paraId="614DFC6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18.49</w:t>
            </w:r>
          </w:p>
        </w:tc>
        <w:tc>
          <w:tcPr>
            <w:tcW w:w="1223" w:type="dxa"/>
            <w:noWrap/>
            <w:vAlign w:val="bottom"/>
          </w:tcPr>
          <w:p w14:paraId="6E7A8F3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10.33</w:t>
            </w:r>
          </w:p>
        </w:tc>
        <w:tc>
          <w:tcPr>
            <w:tcW w:w="1857" w:type="dxa"/>
            <w:noWrap/>
            <w:vAlign w:val="bottom"/>
          </w:tcPr>
          <w:p w14:paraId="460D21C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41.85</w:t>
            </w:r>
          </w:p>
        </w:tc>
        <w:tc>
          <w:tcPr>
            <w:tcW w:w="1857" w:type="dxa"/>
            <w:noWrap/>
            <w:vAlign w:val="bottom"/>
          </w:tcPr>
          <w:p w14:paraId="1109FDA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11.21</w:t>
            </w:r>
          </w:p>
        </w:tc>
        <w:tc>
          <w:tcPr>
            <w:tcW w:w="1205" w:type="dxa"/>
            <w:noWrap w:val="0"/>
            <w:vAlign w:val="bottom"/>
          </w:tcPr>
          <w:p w14:paraId="3E4C01F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1.71</w:t>
            </w:r>
          </w:p>
        </w:tc>
        <w:tc>
          <w:tcPr>
            <w:tcW w:w="1005" w:type="dxa"/>
            <w:noWrap w:val="0"/>
            <w:vAlign w:val="bottom"/>
          </w:tcPr>
          <w:p w14:paraId="06D48DE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5.31</w:t>
            </w:r>
          </w:p>
        </w:tc>
      </w:tr>
      <w:tr w14:paraId="5504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bottom"/>
          </w:tcPr>
          <w:p w14:paraId="61ACC63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玉米DDGS</w:t>
            </w:r>
          </w:p>
        </w:tc>
        <w:tc>
          <w:tcPr>
            <w:tcW w:w="1417" w:type="dxa"/>
            <w:noWrap w:val="0"/>
            <w:vAlign w:val="bottom"/>
          </w:tcPr>
          <w:p w14:paraId="12CC4ED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四川</w:t>
            </w:r>
          </w:p>
        </w:tc>
        <w:tc>
          <w:tcPr>
            <w:tcW w:w="1205" w:type="dxa"/>
            <w:noWrap w:val="0"/>
            <w:vAlign w:val="bottom"/>
          </w:tcPr>
          <w:p w14:paraId="5089AF6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88.92</w:t>
            </w:r>
          </w:p>
        </w:tc>
        <w:tc>
          <w:tcPr>
            <w:tcW w:w="1260" w:type="dxa"/>
            <w:noWrap w:val="0"/>
            <w:vAlign w:val="bottom"/>
          </w:tcPr>
          <w:p w14:paraId="0000613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19.31</w:t>
            </w:r>
          </w:p>
        </w:tc>
        <w:tc>
          <w:tcPr>
            <w:tcW w:w="1345" w:type="dxa"/>
            <w:noWrap/>
            <w:vAlign w:val="bottom"/>
          </w:tcPr>
          <w:p w14:paraId="4D7DA11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24.35</w:t>
            </w:r>
          </w:p>
        </w:tc>
        <w:tc>
          <w:tcPr>
            <w:tcW w:w="1223" w:type="dxa"/>
            <w:noWrap/>
            <w:vAlign w:val="bottom"/>
          </w:tcPr>
          <w:p w14:paraId="653603C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7.26</w:t>
            </w:r>
          </w:p>
        </w:tc>
        <w:tc>
          <w:tcPr>
            <w:tcW w:w="1857" w:type="dxa"/>
            <w:noWrap/>
            <w:vAlign w:val="bottom"/>
          </w:tcPr>
          <w:p w14:paraId="657A36B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26.85</w:t>
            </w:r>
          </w:p>
        </w:tc>
        <w:tc>
          <w:tcPr>
            <w:tcW w:w="1857" w:type="dxa"/>
            <w:noWrap/>
            <w:vAlign w:val="bottom"/>
          </w:tcPr>
          <w:p w14:paraId="656B98E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13.35</w:t>
            </w:r>
          </w:p>
        </w:tc>
        <w:tc>
          <w:tcPr>
            <w:tcW w:w="1205" w:type="dxa"/>
            <w:noWrap w:val="0"/>
            <w:vAlign w:val="bottom"/>
          </w:tcPr>
          <w:p w14:paraId="79B3ADA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9.05</w:t>
            </w:r>
          </w:p>
        </w:tc>
        <w:tc>
          <w:tcPr>
            <w:tcW w:w="1005" w:type="dxa"/>
            <w:noWrap w:val="0"/>
            <w:vAlign w:val="bottom"/>
          </w:tcPr>
          <w:p w14:paraId="052F2BD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4.67</w:t>
            </w:r>
          </w:p>
        </w:tc>
      </w:tr>
      <w:tr w14:paraId="77C2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bottom"/>
          </w:tcPr>
          <w:p w14:paraId="02DC5F5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豆粕</w:t>
            </w:r>
          </w:p>
        </w:tc>
        <w:tc>
          <w:tcPr>
            <w:tcW w:w="1417" w:type="dxa"/>
            <w:noWrap w:val="0"/>
            <w:vAlign w:val="bottom"/>
          </w:tcPr>
          <w:p w14:paraId="7601D41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1205" w:type="dxa"/>
            <w:noWrap w:val="0"/>
            <w:vAlign w:val="bottom"/>
          </w:tcPr>
          <w:p w14:paraId="4F2D65B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86.92</w:t>
            </w:r>
          </w:p>
        </w:tc>
        <w:tc>
          <w:tcPr>
            <w:tcW w:w="1260" w:type="dxa"/>
            <w:noWrap w:val="0"/>
            <w:vAlign w:val="bottom"/>
          </w:tcPr>
          <w:p w14:paraId="0FAD96E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16.96</w:t>
            </w:r>
          </w:p>
        </w:tc>
        <w:tc>
          <w:tcPr>
            <w:tcW w:w="1345" w:type="dxa"/>
            <w:noWrap/>
            <w:vAlign w:val="bottom"/>
          </w:tcPr>
          <w:p w14:paraId="283CA0F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45.10</w:t>
            </w:r>
          </w:p>
        </w:tc>
        <w:tc>
          <w:tcPr>
            <w:tcW w:w="1223" w:type="dxa"/>
            <w:noWrap/>
            <w:vAlign w:val="bottom"/>
          </w:tcPr>
          <w:p w14:paraId="293FF43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5.40</w:t>
            </w:r>
          </w:p>
        </w:tc>
        <w:tc>
          <w:tcPr>
            <w:tcW w:w="1857" w:type="dxa"/>
            <w:noWrap/>
            <w:vAlign w:val="bottom"/>
          </w:tcPr>
          <w:p w14:paraId="0213B85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9.88</w:t>
            </w:r>
          </w:p>
        </w:tc>
        <w:tc>
          <w:tcPr>
            <w:tcW w:w="1857" w:type="dxa"/>
            <w:noWrap/>
            <w:vAlign w:val="bottom"/>
          </w:tcPr>
          <w:p w14:paraId="5FC129C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8.49</w:t>
            </w:r>
          </w:p>
        </w:tc>
        <w:tc>
          <w:tcPr>
            <w:tcW w:w="1205" w:type="dxa"/>
            <w:noWrap w:val="0"/>
            <w:vAlign w:val="bottom"/>
          </w:tcPr>
          <w:p w14:paraId="035A967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0.50</w:t>
            </w:r>
          </w:p>
        </w:tc>
        <w:tc>
          <w:tcPr>
            <w:tcW w:w="1005" w:type="dxa"/>
            <w:noWrap w:val="0"/>
            <w:vAlign w:val="bottom"/>
          </w:tcPr>
          <w:p w14:paraId="4A5EA67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5.66</w:t>
            </w:r>
          </w:p>
        </w:tc>
      </w:tr>
      <w:tr w14:paraId="5538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bottom"/>
          </w:tcPr>
          <w:p w14:paraId="4F3F959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发酵豆粕</w:t>
            </w:r>
          </w:p>
        </w:tc>
        <w:tc>
          <w:tcPr>
            <w:tcW w:w="1417" w:type="dxa"/>
            <w:noWrap w:val="0"/>
            <w:vAlign w:val="bottom"/>
          </w:tcPr>
          <w:p w14:paraId="4ED94C9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1205" w:type="dxa"/>
            <w:noWrap w:val="0"/>
            <w:vAlign w:val="bottom"/>
          </w:tcPr>
          <w:p w14:paraId="592F18F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89.43</w:t>
            </w:r>
          </w:p>
        </w:tc>
        <w:tc>
          <w:tcPr>
            <w:tcW w:w="1260" w:type="dxa"/>
            <w:noWrap w:val="0"/>
            <w:vAlign w:val="bottom"/>
          </w:tcPr>
          <w:p w14:paraId="0745714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17.17</w:t>
            </w:r>
          </w:p>
        </w:tc>
        <w:tc>
          <w:tcPr>
            <w:tcW w:w="1345" w:type="dxa"/>
            <w:noWrap/>
            <w:vAlign w:val="bottom"/>
          </w:tcPr>
          <w:p w14:paraId="182DB76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50.17</w:t>
            </w:r>
          </w:p>
        </w:tc>
        <w:tc>
          <w:tcPr>
            <w:tcW w:w="1223" w:type="dxa"/>
            <w:noWrap/>
            <w:vAlign w:val="bottom"/>
          </w:tcPr>
          <w:p w14:paraId="46D496E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3.88</w:t>
            </w:r>
          </w:p>
        </w:tc>
        <w:tc>
          <w:tcPr>
            <w:tcW w:w="1857" w:type="dxa"/>
            <w:noWrap/>
            <w:vAlign w:val="bottom"/>
          </w:tcPr>
          <w:p w14:paraId="21A8313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7.41</w:t>
            </w:r>
          </w:p>
        </w:tc>
        <w:tc>
          <w:tcPr>
            <w:tcW w:w="1857" w:type="dxa"/>
            <w:noWrap/>
            <w:vAlign w:val="bottom"/>
          </w:tcPr>
          <w:p w14:paraId="06DA536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5.02</w:t>
            </w:r>
          </w:p>
        </w:tc>
        <w:tc>
          <w:tcPr>
            <w:tcW w:w="1205" w:type="dxa"/>
            <w:noWrap w:val="0"/>
            <w:vAlign w:val="bottom"/>
          </w:tcPr>
          <w:p w14:paraId="3B50140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0.95</w:t>
            </w:r>
          </w:p>
        </w:tc>
        <w:tc>
          <w:tcPr>
            <w:tcW w:w="1005" w:type="dxa"/>
            <w:noWrap w:val="0"/>
            <w:vAlign w:val="bottom"/>
          </w:tcPr>
          <w:p w14:paraId="11A0AD7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6.77</w:t>
            </w:r>
          </w:p>
        </w:tc>
      </w:tr>
      <w:tr w14:paraId="6DA1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bottom"/>
          </w:tcPr>
          <w:p w14:paraId="5A75C4A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棉籽粕</w:t>
            </w:r>
          </w:p>
        </w:tc>
        <w:tc>
          <w:tcPr>
            <w:tcW w:w="1417" w:type="dxa"/>
            <w:noWrap w:val="0"/>
            <w:vAlign w:val="bottom"/>
          </w:tcPr>
          <w:p w14:paraId="2ED4CD3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1205" w:type="dxa"/>
            <w:noWrap w:val="0"/>
            <w:vAlign w:val="bottom"/>
          </w:tcPr>
          <w:p w14:paraId="30F3BBD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89.16</w:t>
            </w:r>
          </w:p>
        </w:tc>
        <w:tc>
          <w:tcPr>
            <w:tcW w:w="1260" w:type="dxa"/>
            <w:noWrap w:val="0"/>
            <w:vAlign w:val="bottom"/>
          </w:tcPr>
          <w:p w14:paraId="6392288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16.99</w:t>
            </w:r>
          </w:p>
        </w:tc>
        <w:tc>
          <w:tcPr>
            <w:tcW w:w="1345" w:type="dxa"/>
            <w:noWrap/>
            <w:vAlign w:val="bottom"/>
          </w:tcPr>
          <w:p w14:paraId="2A492C1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49.00</w:t>
            </w:r>
          </w:p>
        </w:tc>
        <w:tc>
          <w:tcPr>
            <w:tcW w:w="1223" w:type="dxa"/>
            <w:noWrap/>
            <w:vAlign w:val="bottom"/>
          </w:tcPr>
          <w:p w14:paraId="581DCBA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8.53</w:t>
            </w:r>
          </w:p>
        </w:tc>
        <w:tc>
          <w:tcPr>
            <w:tcW w:w="1857" w:type="dxa"/>
            <w:noWrap/>
            <w:vAlign w:val="bottom"/>
          </w:tcPr>
          <w:p w14:paraId="403AD06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14.88</w:t>
            </w:r>
          </w:p>
        </w:tc>
        <w:tc>
          <w:tcPr>
            <w:tcW w:w="1857" w:type="dxa"/>
            <w:noWrap/>
            <w:vAlign w:val="bottom"/>
          </w:tcPr>
          <w:p w14:paraId="65DFF80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11.08</w:t>
            </w:r>
          </w:p>
        </w:tc>
        <w:tc>
          <w:tcPr>
            <w:tcW w:w="1205" w:type="dxa"/>
            <w:noWrap w:val="0"/>
            <w:vAlign w:val="bottom"/>
          </w:tcPr>
          <w:p w14:paraId="180F786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0.68</w:t>
            </w:r>
          </w:p>
        </w:tc>
        <w:tc>
          <w:tcPr>
            <w:tcW w:w="1005" w:type="dxa"/>
            <w:noWrap w:val="0"/>
            <w:vAlign w:val="bottom"/>
          </w:tcPr>
          <w:p w14:paraId="0DCF36B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6.20</w:t>
            </w:r>
          </w:p>
        </w:tc>
      </w:tr>
      <w:tr w14:paraId="7E93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bottom"/>
          </w:tcPr>
          <w:p w14:paraId="24323C4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菜籽粕</w:t>
            </w:r>
          </w:p>
        </w:tc>
        <w:tc>
          <w:tcPr>
            <w:tcW w:w="1417" w:type="dxa"/>
            <w:noWrap w:val="0"/>
            <w:vAlign w:val="bottom"/>
          </w:tcPr>
          <w:p w14:paraId="7253945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重庆荣昌</w:t>
            </w:r>
          </w:p>
        </w:tc>
        <w:tc>
          <w:tcPr>
            <w:tcW w:w="1205" w:type="dxa"/>
            <w:noWrap w:val="0"/>
            <w:vAlign w:val="bottom"/>
          </w:tcPr>
          <w:p w14:paraId="25143D5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91.65</w:t>
            </w:r>
          </w:p>
        </w:tc>
        <w:tc>
          <w:tcPr>
            <w:tcW w:w="1260" w:type="dxa"/>
            <w:noWrap w:val="0"/>
            <w:vAlign w:val="bottom"/>
          </w:tcPr>
          <w:p w14:paraId="352160A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18.60</w:t>
            </w:r>
          </w:p>
        </w:tc>
        <w:tc>
          <w:tcPr>
            <w:tcW w:w="1345" w:type="dxa"/>
            <w:noWrap/>
            <w:vAlign w:val="bottom"/>
          </w:tcPr>
          <w:p w14:paraId="618865D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33.73</w:t>
            </w:r>
          </w:p>
        </w:tc>
        <w:tc>
          <w:tcPr>
            <w:tcW w:w="1223" w:type="dxa"/>
            <w:noWrap/>
            <w:vAlign w:val="bottom"/>
          </w:tcPr>
          <w:p w14:paraId="19E126F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11.69</w:t>
            </w:r>
          </w:p>
        </w:tc>
        <w:tc>
          <w:tcPr>
            <w:tcW w:w="1857" w:type="dxa"/>
            <w:noWrap/>
            <w:vAlign w:val="bottom"/>
          </w:tcPr>
          <w:p w14:paraId="0AA1F99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34.91</w:t>
            </w:r>
          </w:p>
        </w:tc>
        <w:tc>
          <w:tcPr>
            <w:tcW w:w="1857" w:type="dxa"/>
            <w:noWrap/>
            <w:vAlign w:val="bottom"/>
          </w:tcPr>
          <w:p w14:paraId="7BE338D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27.50</w:t>
            </w:r>
          </w:p>
        </w:tc>
        <w:tc>
          <w:tcPr>
            <w:tcW w:w="1205" w:type="dxa"/>
            <w:noWrap w:val="0"/>
            <w:vAlign w:val="bottom"/>
          </w:tcPr>
          <w:p w14:paraId="72B6438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9.92</w:t>
            </w:r>
          </w:p>
        </w:tc>
        <w:tc>
          <w:tcPr>
            <w:tcW w:w="1005" w:type="dxa"/>
            <w:noWrap w:val="0"/>
            <w:vAlign w:val="bottom"/>
          </w:tcPr>
          <w:p w14:paraId="792A554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6.20</w:t>
            </w:r>
          </w:p>
        </w:tc>
      </w:tr>
      <w:tr w14:paraId="6334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bottom"/>
          </w:tcPr>
          <w:p w14:paraId="7D09A5A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菜籽粕</w:t>
            </w:r>
          </w:p>
        </w:tc>
        <w:tc>
          <w:tcPr>
            <w:tcW w:w="1417" w:type="dxa"/>
            <w:noWrap w:val="0"/>
            <w:vAlign w:val="bottom"/>
          </w:tcPr>
          <w:p w14:paraId="3DCE9A6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重庆铜梁</w:t>
            </w:r>
          </w:p>
        </w:tc>
        <w:tc>
          <w:tcPr>
            <w:tcW w:w="1205" w:type="dxa"/>
            <w:noWrap w:val="0"/>
            <w:vAlign w:val="bottom"/>
          </w:tcPr>
          <w:p w14:paraId="5BA19AF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90.97</w:t>
            </w:r>
          </w:p>
        </w:tc>
        <w:tc>
          <w:tcPr>
            <w:tcW w:w="1260" w:type="dxa"/>
            <w:noWrap w:val="0"/>
            <w:vAlign w:val="bottom"/>
          </w:tcPr>
          <w:p w14:paraId="485C368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345" w:type="dxa"/>
            <w:noWrap/>
            <w:vAlign w:val="bottom"/>
          </w:tcPr>
          <w:p w14:paraId="46F0C53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35.80</w:t>
            </w:r>
          </w:p>
        </w:tc>
        <w:tc>
          <w:tcPr>
            <w:tcW w:w="1223" w:type="dxa"/>
            <w:noWrap/>
            <w:vAlign w:val="bottom"/>
          </w:tcPr>
          <w:p w14:paraId="7DCDED9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857" w:type="dxa"/>
            <w:noWrap/>
            <w:vAlign w:val="bottom"/>
          </w:tcPr>
          <w:p w14:paraId="0088EDA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35.69</w:t>
            </w:r>
          </w:p>
        </w:tc>
        <w:tc>
          <w:tcPr>
            <w:tcW w:w="1857" w:type="dxa"/>
            <w:noWrap/>
            <w:vAlign w:val="bottom"/>
          </w:tcPr>
          <w:p w14:paraId="4963747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30.48</w:t>
            </w:r>
          </w:p>
        </w:tc>
        <w:tc>
          <w:tcPr>
            <w:tcW w:w="1205" w:type="dxa"/>
            <w:noWrap w:val="0"/>
            <w:vAlign w:val="bottom"/>
          </w:tcPr>
          <w:p w14:paraId="4306CFD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7.48</w:t>
            </w:r>
          </w:p>
        </w:tc>
        <w:tc>
          <w:tcPr>
            <w:tcW w:w="1005" w:type="dxa"/>
            <w:noWrap w:val="0"/>
            <w:vAlign w:val="bottom"/>
          </w:tcPr>
          <w:p w14:paraId="21B4D80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5.94</w:t>
            </w:r>
          </w:p>
        </w:tc>
      </w:tr>
      <w:tr w14:paraId="18B0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bottom"/>
          </w:tcPr>
          <w:p w14:paraId="12EC07D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菜籽粕</w:t>
            </w:r>
          </w:p>
        </w:tc>
        <w:tc>
          <w:tcPr>
            <w:tcW w:w="1417" w:type="dxa"/>
            <w:noWrap w:val="0"/>
            <w:vAlign w:val="bottom"/>
          </w:tcPr>
          <w:p w14:paraId="62A40F7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重庆潼南</w:t>
            </w:r>
          </w:p>
        </w:tc>
        <w:tc>
          <w:tcPr>
            <w:tcW w:w="1205" w:type="dxa"/>
            <w:noWrap w:val="0"/>
            <w:vAlign w:val="bottom"/>
          </w:tcPr>
          <w:p w14:paraId="4CB0BA0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97.88</w:t>
            </w:r>
          </w:p>
        </w:tc>
        <w:tc>
          <w:tcPr>
            <w:tcW w:w="1260" w:type="dxa"/>
            <w:noWrap w:val="0"/>
            <w:vAlign w:val="bottom"/>
          </w:tcPr>
          <w:p w14:paraId="27FD9C2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345" w:type="dxa"/>
            <w:noWrap/>
            <w:vAlign w:val="bottom"/>
          </w:tcPr>
          <w:p w14:paraId="1A45F43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34.33</w:t>
            </w:r>
          </w:p>
        </w:tc>
        <w:tc>
          <w:tcPr>
            <w:tcW w:w="1223" w:type="dxa"/>
            <w:noWrap/>
            <w:vAlign w:val="bottom"/>
          </w:tcPr>
          <w:p w14:paraId="3C59A11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857" w:type="dxa"/>
            <w:noWrap/>
            <w:vAlign w:val="bottom"/>
          </w:tcPr>
          <w:p w14:paraId="503D434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43.27</w:t>
            </w:r>
          </w:p>
        </w:tc>
        <w:tc>
          <w:tcPr>
            <w:tcW w:w="1857" w:type="dxa"/>
            <w:noWrap/>
            <w:vAlign w:val="bottom"/>
          </w:tcPr>
          <w:p w14:paraId="53E649B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36.18</w:t>
            </w:r>
          </w:p>
        </w:tc>
        <w:tc>
          <w:tcPr>
            <w:tcW w:w="1205" w:type="dxa"/>
            <w:noWrap w:val="0"/>
            <w:vAlign w:val="bottom"/>
          </w:tcPr>
          <w:p w14:paraId="5BDAC46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8.96</w:t>
            </w:r>
          </w:p>
        </w:tc>
        <w:tc>
          <w:tcPr>
            <w:tcW w:w="1005" w:type="dxa"/>
            <w:noWrap w:val="0"/>
            <w:vAlign w:val="bottom"/>
          </w:tcPr>
          <w:p w14:paraId="026E459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6.45</w:t>
            </w:r>
          </w:p>
        </w:tc>
      </w:tr>
      <w:tr w14:paraId="469C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top"/>
          </w:tcPr>
          <w:p w14:paraId="4A8460D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417" w:type="dxa"/>
            <w:noWrap w:val="0"/>
            <w:vAlign w:val="bottom"/>
          </w:tcPr>
          <w:p w14:paraId="2C58A8F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重庆江津</w:t>
            </w:r>
          </w:p>
        </w:tc>
        <w:tc>
          <w:tcPr>
            <w:tcW w:w="1205" w:type="dxa"/>
            <w:noWrap w:val="0"/>
            <w:vAlign w:val="bottom"/>
          </w:tcPr>
          <w:p w14:paraId="726D449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94.00</w:t>
            </w:r>
          </w:p>
        </w:tc>
        <w:tc>
          <w:tcPr>
            <w:tcW w:w="1260" w:type="dxa"/>
            <w:noWrap w:val="0"/>
            <w:vAlign w:val="bottom"/>
          </w:tcPr>
          <w:p w14:paraId="574B55F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345" w:type="dxa"/>
            <w:noWrap/>
            <w:vAlign w:val="bottom"/>
          </w:tcPr>
          <w:p w14:paraId="662FC26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32.77</w:t>
            </w:r>
          </w:p>
        </w:tc>
        <w:tc>
          <w:tcPr>
            <w:tcW w:w="1223" w:type="dxa"/>
            <w:noWrap/>
            <w:vAlign w:val="bottom"/>
          </w:tcPr>
          <w:p w14:paraId="3CD6897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857" w:type="dxa"/>
            <w:noWrap/>
            <w:vAlign w:val="bottom"/>
          </w:tcPr>
          <w:p w14:paraId="1F88F74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31.48</w:t>
            </w:r>
          </w:p>
        </w:tc>
        <w:tc>
          <w:tcPr>
            <w:tcW w:w="1857" w:type="dxa"/>
            <w:noWrap/>
            <w:vAlign w:val="bottom"/>
          </w:tcPr>
          <w:p w14:paraId="1FF8A9F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26.63</w:t>
            </w:r>
          </w:p>
        </w:tc>
        <w:tc>
          <w:tcPr>
            <w:tcW w:w="1205" w:type="dxa"/>
            <w:noWrap w:val="0"/>
            <w:vAlign w:val="bottom"/>
          </w:tcPr>
          <w:p w14:paraId="090B377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8.72</w:t>
            </w:r>
          </w:p>
        </w:tc>
        <w:tc>
          <w:tcPr>
            <w:tcW w:w="1005" w:type="dxa"/>
            <w:noWrap w:val="0"/>
            <w:vAlign w:val="bottom"/>
          </w:tcPr>
          <w:p w14:paraId="5FFC62B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6.94</w:t>
            </w:r>
          </w:p>
        </w:tc>
      </w:tr>
      <w:tr w14:paraId="084A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top"/>
          </w:tcPr>
          <w:p w14:paraId="3643147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417" w:type="dxa"/>
            <w:noWrap w:val="0"/>
            <w:vAlign w:val="bottom"/>
          </w:tcPr>
          <w:p w14:paraId="4C59B02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重庆大足</w:t>
            </w:r>
          </w:p>
        </w:tc>
        <w:tc>
          <w:tcPr>
            <w:tcW w:w="1205" w:type="dxa"/>
            <w:noWrap w:val="0"/>
            <w:vAlign w:val="bottom"/>
          </w:tcPr>
          <w:p w14:paraId="15CA3CB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93.03</w:t>
            </w:r>
          </w:p>
        </w:tc>
        <w:tc>
          <w:tcPr>
            <w:tcW w:w="1260" w:type="dxa"/>
            <w:noWrap w:val="0"/>
            <w:vAlign w:val="bottom"/>
          </w:tcPr>
          <w:p w14:paraId="6F96D09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345" w:type="dxa"/>
            <w:noWrap/>
            <w:vAlign w:val="bottom"/>
          </w:tcPr>
          <w:p w14:paraId="10AF2E6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36.58</w:t>
            </w:r>
          </w:p>
        </w:tc>
        <w:tc>
          <w:tcPr>
            <w:tcW w:w="1223" w:type="dxa"/>
            <w:noWrap/>
            <w:vAlign w:val="bottom"/>
          </w:tcPr>
          <w:p w14:paraId="27CA6A7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857" w:type="dxa"/>
            <w:noWrap/>
            <w:vAlign w:val="bottom"/>
          </w:tcPr>
          <w:p w14:paraId="15DB604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37.07</w:t>
            </w:r>
          </w:p>
        </w:tc>
        <w:tc>
          <w:tcPr>
            <w:tcW w:w="1857" w:type="dxa"/>
            <w:noWrap/>
            <w:vAlign w:val="bottom"/>
          </w:tcPr>
          <w:p w14:paraId="386648F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30.48</w:t>
            </w:r>
          </w:p>
        </w:tc>
        <w:tc>
          <w:tcPr>
            <w:tcW w:w="1205" w:type="dxa"/>
            <w:noWrap w:val="0"/>
            <w:vAlign w:val="bottom"/>
          </w:tcPr>
          <w:p w14:paraId="76311E1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7.64</w:t>
            </w:r>
          </w:p>
        </w:tc>
        <w:tc>
          <w:tcPr>
            <w:tcW w:w="1005" w:type="dxa"/>
            <w:noWrap w:val="0"/>
            <w:vAlign w:val="bottom"/>
          </w:tcPr>
          <w:p w14:paraId="58D601E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5.64</w:t>
            </w:r>
          </w:p>
        </w:tc>
      </w:tr>
      <w:tr w14:paraId="3E30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top"/>
          </w:tcPr>
          <w:p w14:paraId="01199FD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417" w:type="dxa"/>
            <w:noWrap w:val="0"/>
            <w:vAlign w:val="bottom"/>
          </w:tcPr>
          <w:p w14:paraId="0686E41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重庆邮亭</w:t>
            </w:r>
          </w:p>
        </w:tc>
        <w:tc>
          <w:tcPr>
            <w:tcW w:w="1205" w:type="dxa"/>
            <w:noWrap w:val="0"/>
            <w:vAlign w:val="bottom"/>
          </w:tcPr>
          <w:p w14:paraId="05D834C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91.01</w:t>
            </w:r>
          </w:p>
        </w:tc>
        <w:tc>
          <w:tcPr>
            <w:tcW w:w="1260" w:type="dxa"/>
            <w:noWrap w:val="0"/>
            <w:vAlign w:val="bottom"/>
          </w:tcPr>
          <w:p w14:paraId="2B8581C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345" w:type="dxa"/>
            <w:noWrap/>
            <w:vAlign w:val="bottom"/>
          </w:tcPr>
          <w:p w14:paraId="0012AB3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35.76</w:t>
            </w:r>
          </w:p>
        </w:tc>
        <w:tc>
          <w:tcPr>
            <w:tcW w:w="1223" w:type="dxa"/>
            <w:noWrap/>
            <w:vAlign w:val="bottom"/>
          </w:tcPr>
          <w:p w14:paraId="746E18B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857" w:type="dxa"/>
            <w:noWrap/>
            <w:vAlign w:val="bottom"/>
          </w:tcPr>
          <w:p w14:paraId="09DD914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38.94</w:t>
            </w:r>
          </w:p>
        </w:tc>
        <w:tc>
          <w:tcPr>
            <w:tcW w:w="1857" w:type="dxa"/>
            <w:noWrap/>
            <w:vAlign w:val="bottom"/>
          </w:tcPr>
          <w:p w14:paraId="2BFE6DB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32.57</w:t>
            </w:r>
          </w:p>
        </w:tc>
        <w:tc>
          <w:tcPr>
            <w:tcW w:w="1205" w:type="dxa"/>
            <w:noWrap w:val="0"/>
            <w:vAlign w:val="bottom"/>
          </w:tcPr>
          <w:p w14:paraId="067BACB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8.14</w:t>
            </w:r>
          </w:p>
        </w:tc>
        <w:tc>
          <w:tcPr>
            <w:tcW w:w="1005" w:type="dxa"/>
            <w:noWrap w:val="0"/>
            <w:vAlign w:val="bottom"/>
          </w:tcPr>
          <w:p w14:paraId="0EE1780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6.38</w:t>
            </w:r>
          </w:p>
        </w:tc>
      </w:tr>
      <w:tr w14:paraId="1918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top"/>
          </w:tcPr>
          <w:p w14:paraId="0545245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417" w:type="dxa"/>
            <w:noWrap w:val="0"/>
            <w:vAlign w:val="bottom"/>
          </w:tcPr>
          <w:p w14:paraId="5F3C7BB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重庆铜梁</w:t>
            </w:r>
          </w:p>
        </w:tc>
        <w:tc>
          <w:tcPr>
            <w:tcW w:w="1205" w:type="dxa"/>
            <w:noWrap w:val="0"/>
            <w:vAlign w:val="bottom"/>
          </w:tcPr>
          <w:p w14:paraId="2136D9D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93.35</w:t>
            </w:r>
          </w:p>
        </w:tc>
        <w:tc>
          <w:tcPr>
            <w:tcW w:w="1260" w:type="dxa"/>
            <w:noWrap w:val="0"/>
            <w:vAlign w:val="bottom"/>
          </w:tcPr>
          <w:p w14:paraId="55F087E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345" w:type="dxa"/>
            <w:noWrap/>
            <w:vAlign w:val="bottom"/>
          </w:tcPr>
          <w:p w14:paraId="14B1262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35.35</w:t>
            </w:r>
          </w:p>
        </w:tc>
        <w:tc>
          <w:tcPr>
            <w:tcW w:w="1223" w:type="dxa"/>
            <w:noWrap/>
            <w:vAlign w:val="bottom"/>
          </w:tcPr>
          <w:p w14:paraId="1463B18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857" w:type="dxa"/>
            <w:noWrap/>
            <w:vAlign w:val="bottom"/>
          </w:tcPr>
          <w:p w14:paraId="10A26BD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33.85</w:t>
            </w:r>
          </w:p>
        </w:tc>
        <w:tc>
          <w:tcPr>
            <w:tcW w:w="1857" w:type="dxa"/>
            <w:noWrap/>
            <w:vAlign w:val="bottom"/>
          </w:tcPr>
          <w:p w14:paraId="5650A2A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39.23</w:t>
            </w:r>
          </w:p>
        </w:tc>
        <w:tc>
          <w:tcPr>
            <w:tcW w:w="1205" w:type="dxa"/>
            <w:noWrap w:val="0"/>
            <w:vAlign w:val="bottom"/>
          </w:tcPr>
          <w:p w14:paraId="4F55163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8.28</w:t>
            </w:r>
          </w:p>
        </w:tc>
        <w:tc>
          <w:tcPr>
            <w:tcW w:w="1005" w:type="dxa"/>
            <w:noWrap w:val="0"/>
            <w:vAlign w:val="bottom"/>
          </w:tcPr>
          <w:p w14:paraId="2AD2CE2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6.17</w:t>
            </w:r>
          </w:p>
        </w:tc>
      </w:tr>
      <w:tr w14:paraId="2D10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jc w:val="center"/>
        </w:trPr>
        <w:tc>
          <w:tcPr>
            <w:tcW w:w="1306" w:type="dxa"/>
            <w:noWrap w:val="0"/>
            <w:vAlign w:val="top"/>
          </w:tcPr>
          <w:p w14:paraId="0446443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417" w:type="dxa"/>
            <w:noWrap w:val="0"/>
            <w:vAlign w:val="bottom"/>
          </w:tcPr>
          <w:p w14:paraId="05452CB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重庆荣昌</w:t>
            </w:r>
          </w:p>
        </w:tc>
        <w:tc>
          <w:tcPr>
            <w:tcW w:w="1205" w:type="dxa"/>
            <w:noWrap w:val="0"/>
            <w:vAlign w:val="bottom"/>
          </w:tcPr>
          <w:p w14:paraId="3ADC88D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91.33</w:t>
            </w:r>
          </w:p>
        </w:tc>
        <w:tc>
          <w:tcPr>
            <w:tcW w:w="1260" w:type="dxa"/>
            <w:noWrap w:val="0"/>
            <w:vAlign w:val="bottom"/>
          </w:tcPr>
          <w:p w14:paraId="2D44E1C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345" w:type="dxa"/>
            <w:noWrap/>
            <w:vAlign w:val="bottom"/>
          </w:tcPr>
          <w:p w14:paraId="1EF6BEC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32.92</w:t>
            </w:r>
          </w:p>
        </w:tc>
        <w:tc>
          <w:tcPr>
            <w:tcW w:w="1223" w:type="dxa"/>
            <w:noWrap/>
            <w:vAlign w:val="bottom"/>
          </w:tcPr>
          <w:p w14:paraId="4006AA1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857" w:type="dxa"/>
            <w:noWrap/>
            <w:vAlign w:val="bottom"/>
          </w:tcPr>
          <w:p w14:paraId="2F7D3F4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31.13</w:t>
            </w:r>
          </w:p>
        </w:tc>
        <w:tc>
          <w:tcPr>
            <w:tcW w:w="1857" w:type="dxa"/>
            <w:noWrap/>
            <w:vAlign w:val="bottom"/>
          </w:tcPr>
          <w:p w14:paraId="11884E0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25.72</w:t>
            </w:r>
          </w:p>
        </w:tc>
        <w:tc>
          <w:tcPr>
            <w:tcW w:w="1205" w:type="dxa"/>
            <w:noWrap w:val="0"/>
            <w:vAlign w:val="bottom"/>
          </w:tcPr>
          <w:p w14:paraId="67E951F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7.35</w:t>
            </w:r>
          </w:p>
        </w:tc>
        <w:tc>
          <w:tcPr>
            <w:tcW w:w="1005" w:type="dxa"/>
            <w:noWrap w:val="0"/>
            <w:vAlign w:val="bottom"/>
          </w:tcPr>
          <w:p w14:paraId="0E098D7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7.00</w:t>
            </w:r>
          </w:p>
        </w:tc>
      </w:tr>
    </w:tbl>
    <w:p w14:paraId="75CFD78A">
      <w:pPr>
        <w:pageBreakBefore w:val="0"/>
        <w:wordWrap/>
        <w:overflowPunct/>
        <w:topLinePunct w:val="0"/>
        <w:bidi w:val="0"/>
        <w:snapToGrid w:val="0"/>
        <w:spacing w:beforeAutospacing="0" w:afterAutospacing="0" w:line="600" w:lineRule="exact"/>
        <w:ind w:left="0" w:leftChars="0" w:right="0" w:rightChars="0" w:firstLine="560" w:firstLineChars="200"/>
        <w:jc w:val="center"/>
        <w:rPr>
          <w:rFonts w:hint="eastAsia" w:ascii="方正黑体_GBK" w:hAnsi="方正黑体_GBK" w:eastAsia="方正黑体_GBK" w:cs="方正黑体_GBK"/>
          <w:b w:val="0"/>
          <w:bCs w:val="0"/>
          <w:sz w:val="28"/>
          <w:szCs w:val="28"/>
        </w:rPr>
      </w:pPr>
    </w:p>
    <w:p w14:paraId="6036454A">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p>
    <w:p w14:paraId="0DD39763">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p>
    <w:p w14:paraId="17DC0104">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rPr>
        <w:t>表2 饲料原料必需氨基酸含量（风干基础，87%干物质）</w:t>
      </w:r>
    </w:p>
    <w:p w14:paraId="615FF963">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p>
    <w:tbl>
      <w:tblPr>
        <w:tblStyle w:val="9"/>
        <w:tblW w:w="12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227"/>
        <w:gridCol w:w="822"/>
        <w:gridCol w:w="1212"/>
        <w:gridCol w:w="1178"/>
        <w:gridCol w:w="1189"/>
        <w:gridCol w:w="1201"/>
        <w:gridCol w:w="934"/>
        <w:gridCol w:w="936"/>
        <w:gridCol w:w="935"/>
        <w:gridCol w:w="937"/>
        <w:gridCol w:w="976"/>
      </w:tblGrid>
      <w:tr w14:paraId="47C1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417" w:type="dxa"/>
            <w:noWrap w:val="0"/>
            <w:vAlign w:val="center"/>
          </w:tcPr>
          <w:p w14:paraId="2BCEDE7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饲料</w:t>
            </w:r>
          </w:p>
        </w:tc>
        <w:tc>
          <w:tcPr>
            <w:tcW w:w="1227" w:type="dxa"/>
            <w:noWrap w:val="0"/>
            <w:vAlign w:val="center"/>
          </w:tcPr>
          <w:p w14:paraId="430DA35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产地</w:t>
            </w:r>
          </w:p>
        </w:tc>
        <w:tc>
          <w:tcPr>
            <w:tcW w:w="822" w:type="dxa"/>
            <w:noWrap w:val="0"/>
            <w:vAlign w:val="center"/>
          </w:tcPr>
          <w:p w14:paraId="00563BE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both"/>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赖氨酸Lys</w:t>
            </w:r>
          </w:p>
        </w:tc>
        <w:tc>
          <w:tcPr>
            <w:tcW w:w="1212" w:type="dxa"/>
            <w:noWrap/>
            <w:vAlign w:val="center"/>
          </w:tcPr>
          <w:p w14:paraId="52D8D50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蛋氨酸Met</w:t>
            </w:r>
          </w:p>
        </w:tc>
        <w:tc>
          <w:tcPr>
            <w:tcW w:w="1178" w:type="dxa"/>
            <w:noWrap/>
            <w:vAlign w:val="center"/>
          </w:tcPr>
          <w:p w14:paraId="06DC79B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色氨酸Try</w:t>
            </w:r>
          </w:p>
        </w:tc>
        <w:tc>
          <w:tcPr>
            <w:tcW w:w="1189" w:type="dxa"/>
            <w:noWrap/>
            <w:vAlign w:val="center"/>
          </w:tcPr>
          <w:p w14:paraId="014743A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苏氨酸Thr</w:t>
            </w:r>
          </w:p>
        </w:tc>
        <w:tc>
          <w:tcPr>
            <w:tcW w:w="1201" w:type="dxa"/>
            <w:noWrap/>
            <w:vAlign w:val="center"/>
          </w:tcPr>
          <w:p w14:paraId="32C2754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精氨酸Arg</w:t>
            </w:r>
          </w:p>
        </w:tc>
        <w:tc>
          <w:tcPr>
            <w:tcW w:w="934" w:type="dxa"/>
            <w:noWrap w:val="0"/>
            <w:vAlign w:val="center"/>
          </w:tcPr>
          <w:p w14:paraId="4C29BD9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缬氨酸Val</w:t>
            </w:r>
          </w:p>
        </w:tc>
        <w:tc>
          <w:tcPr>
            <w:tcW w:w="936" w:type="dxa"/>
            <w:noWrap w:val="0"/>
            <w:vAlign w:val="center"/>
          </w:tcPr>
          <w:p w14:paraId="36DD1FB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异亮氨酸Ile</w:t>
            </w:r>
          </w:p>
        </w:tc>
        <w:tc>
          <w:tcPr>
            <w:tcW w:w="935" w:type="dxa"/>
            <w:noWrap w:val="0"/>
            <w:vAlign w:val="center"/>
          </w:tcPr>
          <w:p w14:paraId="2CB44A1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亮氨酸Leu</w:t>
            </w:r>
          </w:p>
        </w:tc>
        <w:tc>
          <w:tcPr>
            <w:tcW w:w="937" w:type="dxa"/>
            <w:noWrap w:val="0"/>
            <w:vAlign w:val="center"/>
          </w:tcPr>
          <w:p w14:paraId="7C58985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苯丙氨酸Phe</w:t>
            </w:r>
          </w:p>
        </w:tc>
        <w:tc>
          <w:tcPr>
            <w:tcW w:w="976" w:type="dxa"/>
            <w:noWrap w:val="0"/>
            <w:vAlign w:val="center"/>
          </w:tcPr>
          <w:p w14:paraId="57795A7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组氨酸His</w:t>
            </w:r>
          </w:p>
        </w:tc>
      </w:tr>
      <w:tr w14:paraId="2045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center"/>
          </w:tcPr>
          <w:p w14:paraId="0C6AA3C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玉米</w:t>
            </w:r>
          </w:p>
        </w:tc>
        <w:tc>
          <w:tcPr>
            <w:tcW w:w="1227" w:type="dxa"/>
            <w:noWrap w:val="0"/>
            <w:vAlign w:val="top"/>
          </w:tcPr>
          <w:p w14:paraId="5078945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山西</w:t>
            </w:r>
          </w:p>
        </w:tc>
        <w:tc>
          <w:tcPr>
            <w:tcW w:w="822" w:type="dxa"/>
            <w:noWrap w:val="0"/>
            <w:vAlign w:val="center"/>
          </w:tcPr>
          <w:p w14:paraId="0144ABF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0.238</w:t>
            </w:r>
          </w:p>
        </w:tc>
        <w:tc>
          <w:tcPr>
            <w:tcW w:w="1212" w:type="dxa"/>
            <w:noWrap/>
            <w:vAlign w:val="center"/>
          </w:tcPr>
          <w:p w14:paraId="00842A1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0.164</w:t>
            </w:r>
          </w:p>
        </w:tc>
        <w:tc>
          <w:tcPr>
            <w:tcW w:w="1178" w:type="dxa"/>
            <w:noWrap/>
            <w:vAlign w:val="center"/>
          </w:tcPr>
          <w:p w14:paraId="228EEB4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0.056</w:t>
            </w:r>
          </w:p>
        </w:tc>
        <w:tc>
          <w:tcPr>
            <w:tcW w:w="1189" w:type="dxa"/>
            <w:noWrap/>
            <w:vAlign w:val="center"/>
          </w:tcPr>
          <w:p w14:paraId="5199D4E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0.257</w:t>
            </w:r>
          </w:p>
        </w:tc>
        <w:tc>
          <w:tcPr>
            <w:tcW w:w="1201" w:type="dxa"/>
            <w:noWrap/>
            <w:vAlign w:val="center"/>
          </w:tcPr>
          <w:p w14:paraId="0743719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0.322</w:t>
            </w:r>
          </w:p>
        </w:tc>
        <w:tc>
          <w:tcPr>
            <w:tcW w:w="934" w:type="dxa"/>
            <w:noWrap w:val="0"/>
            <w:vAlign w:val="center"/>
          </w:tcPr>
          <w:p w14:paraId="6E37201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0.343</w:t>
            </w:r>
          </w:p>
        </w:tc>
        <w:tc>
          <w:tcPr>
            <w:tcW w:w="936" w:type="dxa"/>
            <w:noWrap w:val="0"/>
            <w:vAlign w:val="center"/>
          </w:tcPr>
          <w:p w14:paraId="0E32DD3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0.248</w:t>
            </w:r>
          </w:p>
        </w:tc>
        <w:tc>
          <w:tcPr>
            <w:tcW w:w="935" w:type="dxa"/>
            <w:noWrap w:val="0"/>
            <w:vAlign w:val="center"/>
          </w:tcPr>
          <w:p w14:paraId="24C67B3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0.829</w:t>
            </w:r>
          </w:p>
        </w:tc>
        <w:tc>
          <w:tcPr>
            <w:tcW w:w="937" w:type="dxa"/>
            <w:noWrap w:val="0"/>
            <w:vAlign w:val="center"/>
          </w:tcPr>
          <w:p w14:paraId="67EE710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0.319</w:t>
            </w:r>
          </w:p>
        </w:tc>
        <w:tc>
          <w:tcPr>
            <w:tcW w:w="976" w:type="dxa"/>
            <w:noWrap w:val="0"/>
            <w:vAlign w:val="center"/>
          </w:tcPr>
          <w:p w14:paraId="4AE4437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0.210</w:t>
            </w:r>
          </w:p>
        </w:tc>
      </w:tr>
      <w:tr w14:paraId="4B59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center"/>
          </w:tcPr>
          <w:p w14:paraId="4B72C35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玉米</w:t>
            </w:r>
          </w:p>
        </w:tc>
        <w:tc>
          <w:tcPr>
            <w:tcW w:w="1227" w:type="dxa"/>
            <w:noWrap w:val="0"/>
            <w:vAlign w:val="top"/>
          </w:tcPr>
          <w:p w14:paraId="4C0D53E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吉林</w:t>
            </w:r>
          </w:p>
        </w:tc>
        <w:tc>
          <w:tcPr>
            <w:tcW w:w="822" w:type="dxa"/>
            <w:noWrap w:val="0"/>
            <w:vAlign w:val="bottom"/>
          </w:tcPr>
          <w:p w14:paraId="3F85100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0.252</w:t>
            </w:r>
          </w:p>
        </w:tc>
        <w:tc>
          <w:tcPr>
            <w:tcW w:w="1212" w:type="dxa"/>
            <w:noWrap/>
            <w:vAlign w:val="top"/>
          </w:tcPr>
          <w:p w14:paraId="1421BF5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0.186</w:t>
            </w:r>
          </w:p>
        </w:tc>
        <w:tc>
          <w:tcPr>
            <w:tcW w:w="1178" w:type="dxa"/>
            <w:noWrap/>
            <w:vAlign w:val="top"/>
          </w:tcPr>
          <w:p w14:paraId="58C6A4D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0.060</w:t>
            </w:r>
          </w:p>
        </w:tc>
        <w:tc>
          <w:tcPr>
            <w:tcW w:w="1189" w:type="dxa"/>
            <w:noWrap/>
            <w:vAlign w:val="top"/>
          </w:tcPr>
          <w:p w14:paraId="4BBCBBC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0.287</w:t>
            </w:r>
          </w:p>
        </w:tc>
        <w:tc>
          <w:tcPr>
            <w:tcW w:w="1201" w:type="dxa"/>
            <w:noWrap/>
            <w:vAlign w:val="top"/>
          </w:tcPr>
          <w:p w14:paraId="7AAC453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0.342</w:t>
            </w:r>
          </w:p>
        </w:tc>
        <w:tc>
          <w:tcPr>
            <w:tcW w:w="934" w:type="dxa"/>
            <w:noWrap w:val="0"/>
            <w:vAlign w:val="center"/>
          </w:tcPr>
          <w:p w14:paraId="47799ED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0.377</w:t>
            </w:r>
          </w:p>
        </w:tc>
        <w:tc>
          <w:tcPr>
            <w:tcW w:w="936" w:type="dxa"/>
            <w:noWrap w:val="0"/>
            <w:vAlign w:val="center"/>
          </w:tcPr>
          <w:p w14:paraId="7DBA0F0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0.277</w:t>
            </w:r>
          </w:p>
        </w:tc>
        <w:tc>
          <w:tcPr>
            <w:tcW w:w="935" w:type="dxa"/>
            <w:noWrap w:val="0"/>
            <w:vAlign w:val="bottom"/>
          </w:tcPr>
          <w:p w14:paraId="661958F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0.962</w:t>
            </w:r>
          </w:p>
        </w:tc>
        <w:tc>
          <w:tcPr>
            <w:tcW w:w="937" w:type="dxa"/>
            <w:noWrap w:val="0"/>
            <w:vAlign w:val="top"/>
          </w:tcPr>
          <w:p w14:paraId="1B95F62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0.329</w:t>
            </w:r>
          </w:p>
        </w:tc>
        <w:tc>
          <w:tcPr>
            <w:tcW w:w="976" w:type="dxa"/>
            <w:noWrap w:val="0"/>
            <w:vAlign w:val="top"/>
          </w:tcPr>
          <w:p w14:paraId="50528D9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0.227</w:t>
            </w:r>
          </w:p>
        </w:tc>
      </w:tr>
      <w:tr w14:paraId="0D85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center"/>
          </w:tcPr>
          <w:p w14:paraId="5BB29DB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米糠</w:t>
            </w:r>
          </w:p>
        </w:tc>
        <w:tc>
          <w:tcPr>
            <w:tcW w:w="1227" w:type="dxa"/>
            <w:noWrap w:val="0"/>
            <w:vAlign w:val="bottom"/>
          </w:tcPr>
          <w:p w14:paraId="643C0C8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822" w:type="dxa"/>
            <w:noWrap w:val="0"/>
            <w:vAlign w:val="center"/>
          </w:tcPr>
          <w:p w14:paraId="25E944D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0.658</w:t>
            </w:r>
          </w:p>
        </w:tc>
        <w:tc>
          <w:tcPr>
            <w:tcW w:w="1212" w:type="dxa"/>
            <w:noWrap/>
            <w:vAlign w:val="center"/>
          </w:tcPr>
          <w:p w14:paraId="558BA8A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0.288</w:t>
            </w:r>
          </w:p>
        </w:tc>
        <w:tc>
          <w:tcPr>
            <w:tcW w:w="1178" w:type="dxa"/>
            <w:noWrap/>
            <w:vAlign w:val="center"/>
          </w:tcPr>
          <w:p w14:paraId="773DE8D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0.165</w:t>
            </w:r>
          </w:p>
        </w:tc>
        <w:tc>
          <w:tcPr>
            <w:tcW w:w="1189" w:type="dxa"/>
            <w:noWrap/>
            <w:vAlign w:val="center"/>
          </w:tcPr>
          <w:p w14:paraId="7BD0E58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0.513</w:t>
            </w:r>
          </w:p>
        </w:tc>
        <w:tc>
          <w:tcPr>
            <w:tcW w:w="1201" w:type="dxa"/>
            <w:noWrap/>
            <w:vAlign w:val="center"/>
          </w:tcPr>
          <w:p w14:paraId="36F35DE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1.092</w:t>
            </w:r>
          </w:p>
        </w:tc>
        <w:tc>
          <w:tcPr>
            <w:tcW w:w="934" w:type="dxa"/>
            <w:noWrap w:val="0"/>
            <w:vAlign w:val="center"/>
          </w:tcPr>
          <w:p w14:paraId="49FEEAD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0.720</w:t>
            </w:r>
          </w:p>
        </w:tc>
        <w:tc>
          <w:tcPr>
            <w:tcW w:w="936" w:type="dxa"/>
            <w:noWrap w:val="0"/>
            <w:vAlign w:val="center"/>
          </w:tcPr>
          <w:p w14:paraId="381A204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0.484</w:t>
            </w:r>
          </w:p>
        </w:tc>
        <w:tc>
          <w:tcPr>
            <w:tcW w:w="935" w:type="dxa"/>
            <w:noWrap w:val="0"/>
            <w:vAlign w:val="center"/>
          </w:tcPr>
          <w:p w14:paraId="15EBD0B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0.936</w:t>
            </w:r>
          </w:p>
        </w:tc>
        <w:tc>
          <w:tcPr>
            <w:tcW w:w="937" w:type="dxa"/>
            <w:noWrap w:val="0"/>
            <w:vAlign w:val="center"/>
          </w:tcPr>
          <w:p w14:paraId="4E7D7D5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0.643</w:t>
            </w:r>
          </w:p>
        </w:tc>
        <w:tc>
          <w:tcPr>
            <w:tcW w:w="976" w:type="dxa"/>
            <w:noWrap w:val="0"/>
            <w:vAlign w:val="center"/>
          </w:tcPr>
          <w:p w14:paraId="1F00C9D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0.387</w:t>
            </w:r>
          </w:p>
        </w:tc>
      </w:tr>
      <w:tr w14:paraId="422F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center"/>
          </w:tcPr>
          <w:p w14:paraId="2BE6D52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麦麸</w:t>
            </w:r>
          </w:p>
        </w:tc>
        <w:tc>
          <w:tcPr>
            <w:tcW w:w="1227" w:type="dxa"/>
            <w:noWrap w:val="0"/>
            <w:vAlign w:val="bottom"/>
          </w:tcPr>
          <w:p w14:paraId="5BD453A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822" w:type="dxa"/>
            <w:noWrap w:val="0"/>
            <w:vAlign w:val="center"/>
          </w:tcPr>
          <w:p w14:paraId="43F17B6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0.664</w:t>
            </w:r>
          </w:p>
        </w:tc>
        <w:tc>
          <w:tcPr>
            <w:tcW w:w="1212" w:type="dxa"/>
            <w:noWrap/>
            <w:vAlign w:val="center"/>
          </w:tcPr>
          <w:p w14:paraId="33BF1B5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0.236</w:t>
            </w:r>
          </w:p>
        </w:tc>
        <w:tc>
          <w:tcPr>
            <w:tcW w:w="1178" w:type="dxa"/>
            <w:noWrap/>
            <w:vAlign w:val="center"/>
          </w:tcPr>
          <w:p w14:paraId="74B2776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0.264</w:t>
            </w:r>
          </w:p>
        </w:tc>
        <w:tc>
          <w:tcPr>
            <w:tcW w:w="1189" w:type="dxa"/>
            <w:noWrap/>
            <w:vAlign w:val="center"/>
          </w:tcPr>
          <w:p w14:paraId="35D6F7E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0.512</w:t>
            </w:r>
          </w:p>
        </w:tc>
        <w:tc>
          <w:tcPr>
            <w:tcW w:w="1201" w:type="dxa"/>
            <w:noWrap/>
            <w:vAlign w:val="center"/>
          </w:tcPr>
          <w:p w14:paraId="71F72FB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1.206</w:t>
            </w:r>
          </w:p>
        </w:tc>
        <w:tc>
          <w:tcPr>
            <w:tcW w:w="934" w:type="dxa"/>
            <w:noWrap w:val="0"/>
            <w:vAlign w:val="center"/>
          </w:tcPr>
          <w:p w14:paraId="216293A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0.731</w:t>
            </w:r>
          </w:p>
        </w:tc>
        <w:tc>
          <w:tcPr>
            <w:tcW w:w="936" w:type="dxa"/>
            <w:noWrap w:val="0"/>
            <w:vAlign w:val="center"/>
          </w:tcPr>
          <w:p w14:paraId="171661B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0.490</w:t>
            </w:r>
          </w:p>
        </w:tc>
        <w:tc>
          <w:tcPr>
            <w:tcW w:w="935" w:type="dxa"/>
            <w:noWrap w:val="0"/>
            <w:vAlign w:val="center"/>
          </w:tcPr>
          <w:p w14:paraId="1BA3F82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0.935</w:t>
            </w:r>
          </w:p>
        </w:tc>
        <w:tc>
          <w:tcPr>
            <w:tcW w:w="937" w:type="dxa"/>
            <w:noWrap w:val="0"/>
            <w:vAlign w:val="center"/>
          </w:tcPr>
          <w:p w14:paraId="42CD9E5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0.668</w:t>
            </w:r>
          </w:p>
        </w:tc>
        <w:tc>
          <w:tcPr>
            <w:tcW w:w="976" w:type="dxa"/>
            <w:noWrap w:val="0"/>
            <w:vAlign w:val="center"/>
          </w:tcPr>
          <w:p w14:paraId="1466F4A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0.467</w:t>
            </w:r>
          </w:p>
        </w:tc>
      </w:tr>
      <w:tr w14:paraId="2E7F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center"/>
          </w:tcPr>
          <w:p w14:paraId="14F5C2C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喷浆玉米皮</w:t>
            </w:r>
          </w:p>
        </w:tc>
        <w:tc>
          <w:tcPr>
            <w:tcW w:w="1227" w:type="dxa"/>
            <w:noWrap w:val="0"/>
            <w:vAlign w:val="bottom"/>
          </w:tcPr>
          <w:p w14:paraId="3F81A6B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河北</w:t>
            </w:r>
          </w:p>
        </w:tc>
        <w:tc>
          <w:tcPr>
            <w:tcW w:w="822" w:type="dxa"/>
            <w:noWrap w:val="0"/>
            <w:vAlign w:val="center"/>
          </w:tcPr>
          <w:p w14:paraId="482CF2F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0.686</w:t>
            </w:r>
          </w:p>
        </w:tc>
        <w:tc>
          <w:tcPr>
            <w:tcW w:w="1212" w:type="dxa"/>
            <w:noWrap/>
            <w:vAlign w:val="center"/>
          </w:tcPr>
          <w:p w14:paraId="176710E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0.285</w:t>
            </w:r>
          </w:p>
        </w:tc>
        <w:tc>
          <w:tcPr>
            <w:tcW w:w="1178" w:type="dxa"/>
            <w:noWrap/>
            <w:vAlign w:val="center"/>
          </w:tcPr>
          <w:p w14:paraId="61C94CD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0.086</w:t>
            </w:r>
          </w:p>
        </w:tc>
        <w:tc>
          <w:tcPr>
            <w:tcW w:w="1189" w:type="dxa"/>
            <w:noWrap/>
            <w:vAlign w:val="center"/>
          </w:tcPr>
          <w:p w14:paraId="48B821D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0.688</w:t>
            </w:r>
          </w:p>
        </w:tc>
        <w:tc>
          <w:tcPr>
            <w:tcW w:w="1201" w:type="dxa"/>
            <w:noWrap/>
            <w:vAlign w:val="center"/>
          </w:tcPr>
          <w:p w14:paraId="458696F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0.711</w:t>
            </w:r>
          </w:p>
        </w:tc>
        <w:tc>
          <w:tcPr>
            <w:tcW w:w="934" w:type="dxa"/>
            <w:noWrap w:val="0"/>
            <w:vAlign w:val="center"/>
          </w:tcPr>
          <w:p w14:paraId="2E408F2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0.865</w:t>
            </w:r>
          </w:p>
        </w:tc>
        <w:tc>
          <w:tcPr>
            <w:tcW w:w="936" w:type="dxa"/>
            <w:noWrap w:val="0"/>
            <w:vAlign w:val="center"/>
          </w:tcPr>
          <w:p w14:paraId="26557BA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0.530</w:t>
            </w:r>
          </w:p>
        </w:tc>
        <w:tc>
          <w:tcPr>
            <w:tcW w:w="935" w:type="dxa"/>
            <w:noWrap w:val="0"/>
            <w:vAlign w:val="center"/>
          </w:tcPr>
          <w:p w14:paraId="4BD7180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1.545</w:t>
            </w:r>
          </w:p>
        </w:tc>
        <w:tc>
          <w:tcPr>
            <w:tcW w:w="937" w:type="dxa"/>
            <w:noWrap w:val="0"/>
            <w:vAlign w:val="center"/>
          </w:tcPr>
          <w:p w14:paraId="34925B8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0.695</w:t>
            </w:r>
          </w:p>
        </w:tc>
        <w:tc>
          <w:tcPr>
            <w:tcW w:w="976" w:type="dxa"/>
            <w:noWrap w:val="0"/>
            <w:vAlign w:val="center"/>
          </w:tcPr>
          <w:p w14:paraId="33B4F54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0.575</w:t>
            </w:r>
          </w:p>
        </w:tc>
      </w:tr>
      <w:tr w14:paraId="5A46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center"/>
          </w:tcPr>
          <w:p w14:paraId="3F72977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稻谷</w:t>
            </w:r>
          </w:p>
        </w:tc>
        <w:tc>
          <w:tcPr>
            <w:tcW w:w="1227" w:type="dxa"/>
            <w:noWrap w:val="0"/>
            <w:vAlign w:val="bottom"/>
          </w:tcPr>
          <w:p w14:paraId="0CDCD0A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甘肃</w:t>
            </w:r>
          </w:p>
        </w:tc>
        <w:tc>
          <w:tcPr>
            <w:tcW w:w="822" w:type="dxa"/>
            <w:noWrap w:val="0"/>
            <w:vAlign w:val="center"/>
          </w:tcPr>
          <w:p w14:paraId="7FA89BD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0.260</w:t>
            </w:r>
          </w:p>
        </w:tc>
        <w:tc>
          <w:tcPr>
            <w:tcW w:w="1212" w:type="dxa"/>
            <w:noWrap/>
            <w:vAlign w:val="center"/>
          </w:tcPr>
          <w:p w14:paraId="2C902B5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0.167</w:t>
            </w:r>
          </w:p>
        </w:tc>
        <w:tc>
          <w:tcPr>
            <w:tcW w:w="1178" w:type="dxa"/>
            <w:noWrap/>
            <w:vAlign w:val="center"/>
          </w:tcPr>
          <w:p w14:paraId="4012C75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0.081</w:t>
            </w:r>
          </w:p>
        </w:tc>
        <w:tc>
          <w:tcPr>
            <w:tcW w:w="1189" w:type="dxa"/>
            <w:noWrap/>
            <w:vAlign w:val="center"/>
          </w:tcPr>
          <w:p w14:paraId="4C639F2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0.224</w:t>
            </w:r>
          </w:p>
        </w:tc>
        <w:tc>
          <w:tcPr>
            <w:tcW w:w="1201" w:type="dxa"/>
            <w:noWrap/>
            <w:vAlign w:val="center"/>
          </w:tcPr>
          <w:p w14:paraId="271D332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0.441</w:t>
            </w:r>
          </w:p>
        </w:tc>
        <w:tc>
          <w:tcPr>
            <w:tcW w:w="934" w:type="dxa"/>
            <w:noWrap w:val="0"/>
            <w:vAlign w:val="center"/>
          </w:tcPr>
          <w:p w14:paraId="700DFB6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0.360</w:t>
            </w:r>
          </w:p>
        </w:tc>
        <w:tc>
          <w:tcPr>
            <w:tcW w:w="936" w:type="dxa"/>
            <w:noWrap w:val="0"/>
            <w:vAlign w:val="center"/>
          </w:tcPr>
          <w:p w14:paraId="4DB9CFC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0.252</w:t>
            </w:r>
          </w:p>
        </w:tc>
        <w:tc>
          <w:tcPr>
            <w:tcW w:w="935" w:type="dxa"/>
            <w:noWrap w:val="0"/>
            <w:vAlign w:val="center"/>
          </w:tcPr>
          <w:p w14:paraId="1C4E7EB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0.479</w:t>
            </w:r>
          </w:p>
        </w:tc>
        <w:tc>
          <w:tcPr>
            <w:tcW w:w="937" w:type="dxa"/>
            <w:noWrap w:val="0"/>
            <w:vAlign w:val="center"/>
          </w:tcPr>
          <w:p w14:paraId="6E0A933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0.293</w:t>
            </w:r>
          </w:p>
        </w:tc>
        <w:tc>
          <w:tcPr>
            <w:tcW w:w="976" w:type="dxa"/>
            <w:noWrap w:val="0"/>
            <w:vAlign w:val="center"/>
          </w:tcPr>
          <w:p w14:paraId="11E58AC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0.153</w:t>
            </w:r>
          </w:p>
        </w:tc>
      </w:tr>
      <w:tr w14:paraId="4E11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center"/>
          </w:tcPr>
          <w:p w14:paraId="0329730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玉米DDGS</w:t>
            </w:r>
          </w:p>
        </w:tc>
        <w:tc>
          <w:tcPr>
            <w:tcW w:w="1227" w:type="dxa"/>
            <w:noWrap w:val="0"/>
            <w:vAlign w:val="bottom"/>
          </w:tcPr>
          <w:p w14:paraId="3833C6C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四川</w:t>
            </w:r>
          </w:p>
        </w:tc>
        <w:tc>
          <w:tcPr>
            <w:tcW w:w="822" w:type="dxa"/>
            <w:noWrap w:val="0"/>
            <w:vAlign w:val="center"/>
          </w:tcPr>
          <w:p w14:paraId="7ED92C6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0.744</w:t>
            </w:r>
          </w:p>
        </w:tc>
        <w:tc>
          <w:tcPr>
            <w:tcW w:w="1212" w:type="dxa"/>
            <w:noWrap/>
            <w:vAlign w:val="center"/>
          </w:tcPr>
          <w:p w14:paraId="0FF1711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0.526</w:t>
            </w:r>
          </w:p>
        </w:tc>
        <w:tc>
          <w:tcPr>
            <w:tcW w:w="1178" w:type="dxa"/>
            <w:noWrap/>
            <w:vAlign w:val="center"/>
          </w:tcPr>
          <w:p w14:paraId="3612C80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0.188</w:t>
            </w:r>
          </w:p>
        </w:tc>
        <w:tc>
          <w:tcPr>
            <w:tcW w:w="1189" w:type="dxa"/>
            <w:noWrap/>
            <w:vAlign w:val="center"/>
          </w:tcPr>
          <w:p w14:paraId="107580A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0.964</w:t>
            </w:r>
          </w:p>
        </w:tc>
        <w:tc>
          <w:tcPr>
            <w:tcW w:w="1201" w:type="dxa"/>
            <w:noWrap/>
            <w:vAlign w:val="center"/>
          </w:tcPr>
          <w:p w14:paraId="25F8A48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1.038</w:t>
            </w:r>
          </w:p>
        </w:tc>
        <w:tc>
          <w:tcPr>
            <w:tcW w:w="934" w:type="dxa"/>
            <w:noWrap w:val="0"/>
            <w:vAlign w:val="center"/>
          </w:tcPr>
          <w:p w14:paraId="263B5DD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1.224</w:t>
            </w:r>
          </w:p>
        </w:tc>
        <w:tc>
          <w:tcPr>
            <w:tcW w:w="936" w:type="dxa"/>
            <w:noWrap w:val="0"/>
            <w:vAlign w:val="center"/>
          </w:tcPr>
          <w:p w14:paraId="7B82FB6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0.938</w:t>
            </w:r>
          </w:p>
        </w:tc>
        <w:tc>
          <w:tcPr>
            <w:tcW w:w="935" w:type="dxa"/>
            <w:noWrap w:val="0"/>
            <w:vAlign w:val="center"/>
          </w:tcPr>
          <w:p w14:paraId="05B11F1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2.964</w:t>
            </w:r>
          </w:p>
        </w:tc>
        <w:tc>
          <w:tcPr>
            <w:tcW w:w="937" w:type="dxa"/>
            <w:noWrap w:val="0"/>
            <w:vAlign w:val="center"/>
          </w:tcPr>
          <w:p w14:paraId="3B600FA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1.250</w:t>
            </w:r>
          </w:p>
        </w:tc>
        <w:tc>
          <w:tcPr>
            <w:tcW w:w="976" w:type="dxa"/>
            <w:noWrap w:val="0"/>
            <w:vAlign w:val="center"/>
          </w:tcPr>
          <w:p w14:paraId="082AB1F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0.686</w:t>
            </w:r>
          </w:p>
        </w:tc>
      </w:tr>
      <w:tr w14:paraId="13E0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center"/>
          </w:tcPr>
          <w:p w14:paraId="6226D0D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豆粕</w:t>
            </w:r>
          </w:p>
        </w:tc>
        <w:tc>
          <w:tcPr>
            <w:tcW w:w="1227" w:type="dxa"/>
            <w:noWrap w:val="0"/>
            <w:vAlign w:val="bottom"/>
          </w:tcPr>
          <w:p w14:paraId="13BEAE3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822" w:type="dxa"/>
            <w:noWrap w:val="0"/>
            <w:vAlign w:val="center"/>
          </w:tcPr>
          <w:p w14:paraId="61F89D0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2.881</w:t>
            </w:r>
          </w:p>
        </w:tc>
        <w:tc>
          <w:tcPr>
            <w:tcW w:w="1212" w:type="dxa"/>
            <w:noWrap/>
            <w:vAlign w:val="center"/>
          </w:tcPr>
          <w:p w14:paraId="1E32E54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0.630</w:t>
            </w:r>
          </w:p>
        </w:tc>
        <w:tc>
          <w:tcPr>
            <w:tcW w:w="1178" w:type="dxa"/>
            <w:noWrap/>
            <w:vAlign w:val="center"/>
          </w:tcPr>
          <w:p w14:paraId="5F7301C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0.617</w:t>
            </w:r>
          </w:p>
        </w:tc>
        <w:tc>
          <w:tcPr>
            <w:tcW w:w="1189" w:type="dxa"/>
            <w:noWrap/>
            <w:vAlign w:val="center"/>
          </w:tcPr>
          <w:p w14:paraId="3EE6FD9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1.780</w:t>
            </w:r>
          </w:p>
        </w:tc>
        <w:tc>
          <w:tcPr>
            <w:tcW w:w="1201" w:type="dxa"/>
            <w:noWrap/>
            <w:vAlign w:val="center"/>
          </w:tcPr>
          <w:p w14:paraId="7CF58B5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3.308</w:t>
            </w:r>
          </w:p>
        </w:tc>
        <w:tc>
          <w:tcPr>
            <w:tcW w:w="934" w:type="dxa"/>
            <w:noWrap w:val="0"/>
            <w:vAlign w:val="center"/>
          </w:tcPr>
          <w:p w14:paraId="3D2DDDA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2.195</w:t>
            </w:r>
          </w:p>
        </w:tc>
        <w:tc>
          <w:tcPr>
            <w:tcW w:w="936" w:type="dxa"/>
            <w:noWrap w:val="0"/>
            <w:vAlign w:val="center"/>
          </w:tcPr>
          <w:p w14:paraId="53BE944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2.121</w:t>
            </w:r>
          </w:p>
        </w:tc>
        <w:tc>
          <w:tcPr>
            <w:tcW w:w="935" w:type="dxa"/>
            <w:noWrap w:val="0"/>
            <w:vAlign w:val="center"/>
          </w:tcPr>
          <w:p w14:paraId="13FFD8E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3.478</w:t>
            </w:r>
          </w:p>
        </w:tc>
        <w:tc>
          <w:tcPr>
            <w:tcW w:w="937" w:type="dxa"/>
            <w:noWrap w:val="0"/>
            <w:vAlign w:val="center"/>
          </w:tcPr>
          <w:p w14:paraId="193ACAF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2.450</w:t>
            </w:r>
          </w:p>
        </w:tc>
        <w:tc>
          <w:tcPr>
            <w:tcW w:w="976" w:type="dxa"/>
            <w:noWrap w:val="0"/>
            <w:vAlign w:val="center"/>
          </w:tcPr>
          <w:p w14:paraId="32C67DE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1.198</w:t>
            </w:r>
          </w:p>
        </w:tc>
      </w:tr>
      <w:tr w14:paraId="11B7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center"/>
          </w:tcPr>
          <w:p w14:paraId="5E1DB79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发酵豆粕</w:t>
            </w:r>
          </w:p>
        </w:tc>
        <w:tc>
          <w:tcPr>
            <w:tcW w:w="1227" w:type="dxa"/>
            <w:noWrap w:val="0"/>
            <w:vAlign w:val="bottom"/>
          </w:tcPr>
          <w:p w14:paraId="3131893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822" w:type="dxa"/>
            <w:noWrap w:val="0"/>
            <w:vAlign w:val="center"/>
          </w:tcPr>
          <w:p w14:paraId="55B98DA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2.939</w:t>
            </w:r>
          </w:p>
        </w:tc>
        <w:tc>
          <w:tcPr>
            <w:tcW w:w="1212" w:type="dxa"/>
            <w:noWrap/>
            <w:vAlign w:val="center"/>
          </w:tcPr>
          <w:p w14:paraId="0746C63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0.679</w:t>
            </w:r>
          </w:p>
        </w:tc>
        <w:tc>
          <w:tcPr>
            <w:tcW w:w="1178" w:type="dxa"/>
            <w:noWrap/>
            <w:vAlign w:val="center"/>
          </w:tcPr>
          <w:p w14:paraId="20833BB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0.616</w:t>
            </w:r>
          </w:p>
        </w:tc>
        <w:tc>
          <w:tcPr>
            <w:tcW w:w="1189" w:type="dxa"/>
            <w:noWrap/>
            <w:vAlign w:val="center"/>
          </w:tcPr>
          <w:p w14:paraId="1FE1F61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1.916</w:t>
            </w:r>
          </w:p>
        </w:tc>
        <w:tc>
          <w:tcPr>
            <w:tcW w:w="1201" w:type="dxa"/>
            <w:noWrap/>
            <w:vAlign w:val="center"/>
          </w:tcPr>
          <w:p w14:paraId="532AB2E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3.350</w:t>
            </w:r>
          </w:p>
        </w:tc>
        <w:tc>
          <w:tcPr>
            <w:tcW w:w="934" w:type="dxa"/>
            <w:noWrap w:val="0"/>
            <w:vAlign w:val="center"/>
          </w:tcPr>
          <w:p w14:paraId="506E003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2.360</w:t>
            </w:r>
          </w:p>
        </w:tc>
        <w:tc>
          <w:tcPr>
            <w:tcW w:w="936" w:type="dxa"/>
            <w:noWrap w:val="0"/>
            <w:vAlign w:val="center"/>
          </w:tcPr>
          <w:p w14:paraId="2C0C24F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2.280</w:t>
            </w:r>
          </w:p>
        </w:tc>
        <w:tc>
          <w:tcPr>
            <w:tcW w:w="935" w:type="dxa"/>
            <w:noWrap w:val="0"/>
            <w:vAlign w:val="center"/>
          </w:tcPr>
          <w:p w14:paraId="771B015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3.697</w:t>
            </w:r>
          </w:p>
        </w:tc>
        <w:tc>
          <w:tcPr>
            <w:tcW w:w="937" w:type="dxa"/>
            <w:noWrap w:val="0"/>
            <w:vAlign w:val="center"/>
          </w:tcPr>
          <w:p w14:paraId="6A605C6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2.626</w:t>
            </w:r>
          </w:p>
        </w:tc>
        <w:tc>
          <w:tcPr>
            <w:tcW w:w="976" w:type="dxa"/>
            <w:noWrap w:val="0"/>
            <w:vAlign w:val="center"/>
          </w:tcPr>
          <w:p w14:paraId="3DF56CE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1.198</w:t>
            </w:r>
          </w:p>
        </w:tc>
      </w:tr>
      <w:tr w14:paraId="0253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center"/>
          </w:tcPr>
          <w:p w14:paraId="1E2AAA0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棉籽粕</w:t>
            </w:r>
          </w:p>
        </w:tc>
        <w:tc>
          <w:tcPr>
            <w:tcW w:w="1227" w:type="dxa"/>
            <w:noWrap w:val="0"/>
            <w:vAlign w:val="bottom"/>
          </w:tcPr>
          <w:p w14:paraId="18A77CB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822" w:type="dxa"/>
            <w:noWrap w:val="0"/>
            <w:vAlign w:val="center"/>
          </w:tcPr>
          <w:p w14:paraId="6E6720E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2.018</w:t>
            </w:r>
          </w:p>
        </w:tc>
        <w:tc>
          <w:tcPr>
            <w:tcW w:w="1212" w:type="dxa"/>
            <w:noWrap/>
            <w:vAlign w:val="center"/>
          </w:tcPr>
          <w:p w14:paraId="12BC47F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0.690</w:t>
            </w:r>
          </w:p>
        </w:tc>
        <w:tc>
          <w:tcPr>
            <w:tcW w:w="1178" w:type="dxa"/>
            <w:noWrap/>
            <w:vAlign w:val="center"/>
          </w:tcPr>
          <w:p w14:paraId="1543BDC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0.609</w:t>
            </w:r>
          </w:p>
        </w:tc>
        <w:tc>
          <w:tcPr>
            <w:tcW w:w="1189" w:type="dxa"/>
            <w:noWrap/>
            <w:vAlign w:val="center"/>
          </w:tcPr>
          <w:p w14:paraId="29AE9D0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1.491</w:t>
            </w:r>
          </w:p>
        </w:tc>
        <w:tc>
          <w:tcPr>
            <w:tcW w:w="1201" w:type="dxa"/>
            <w:noWrap/>
            <w:vAlign w:val="center"/>
          </w:tcPr>
          <w:p w14:paraId="59D3FE9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6.079</w:t>
            </w:r>
          </w:p>
        </w:tc>
        <w:tc>
          <w:tcPr>
            <w:tcW w:w="934" w:type="dxa"/>
            <w:noWrap w:val="0"/>
            <w:vAlign w:val="center"/>
          </w:tcPr>
          <w:p w14:paraId="07EBD2E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2.155</w:t>
            </w:r>
          </w:p>
        </w:tc>
        <w:tc>
          <w:tcPr>
            <w:tcW w:w="936" w:type="dxa"/>
            <w:noWrap w:val="0"/>
            <w:vAlign w:val="center"/>
          </w:tcPr>
          <w:p w14:paraId="22ED409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1.516</w:t>
            </w:r>
          </w:p>
        </w:tc>
        <w:tc>
          <w:tcPr>
            <w:tcW w:w="935" w:type="dxa"/>
            <w:noWrap w:val="0"/>
            <w:vAlign w:val="center"/>
          </w:tcPr>
          <w:p w14:paraId="0579FF7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2.735</w:t>
            </w:r>
          </w:p>
        </w:tc>
        <w:tc>
          <w:tcPr>
            <w:tcW w:w="937" w:type="dxa"/>
            <w:noWrap w:val="0"/>
            <w:vAlign w:val="center"/>
          </w:tcPr>
          <w:p w14:paraId="0AFAD26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2.837</w:t>
            </w:r>
          </w:p>
        </w:tc>
        <w:tc>
          <w:tcPr>
            <w:tcW w:w="976" w:type="dxa"/>
            <w:noWrap w:val="0"/>
            <w:vAlign w:val="center"/>
          </w:tcPr>
          <w:p w14:paraId="1439EE1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1.376</w:t>
            </w:r>
          </w:p>
        </w:tc>
      </w:tr>
      <w:tr w14:paraId="4B17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center"/>
          </w:tcPr>
          <w:p w14:paraId="2B384E8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菜籽粕</w:t>
            </w:r>
          </w:p>
        </w:tc>
        <w:tc>
          <w:tcPr>
            <w:tcW w:w="1227" w:type="dxa"/>
            <w:noWrap w:val="0"/>
            <w:vAlign w:val="bottom"/>
          </w:tcPr>
          <w:p w14:paraId="441C6C0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重庆荣昌</w:t>
            </w:r>
          </w:p>
        </w:tc>
        <w:tc>
          <w:tcPr>
            <w:tcW w:w="822" w:type="dxa"/>
            <w:noWrap w:val="0"/>
            <w:vAlign w:val="center"/>
          </w:tcPr>
          <w:p w14:paraId="74546F5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1.295</w:t>
            </w:r>
          </w:p>
        </w:tc>
        <w:tc>
          <w:tcPr>
            <w:tcW w:w="1212" w:type="dxa"/>
            <w:noWrap/>
            <w:vAlign w:val="center"/>
          </w:tcPr>
          <w:p w14:paraId="0F2C42D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0.698</w:t>
            </w:r>
          </w:p>
        </w:tc>
        <w:tc>
          <w:tcPr>
            <w:tcW w:w="1178" w:type="dxa"/>
            <w:noWrap/>
            <w:vAlign w:val="center"/>
          </w:tcPr>
          <w:p w14:paraId="156E682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0.442</w:t>
            </w:r>
          </w:p>
        </w:tc>
        <w:tc>
          <w:tcPr>
            <w:tcW w:w="1189" w:type="dxa"/>
            <w:noWrap/>
            <w:vAlign w:val="center"/>
          </w:tcPr>
          <w:p w14:paraId="0CE2FAC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1.402</w:t>
            </w:r>
          </w:p>
        </w:tc>
        <w:tc>
          <w:tcPr>
            <w:tcW w:w="1201" w:type="dxa"/>
            <w:noWrap/>
            <w:vAlign w:val="center"/>
          </w:tcPr>
          <w:p w14:paraId="2319572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1.837</w:t>
            </w:r>
          </w:p>
        </w:tc>
        <w:tc>
          <w:tcPr>
            <w:tcW w:w="934" w:type="dxa"/>
            <w:noWrap w:val="0"/>
            <w:vAlign w:val="center"/>
          </w:tcPr>
          <w:p w14:paraId="633AB06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1.690</w:t>
            </w:r>
          </w:p>
        </w:tc>
        <w:tc>
          <w:tcPr>
            <w:tcW w:w="936" w:type="dxa"/>
            <w:noWrap w:val="0"/>
            <w:vAlign w:val="center"/>
          </w:tcPr>
          <w:p w14:paraId="414D3DE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1.319</w:t>
            </w:r>
          </w:p>
        </w:tc>
        <w:tc>
          <w:tcPr>
            <w:tcW w:w="935" w:type="dxa"/>
            <w:noWrap w:val="0"/>
            <w:vAlign w:val="center"/>
          </w:tcPr>
          <w:p w14:paraId="4AB8043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2.305</w:t>
            </w:r>
          </w:p>
        </w:tc>
        <w:tc>
          <w:tcPr>
            <w:tcW w:w="937" w:type="dxa"/>
            <w:noWrap w:val="0"/>
            <w:vAlign w:val="center"/>
          </w:tcPr>
          <w:p w14:paraId="2FFF1FD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1.456</w:t>
            </w:r>
          </w:p>
        </w:tc>
        <w:tc>
          <w:tcPr>
            <w:tcW w:w="976" w:type="dxa"/>
            <w:noWrap w:val="0"/>
            <w:vAlign w:val="center"/>
          </w:tcPr>
          <w:p w14:paraId="7017746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0.873</w:t>
            </w:r>
          </w:p>
        </w:tc>
      </w:tr>
      <w:tr w14:paraId="6F42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bottom"/>
          </w:tcPr>
          <w:p w14:paraId="5A1315E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菜籽粕</w:t>
            </w:r>
          </w:p>
        </w:tc>
        <w:tc>
          <w:tcPr>
            <w:tcW w:w="1227" w:type="dxa"/>
            <w:noWrap w:val="0"/>
            <w:vAlign w:val="bottom"/>
          </w:tcPr>
          <w:p w14:paraId="7ABB91E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重庆铜梁</w:t>
            </w:r>
          </w:p>
        </w:tc>
        <w:tc>
          <w:tcPr>
            <w:tcW w:w="822" w:type="dxa"/>
            <w:noWrap w:val="0"/>
            <w:vAlign w:val="bottom"/>
          </w:tcPr>
          <w:p w14:paraId="1CB2B51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1.272</w:t>
            </w:r>
          </w:p>
        </w:tc>
        <w:tc>
          <w:tcPr>
            <w:tcW w:w="1212" w:type="dxa"/>
            <w:noWrap/>
            <w:vAlign w:val="top"/>
          </w:tcPr>
          <w:p w14:paraId="5A0B5E6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0.698</w:t>
            </w:r>
          </w:p>
        </w:tc>
        <w:tc>
          <w:tcPr>
            <w:tcW w:w="1178" w:type="dxa"/>
            <w:noWrap/>
            <w:vAlign w:val="top"/>
          </w:tcPr>
          <w:p w14:paraId="1CCE73D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189" w:type="dxa"/>
            <w:noWrap/>
            <w:vAlign w:val="top"/>
          </w:tcPr>
          <w:p w14:paraId="6AE2812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1.377</w:t>
            </w:r>
          </w:p>
        </w:tc>
        <w:tc>
          <w:tcPr>
            <w:tcW w:w="1201" w:type="dxa"/>
            <w:noWrap/>
            <w:vAlign w:val="top"/>
          </w:tcPr>
          <w:p w14:paraId="069C000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1.616</w:t>
            </w:r>
          </w:p>
        </w:tc>
        <w:tc>
          <w:tcPr>
            <w:tcW w:w="934" w:type="dxa"/>
            <w:noWrap w:val="0"/>
            <w:vAlign w:val="center"/>
          </w:tcPr>
          <w:p w14:paraId="0EDD6E2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1.693</w:t>
            </w:r>
          </w:p>
        </w:tc>
        <w:tc>
          <w:tcPr>
            <w:tcW w:w="936" w:type="dxa"/>
            <w:noWrap w:val="0"/>
            <w:vAlign w:val="center"/>
          </w:tcPr>
          <w:p w14:paraId="528781A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1.253</w:t>
            </w:r>
          </w:p>
        </w:tc>
        <w:tc>
          <w:tcPr>
            <w:tcW w:w="935" w:type="dxa"/>
            <w:noWrap w:val="0"/>
            <w:vAlign w:val="bottom"/>
          </w:tcPr>
          <w:p w14:paraId="218AE9F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2.324</w:t>
            </w:r>
          </w:p>
        </w:tc>
        <w:tc>
          <w:tcPr>
            <w:tcW w:w="937" w:type="dxa"/>
            <w:noWrap w:val="0"/>
            <w:vAlign w:val="top"/>
          </w:tcPr>
          <w:p w14:paraId="5AFE06F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1.425</w:t>
            </w:r>
          </w:p>
        </w:tc>
        <w:tc>
          <w:tcPr>
            <w:tcW w:w="976" w:type="dxa"/>
            <w:noWrap w:val="0"/>
            <w:vAlign w:val="top"/>
          </w:tcPr>
          <w:p w14:paraId="79CD408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0.870</w:t>
            </w:r>
          </w:p>
        </w:tc>
      </w:tr>
      <w:tr w14:paraId="3432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bottom"/>
          </w:tcPr>
          <w:p w14:paraId="1861E60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菜籽粕</w:t>
            </w:r>
          </w:p>
        </w:tc>
        <w:tc>
          <w:tcPr>
            <w:tcW w:w="1227" w:type="dxa"/>
            <w:noWrap w:val="0"/>
            <w:vAlign w:val="bottom"/>
          </w:tcPr>
          <w:p w14:paraId="284F1C8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重庆潼南</w:t>
            </w:r>
          </w:p>
        </w:tc>
        <w:tc>
          <w:tcPr>
            <w:tcW w:w="822" w:type="dxa"/>
            <w:noWrap w:val="0"/>
            <w:vAlign w:val="bottom"/>
          </w:tcPr>
          <w:p w14:paraId="21DFDAC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0.818</w:t>
            </w:r>
          </w:p>
        </w:tc>
        <w:tc>
          <w:tcPr>
            <w:tcW w:w="1212" w:type="dxa"/>
            <w:noWrap/>
            <w:vAlign w:val="top"/>
          </w:tcPr>
          <w:p w14:paraId="060665F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0.649</w:t>
            </w:r>
          </w:p>
        </w:tc>
        <w:tc>
          <w:tcPr>
            <w:tcW w:w="1178" w:type="dxa"/>
            <w:noWrap/>
            <w:vAlign w:val="top"/>
          </w:tcPr>
          <w:p w14:paraId="772D227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189" w:type="dxa"/>
            <w:noWrap/>
            <w:vAlign w:val="top"/>
          </w:tcPr>
          <w:p w14:paraId="6C27A66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1.307</w:t>
            </w:r>
          </w:p>
        </w:tc>
        <w:tc>
          <w:tcPr>
            <w:tcW w:w="1201" w:type="dxa"/>
            <w:noWrap/>
            <w:vAlign w:val="top"/>
          </w:tcPr>
          <w:p w14:paraId="42928DC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1.049</w:t>
            </w:r>
          </w:p>
        </w:tc>
        <w:tc>
          <w:tcPr>
            <w:tcW w:w="934" w:type="dxa"/>
            <w:noWrap w:val="0"/>
            <w:vAlign w:val="center"/>
          </w:tcPr>
          <w:p w14:paraId="7F34897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1.600</w:t>
            </w:r>
          </w:p>
        </w:tc>
        <w:tc>
          <w:tcPr>
            <w:tcW w:w="936" w:type="dxa"/>
            <w:noWrap w:val="0"/>
            <w:vAlign w:val="center"/>
          </w:tcPr>
          <w:p w14:paraId="2F1DD1C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1.173</w:t>
            </w:r>
          </w:p>
        </w:tc>
        <w:tc>
          <w:tcPr>
            <w:tcW w:w="935" w:type="dxa"/>
            <w:noWrap w:val="0"/>
            <w:vAlign w:val="bottom"/>
          </w:tcPr>
          <w:p w14:paraId="174D689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2.169</w:t>
            </w:r>
          </w:p>
        </w:tc>
        <w:tc>
          <w:tcPr>
            <w:tcW w:w="937" w:type="dxa"/>
            <w:noWrap w:val="0"/>
            <w:vAlign w:val="top"/>
          </w:tcPr>
          <w:p w14:paraId="4A5800A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1.422</w:t>
            </w:r>
          </w:p>
        </w:tc>
        <w:tc>
          <w:tcPr>
            <w:tcW w:w="976" w:type="dxa"/>
            <w:noWrap w:val="0"/>
            <w:vAlign w:val="top"/>
          </w:tcPr>
          <w:p w14:paraId="4CE5554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0.782</w:t>
            </w:r>
          </w:p>
        </w:tc>
      </w:tr>
      <w:tr w14:paraId="6C54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top"/>
          </w:tcPr>
          <w:p w14:paraId="7D458BA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227" w:type="dxa"/>
            <w:noWrap w:val="0"/>
            <w:vAlign w:val="bottom"/>
          </w:tcPr>
          <w:p w14:paraId="6FFA65D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重庆江津</w:t>
            </w:r>
          </w:p>
        </w:tc>
        <w:tc>
          <w:tcPr>
            <w:tcW w:w="822" w:type="dxa"/>
            <w:noWrap w:val="0"/>
            <w:vAlign w:val="bottom"/>
          </w:tcPr>
          <w:p w14:paraId="26DCE05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1.398</w:t>
            </w:r>
          </w:p>
        </w:tc>
        <w:tc>
          <w:tcPr>
            <w:tcW w:w="1212" w:type="dxa"/>
            <w:noWrap/>
            <w:vAlign w:val="top"/>
          </w:tcPr>
          <w:p w14:paraId="699BB34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0.083</w:t>
            </w:r>
          </w:p>
        </w:tc>
        <w:tc>
          <w:tcPr>
            <w:tcW w:w="1178" w:type="dxa"/>
            <w:noWrap/>
            <w:vAlign w:val="top"/>
          </w:tcPr>
          <w:p w14:paraId="3EFCC88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189" w:type="dxa"/>
            <w:noWrap/>
            <w:vAlign w:val="top"/>
          </w:tcPr>
          <w:p w14:paraId="1BF5DA2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1.388</w:t>
            </w:r>
          </w:p>
        </w:tc>
        <w:tc>
          <w:tcPr>
            <w:tcW w:w="1201" w:type="dxa"/>
            <w:noWrap/>
            <w:vAlign w:val="top"/>
          </w:tcPr>
          <w:p w14:paraId="5B8BDB0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1.638</w:t>
            </w:r>
          </w:p>
        </w:tc>
        <w:tc>
          <w:tcPr>
            <w:tcW w:w="934" w:type="dxa"/>
            <w:noWrap w:val="0"/>
            <w:vAlign w:val="center"/>
          </w:tcPr>
          <w:p w14:paraId="67031D7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1.638</w:t>
            </w:r>
          </w:p>
        </w:tc>
        <w:tc>
          <w:tcPr>
            <w:tcW w:w="936" w:type="dxa"/>
            <w:noWrap w:val="0"/>
            <w:vAlign w:val="center"/>
          </w:tcPr>
          <w:p w14:paraId="5B02170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1.212</w:t>
            </w:r>
          </w:p>
        </w:tc>
        <w:tc>
          <w:tcPr>
            <w:tcW w:w="935" w:type="dxa"/>
            <w:noWrap w:val="0"/>
            <w:vAlign w:val="bottom"/>
          </w:tcPr>
          <w:p w14:paraId="5E0318A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2.231</w:t>
            </w:r>
          </w:p>
        </w:tc>
        <w:tc>
          <w:tcPr>
            <w:tcW w:w="937" w:type="dxa"/>
            <w:noWrap w:val="0"/>
            <w:vAlign w:val="top"/>
          </w:tcPr>
          <w:p w14:paraId="4120D34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1.342</w:t>
            </w:r>
          </w:p>
        </w:tc>
        <w:tc>
          <w:tcPr>
            <w:tcW w:w="976" w:type="dxa"/>
            <w:noWrap w:val="0"/>
            <w:vAlign w:val="top"/>
          </w:tcPr>
          <w:p w14:paraId="08E2177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0.842</w:t>
            </w:r>
          </w:p>
        </w:tc>
      </w:tr>
      <w:tr w14:paraId="053B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top"/>
          </w:tcPr>
          <w:p w14:paraId="085B840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227" w:type="dxa"/>
            <w:noWrap w:val="0"/>
            <w:vAlign w:val="bottom"/>
          </w:tcPr>
          <w:p w14:paraId="02DAED3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重庆大足</w:t>
            </w:r>
          </w:p>
        </w:tc>
        <w:tc>
          <w:tcPr>
            <w:tcW w:w="822" w:type="dxa"/>
            <w:noWrap w:val="0"/>
            <w:vAlign w:val="bottom"/>
          </w:tcPr>
          <w:p w14:paraId="724DD30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1.216</w:t>
            </w:r>
          </w:p>
        </w:tc>
        <w:tc>
          <w:tcPr>
            <w:tcW w:w="1212" w:type="dxa"/>
            <w:noWrap/>
            <w:vAlign w:val="top"/>
          </w:tcPr>
          <w:p w14:paraId="4658864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0.337</w:t>
            </w:r>
          </w:p>
        </w:tc>
        <w:tc>
          <w:tcPr>
            <w:tcW w:w="1178" w:type="dxa"/>
            <w:noWrap/>
            <w:vAlign w:val="top"/>
          </w:tcPr>
          <w:p w14:paraId="483E796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189" w:type="dxa"/>
            <w:noWrap/>
            <w:vAlign w:val="top"/>
          </w:tcPr>
          <w:p w14:paraId="7F6553C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1.468</w:t>
            </w:r>
          </w:p>
        </w:tc>
        <w:tc>
          <w:tcPr>
            <w:tcW w:w="1201" w:type="dxa"/>
            <w:noWrap/>
            <w:vAlign w:val="top"/>
          </w:tcPr>
          <w:p w14:paraId="5782C5E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1.543</w:t>
            </w:r>
          </w:p>
        </w:tc>
        <w:tc>
          <w:tcPr>
            <w:tcW w:w="934" w:type="dxa"/>
            <w:noWrap w:val="0"/>
            <w:vAlign w:val="center"/>
          </w:tcPr>
          <w:p w14:paraId="27A6CA7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1.777</w:t>
            </w:r>
          </w:p>
        </w:tc>
        <w:tc>
          <w:tcPr>
            <w:tcW w:w="936" w:type="dxa"/>
            <w:noWrap w:val="0"/>
            <w:vAlign w:val="center"/>
          </w:tcPr>
          <w:p w14:paraId="04DB63D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1.328</w:t>
            </w:r>
          </w:p>
        </w:tc>
        <w:tc>
          <w:tcPr>
            <w:tcW w:w="935" w:type="dxa"/>
            <w:noWrap w:val="0"/>
            <w:vAlign w:val="bottom"/>
          </w:tcPr>
          <w:p w14:paraId="638B55A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2.497</w:t>
            </w:r>
          </w:p>
        </w:tc>
        <w:tc>
          <w:tcPr>
            <w:tcW w:w="937" w:type="dxa"/>
            <w:noWrap w:val="0"/>
            <w:vAlign w:val="top"/>
          </w:tcPr>
          <w:p w14:paraId="05159AC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1.515</w:t>
            </w:r>
          </w:p>
        </w:tc>
        <w:tc>
          <w:tcPr>
            <w:tcW w:w="976" w:type="dxa"/>
            <w:noWrap w:val="0"/>
            <w:vAlign w:val="top"/>
          </w:tcPr>
          <w:p w14:paraId="6F7C0BB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0.898</w:t>
            </w:r>
          </w:p>
        </w:tc>
      </w:tr>
      <w:tr w14:paraId="6EC2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top"/>
          </w:tcPr>
          <w:p w14:paraId="7C8F28D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227" w:type="dxa"/>
            <w:noWrap w:val="0"/>
            <w:vAlign w:val="bottom"/>
          </w:tcPr>
          <w:p w14:paraId="4518FAD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重庆邮亭</w:t>
            </w:r>
          </w:p>
        </w:tc>
        <w:tc>
          <w:tcPr>
            <w:tcW w:w="822" w:type="dxa"/>
            <w:noWrap w:val="0"/>
            <w:vAlign w:val="bottom"/>
          </w:tcPr>
          <w:p w14:paraId="3C9DA25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1.128</w:t>
            </w:r>
          </w:p>
        </w:tc>
        <w:tc>
          <w:tcPr>
            <w:tcW w:w="1212" w:type="dxa"/>
            <w:noWrap/>
            <w:vAlign w:val="top"/>
          </w:tcPr>
          <w:p w14:paraId="2A01CFF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0.860</w:t>
            </w:r>
          </w:p>
        </w:tc>
        <w:tc>
          <w:tcPr>
            <w:tcW w:w="1178" w:type="dxa"/>
            <w:noWrap/>
            <w:vAlign w:val="top"/>
          </w:tcPr>
          <w:p w14:paraId="6F7D1A5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189" w:type="dxa"/>
            <w:noWrap/>
            <w:vAlign w:val="top"/>
          </w:tcPr>
          <w:p w14:paraId="26C4508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1.501</w:t>
            </w:r>
          </w:p>
        </w:tc>
        <w:tc>
          <w:tcPr>
            <w:tcW w:w="1201" w:type="dxa"/>
            <w:noWrap/>
            <w:vAlign w:val="top"/>
          </w:tcPr>
          <w:p w14:paraId="573C29F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1.568</w:t>
            </w:r>
          </w:p>
        </w:tc>
        <w:tc>
          <w:tcPr>
            <w:tcW w:w="934" w:type="dxa"/>
            <w:noWrap w:val="0"/>
            <w:vAlign w:val="center"/>
          </w:tcPr>
          <w:p w14:paraId="655F694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1.816</w:t>
            </w:r>
          </w:p>
        </w:tc>
        <w:tc>
          <w:tcPr>
            <w:tcW w:w="936" w:type="dxa"/>
            <w:noWrap w:val="0"/>
            <w:vAlign w:val="center"/>
          </w:tcPr>
          <w:p w14:paraId="40F3AF8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1.338</w:t>
            </w:r>
          </w:p>
        </w:tc>
        <w:tc>
          <w:tcPr>
            <w:tcW w:w="935" w:type="dxa"/>
            <w:noWrap w:val="0"/>
            <w:vAlign w:val="bottom"/>
          </w:tcPr>
          <w:p w14:paraId="012100A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2.466</w:t>
            </w:r>
          </w:p>
        </w:tc>
        <w:tc>
          <w:tcPr>
            <w:tcW w:w="937" w:type="dxa"/>
            <w:noWrap w:val="0"/>
            <w:vAlign w:val="top"/>
          </w:tcPr>
          <w:p w14:paraId="29F7B44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1.539</w:t>
            </w:r>
          </w:p>
        </w:tc>
        <w:tc>
          <w:tcPr>
            <w:tcW w:w="976" w:type="dxa"/>
            <w:noWrap w:val="0"/>
            <w:vAlign w:val="top"/>
          </w:tcPr>
          <w:p w14:paraId="2CC828E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0.889</w:t>
            </w:r>
          </w:p>
        </w:tc>
      </w:tr>
      <w:tr w14:paraId="634F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top"/>
          </w:tcPr>
          <w:p w14:paraId="47FC947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227" w:type="dxa"/>
            <w:noWrap w:val="0"/>
            <w:vAlign w:val="bottom"/>
          </w:tcPr>
          <w:p w14:paraId="15EDA1A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重庆铜梁</w:t>
            </w:r>
          </w:p>
        </w:tc>
        <w:tc>
          <w:tcPr>
            <w:tcW w:w="822" w:type="dxa"/>
            <w:noWrap w:val="0"/>
            <w:vAlign w:val="bottom"/>
          </w:tcPr>
          <w:p w14:paraId="07E2CA3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1.137</w:t>
            </w:r>
          </w:p>
        </w:tc>
        <w:tc>
          <w:tcPr>
            <w:tcW w:w="1212" w:type="dxa"/>
            <w:noWrap/>
            <w:vAlign w:val="top"/>
          </w:tcPr>
          <w:p w14:paraId="4B83344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0.690</w:t>
            </w:r>
          </w:p>
        </w:tc>
        <w:tc>
          <w:tcPr>
            <w:tcW w:w="1178" w:type="dxa"/>
            <w:noWrap/>
            <w:vAlign w:val="top"/>
          </w:tcPr>
          <w:p w14:paraId="1C520E0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189" w:type="dxa"/>
            <w:noWrap/>
            <w:vAlign w:val="top"/>
          </w:tcPr>
          <w:p w14:paraId="5AE3BE3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1.435</w:t>
            </w:r>
          </w:p>
        </w:tc>
        <w:tc>
          <w:tcPr>
            <w:tcW w:w="1201" w:type="dxa"/>
            <w:noWrap/>
            <w:vAlign w:val="top"/>
          </w:tcPr>
          <w:p w14:paraId="0FF7034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1.528</w:t>
            </w:r>
          </w:p>
        </w:tc>
        <w:tc>
          <w:tcPr>
            <w:tcW w:w="934" w:type="dxa"/>
            <w:noWrap w:val="0"/>
            <w:vAlign w:val="center"/>
          </w:tcPr>
          <w:p w14:paraId="3BADAD5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1.761</w:t>
            </w:r>
          </w:p>
        </w:tc>
        <w:tc>
          <w:tcPr>
            <w:tcW w:w="936" w:type="dxa"/>
            <w:noWrap w:val="0"/>
            <w:vAlign w:val="center"/>
          </w:tcPr>
          <w:p w14:paraId="25A0E6C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1.277</w:t>
            </w:r>
          </w:p>
        </w:tc>
        <w:tc>
          <w:tcPr>
            <w:tcW w:w="935" w:type="dxa"/>
            <w:noWrap w:val="0"/>
            <w:vAlign w:val="bottom"/>
          </w:tcPr>
          <w:p w14:paraId="4B08165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2.367</w:t>
            </w:r>
          </w:p>
        </w:tc>
        <w:tc>
          <w:tcPr>
            <w:tcW w:w="937" w:type="dxa"/>
            <w:noWrap w:val="0"/>
            <w:vAlign w:val="top"/>
          </w:tcPr>
          <w:p w14:paraId="2121A02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1.491</w:t>
            </w:r>
          </w:p>
        </w:tc>
        <w:tc>
          <w:tcPr>
            <w:tcW w:w="976" w:type="dxa"/>
            <w:noWrap w:val="0"/>
            <w:vAlign w:val="top"/>
          </w:tcPr>
          <w:p w14:paraId="4F324A1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0.895</w:t>
            </w:r>
          </w:p>
        </w:tc>
      </w:tr>
      <w:tr w14:paraId="5ABE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noWrap w:val="0"/>
            <w:vAlign w:val="top"/>
          </w:tcPr>
          <w:p w14:paraId="035F041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227" w:type="dxa"/>
            <w:noWrap w:val="0"/>
            <w:vAlign w:val="bottom"/>
          </w:tcPr>
          <w:p w14:paraId="0F2FAB7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重庆荣昌</w:t>
            </w:r>
          </w:p>
        </w:tc>
        <w:tc>
          <w:tcPr>
            <w:tcW w:w="822" w:type="dxa"/>
            <w:noWrap w:val="0"/>
            <w:vAlign w:val="bottom"/>
          </w:tcPr>
          <w:p w14:paraId="236FDFC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1.105</w:t>
            </w:r>
          </w:p>
        </w:tc>
        <w:tc>
          <w:tcPr>
            <w:tcW w:w="1212" w:type="dxa"/>
            <w:noWrap/>
            <w:vAlign w:val="top"/>
          </w:tcPr>
          <w:p w14:paraId="64222FB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0.705</w:t>
            </w:r>
          </w:p>
        </w:tc>
        <w:tc>
          <w:tcPr>
            <w:tcW w:w="1178" w:type="dxa"/>
            <w:noWrap/>
            <w:vAlign w:val="top"/>
          </w:tcPr>
          <w:p w14:paraId="3B70FC6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1189" w:type="dxa"/>
            <w:noWrap/>
            <w:vAlign w:val="top"/>
          </w:tcPr>
          <w:p w14:paraId="5B336ED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1.419</w:t>
            </w:r>
          </w:p>
        </w:tc>
        <w:tc>
          <w:tcPr>
            <w:tcW w:w="1201" w:type="dxa"/>
            <w:noWrap/>
            <w:vAlign w:val="top"/>
          </w:tcPr>
          <w:p w14:paraId="3141024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1.696</w:t>
            </w:r>
          </w:p>
        </w:tc>
        <w:tc>
          <w:tcPr>
            <w:tcW w:w="934" w:type="dxa"/>
            <w:noWrap w:val="0"/>
            <w:vAlign w:val="center"/>
          </w:tcPr>
          <w:p w14:paraId="39118BE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1.581</w:t>
            </w:r>
          </w:p>
        </w:tc>
        <w:tc>
          <w:tcPr>
            <w:tcW w:w="936" w:type="dxa"/>
            <w:noWrap w:val="0"/>
            <w:vAlign w:val="center"/>
          </w:tcPr>
          <w:p w14:paraId="71B9D79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1.248</w:t>
            </w:r>
          </w:p>
        </w:tc>
        <w:tc>
          <w:tcPr>
            <w:tcW w:w="935" w:type="dxa"/>
            <w:noWrap w:val="0"/>
            <w:vAlign w:val="bottom"/>
          </w:tcPr>
          <w:p w14:paraId="107D949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2.239</w:t>
            </w:r>
          </w:p>
        </w:tc>
        <w:tc>
          <w:tcPr>
            <w:tcW w:w="937" w:type="dxa"/>
            <w:noWrap w:val="0"/>
            <w:vAlign w:val="top"/>
          </w:tcPr>
          <w:p w14:paraId="544C1D9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1.296</w:t>
            </w:r>
          </w:p>
        </w:tc>
        <w:tc>
          <w:tcPr>
            <w:tcW w:w="976" w:type="dxa"/>
            <w:noWrap w:val="0"/>
            <w:vAlign w:val="top"/>
          </w:tcPr>
          <w:p w14:paraId="3EB2620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1.086</w:t>
            </w:r>
          </w:p>
        </w:tc>
      </w:tr>
    </w:tbl>
    <w:p w14:paraId="550B9AD2">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p>
    <w:p w14:paraId="775F7A43">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p>
    <w:p w14:paraId="02E1AA1D">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rPr>
        <w:t>表3 饲料原料非必需氨基酸含量（风干基础，87%干物质）</w:t>
      </w:r>
    </w:p>
    <w:p w14:paraId="7666DCDA">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p>
    <w:tbl>
      <w:tblPr>
        <w:tblStyle w:val="9"/>
        <w:tblW w:w="12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1548"/>
        <w:gridCol w:w="1246"/>
        <w:gridCol w:w="1176"/>
        <w:gridCol w:w="1189"/>
        <w:gridCol w:w="1166"/>
        <w:gridCol w:w="1179"/>
        <w:gridCol w:w="1176"/>
        <w:gridCol w:w="1376"/>
        <w:gridCol w:w="1374"/>
      </w:tblGrid>
      <w:tr w14:paraId="519C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465F8A0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饲料</w:t>
            </w:r>
          </w:p>
        </w:tc>
        <w:tc>
          <w:tcPr>
            <w:tcW w:w="1548" w:type="dxa"/>
            <w:noWrap w:val="0"/>
            <w:vAlign w:val="top"/>
          </w:tcPr>
          <w:p w14:paraId="02241B5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产地</w:t>
            </w:r>
          </w:p>
        </w:tc>
        <w:tc>
          <w:tcPr>
            <w:tcW w:w="1246" w:type="dxa"/>
            <w:noWrap w:val="0"/>
            <w:vAlign w:val="top"/>
          </w:tcPr>
          <w:p w14:paraId="7F0A7EE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胱氨酸Cys</w:t>
            </w:r>
          </w:p>
        </w:tc>
        <w:tc>
          <w:tcPr>
            <w:tcW w:w="1176" w:type="dxa"/>
            <w:noWrap w:val="0"/>
            <w:vAlign w:val="top"/>
          </w:tcPr>
          <w:p w14:paraId="61A9605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酪氨酸Tyr</w:t>
            </w:r>
          </w:p>
        </w:tc>
        <w:tc>
          <w:tcPr>
            <w:tcW w:w="1189" w:type="dxa"/>
            <w:noWrap/>
            <w:vAlign w:val="top"/>
          </w:tcPr>
          <w:p w14:paraId="536C684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甘氨酸Gly</w:t>
            </w:r>
          </w:p>
        </w:tc>
        <w:tc>
          <w:tcPr>
            <w:tcW w:w="1166" w:type="dxa"/>
            <w:noWrap/>
            <w:vAlign w:val="top"/>
          </w:tcPr>
          <w:p w14:paraId="7292706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丝氨酸Ser</w:t>
            </w:r>
          </w:p>
        </w:tc>
        <w:tc>
          <w:tcPr>
            <w:tcW w:w="1179" w:type="dxa"/>
            <w:noWrap w:val="0"/>
            <w:vAlign w:val="top"/>
          </w:tcPr>
          <w:p w14:paraId="32D62D5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脯氨酸Pro</w:t>
            </w:r>
          </w:p>
        </w:tc>
        <w:tc>
          <w:tcPr>
            <w:tcW w:w="1176" w:type="dxa"/>
            <w:noWrap w:val="0"/>
            <w:vAlign w:val="top"/>
          </w:tcPr>
          <w:p w14:paraId="796061E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丙氨酸Ala</w:t>
            </w:r>
          </w:p>
        </w:tc>
        <w:tc>
          <w:tcPr>
            <w:tcW w:w="1376" w:type="dxa"/>
            <w:noWrap w:val="0"/>
            <w:vAlign w:val="top"/>
          </w:tcPr>
          <w:p w14:paraId="39E89D1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天冬氨酸Asp</w:t>
            </w:r>
          </w:p>
        </w:tc>
        <w:tc>
          <w:tcPr>
            <w:tcW w:w="1374" w:type="dxa"/>
            <w:noWrap w:val="0"/>
            <w:vAlign w:val="top"/>
          </w:tcPr>
          <w:p w14:paraId="218CAF1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谷氨酸Glu</w:t>
            </w:r>
          </w:p>
        </w:tc>
      </w:tr>
      <w:tr w14:paraId="3924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29F0B2F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玉米</w:t>
            </w:r>
          </w:p>
        </w:tc>
        <w:tc>
          <w:tcPr>
            <w:tcW w:w="1548" w:type="dxa"/>
            <w:noWrap w:val="0"/>
            <w:vAlign w:val="top"/>
          </w:tcPr>
          <w:p w14:paraId="45B9C57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山西</w:t>
            </w:r>
          </w:p>
        </w:tc>
        <w:tc>
          <w:tcPr>
            <w:tcW w:w="1246" w:type="dxa"/>
            <w:noWrap w:val="0"/>
            <w:vAlign w:val="bottom"/>
          </w:tcPr>
          <w:p w14:paraId="696B9B0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0.179</w:t>
            </w:r>
          </w:p>
        </w:tc>
        <w:tc>
          <w:tcPr>
            <w:tcW w:w="1176" w:type="dxa"/>
            <w:noWrap w:val="0"/>
            <w:vAlign w:val="bottom"/>
          </w:tcPr>
          <w:p w14:paraId="507ED23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0.265</w:t>
            </w:r>
          </w:p>
        </w:tc>
        <w:tc>
          <w:tcPr>
            <w:tcW w:w="1189" w:type="dxa"/>
            <w:noWrap/>
            <w:vAlign w:val="top"/>
          </w:tcPr>
          <w:p w14:paraId="6D69FE1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0.283</w:t>
            </w:r>
          </w:p>
        </w:tc>
        <w:tc>
          <w:tcPr>
            <w:tcW w:w="1166" w:type="dxa"/>
            <w:noWrap/>
            <w:vAlign w:val="top"/>
          </w:tcPr>
          <w:p w14:paraId="4CB9C18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0.335</w:t>
            </w:r>
          </w:p>
        </w:tc>
        <w:tc>
          <w:tcPr>
            <w:tcW w:w="1179" w:type="dxa"/>
            <w:noWrap w:val="0"/>
            <w:vAlign w:val="center"/>
          </w:tcPr>
          <w:p w14:paraId="1FA922C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0.674</w:t>
            </w:r>
          </w:p>
        </w:tc>
        <w:tc>
          <w:tcPr>
            <w:tcW w:w="1176" w:type="dxa"/>
            <w:noWrap w:val="0"/>
            <w:vAlign w:val="center"/>
          </w:tcPr>
          <w:p w14:paraId="41E0118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0.501</w:t>
            </w:r>
          </w:p>
        </w:tc>
        <w:tc>
          <w:tcPr>
            <w:tcW w:w="1376" w:type="dxa"/>
            <w:noWrap w:val="0"/>
            <w:vAlign w:val="bottom"/>
          </w:tcPr>
          <w:p w14:paraId="49AEF4E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0.501</w:t>
            </w:r>
          </w:p>
        </w:tc>
        <w:tc>
          <w:tcPr>
            <w:tcW w:w="1374" w:type="dxa"/>
            <w:noWrap w:val="0"/>
            <w:vAlign w:val="top"/>
          </w:tcPr>
          <w:p w14:paraId="772D1D0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1.286</w:t>
            </w:r>
          </w:p>
        </w:tc>
      </w:tr>
      <w:tr w14:paraId="3AD1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5187FF9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玉米</w:t>
            </w:r>
          </w:p>
        </w:tc>
        <w:tc>
          <w:tcPr>
            <w:tcW w:w="1548" w:type="dxa"/>
            <w:noWrap w:val="0"/>
            <w:vAlign w:val="top"/>
          </w:tcPr>
          <w:p w14:paraId="0CFB295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吉林</w:t>
            </w:r>
          </w:p>
        </w:tc>
        <w:tc>
          <w:tcPr>
            <w:tcW w:w="1246" w:type="dxa"/>
            <w:noWrap w:val="0"/>
            <w:vAlign w:val="bottom"/>
          </w:tcPr>
          <w:p w14:paraId="78F6749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0.179</w:t>
            </w:r>
          </w:p>
        </w:tc>
        <w:tc>
          <w:tcPr>
            <w:tcW w:w="1176" w:type="dxa"/>
            <w:noWrap w:val="0"/>
            <w:vAlign w:val="bottom"/>
          </w:tcPr>
          <w:p w14:paraId="688C945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0.233</w:t>
            </w:r>
          </w:p>
        </w:tc>
        <w:tc>
          <w:tcPr>
            <w:tcW w:w="1189" w:type="dxa"/>
            <w:noWrap/>
            <w:vAlign w:val="top"/>
          </w:tcPr>
          <w:p w14:paraId="00C5C8B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0.309</w:t>
            </w:r>
          </w:p>
        </w:tc>
        <w:tc>
          <w:tcPr>
            <w:tcW w:w="1166" w:type="dxa"/>
            <w:noWrap/>
            <w:vAlign w:val="top"/>
          </w:tcPr>
          <w:p w14:paraId="0AA5410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0.377</w:t>
            </w:r>
          </w:p>
        </w:tc>
        <w:tc>
          <w:tcPr>
            <w:tcW w:w="1179" w:type="dxa"/>
            <w:noWrap w:val="0"/>
            <w:vAlign w:val="center"/>
          </w:tcPr>
          <w:p w14:paraId="2871638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0.705</w:t>
            </w:r>
          </w:p>
        </w:tc>
        <w:tc>
          <w:tcPr>
            <w:tcW w:w="1176" w:type="dxa"/>
            <w:noWrap w:val="0"/>
            <w:vAlign w:val="center"/>
          </w:tcPr>
          <w:p w14:paraId="167D947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0.601</w:t>
            </w:r>
          </w:p>
        </w:tc>
        <w:tc>
          <w:tcPr>
            <w:tcW w:w="1376" w:type="dxa"/>
            <w:noWrap w:val="0"/>
            <w:vAlign w:val="bottom"/>
          </w:tcPr>
          <w:p w14:paraId="4BABFFA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0.537</w:t>
            </w:r>
          </w:p>
        </w:tc>
        <w:tc>
          <w:tcPr>
            <w:tcW w:w="1374" w:type="dxa"/>
            <w:noWrap w:val="0"/>
            <w:vAlign w:val="top"/>
          </w:tcPr>
          <w:p w14:paraId="39E5181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1.461</w:t>
            </w:r>
          </w:p>
        </w:tc>
      </w:tr>
      <w:tr w14:paraId="3DA5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52917B4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米糠</w:t>
            </w:r>
          </w:p>
        </w:tc>
        <w:tc>
          <w:tcPr>
            <w:tcW w:w="1548" w:type="dxa"/>
            <w:noWrap w:val="0"/>
            <w:vAlign w:val="bottom"/>
          </w:tcPr>
          <w:p w14:paraId="25B9985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1246" w:type="dxa"/>
            <w:noWrap w:val="0"/>
            <w:vAlign w:val="bottom"/>
          </w:tcPr>
          <w:p w14:paraId="7B6A273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0.293</w:t>
            </w:r>
          </w:p>
        </w:tc>
        <w:tc>
          <w:tcPr>
            <w:tcW w:w="1176" w:type="dxa"/>
            <w:noWrap w:val="0"/>
            <w:vAlign w:val="bottom"/>
          </w:tcPr>
          <w:p w14:paraId="1CDDF52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0.462</w:t>
            </w:r>
          </w:p>
        </w:tc>
        <w:tc>
          <w:tcPr>
            <w:tcW w:w="1189" w:type="dxa"/>
            <w:noWrap/>
            <w:vAlign w:val="top"/>
          </w:tcPr>
          <w:p w14:paraId="3A8F872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0.731</w:t>
            </w:r>
          </w:p>
        </w:tc>
        <w:tc>
          <w:tcPr>
            <w:tcW w:w="1166" w:type="dxa"/>
            <w:noWrap/>
            <w:vAlign w:val="top"/>
          </w:tcPr>
          <w:p w14:paraId="4FD2346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0.596</w:t>
            </w:r>
          </w:p>
        </w:tc>
        <w:tc>
          <w:tcPr>
            <w:tcW w:w="1179" w:type="dxa"/>
            <w:noWrap w:val="0"/>
            <w:vAlign w:val="center"/>
          </w:tcPr>
          <w:p w14:paraId="1492104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0.585</w:t>
            </w:r>
          </w:p>
        </w:tc>
        <w:tc>
          <w:tcPr>
            <w:tcW w:w="1176" w:type="dxa"/>
            <w:noWrap w:val="0"/>
            <w:vAlign w:val="center"/>
          </w:tcPr>
          <w:p w14:paraId="7FD545D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0.845</w:t>
            </w:r>
          </w:p>
        </w:tc>
        <w:tc>
          <w:tcPr>
            <w:tcW w:w="1376" w:type="dxa"/>
            <w:noWrap w:val="0"/>
            <w:vAlign w:val="bottom"/>
          </w:tcPr>
          <w:p w14:paraId="2B3D930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1.276</w:t>
            </w:r>
          </w:p>
        </w:tc>
        <w:tc>
          <w:tcPr>
            <w:tcW w:w="1374" w:type="dxa"/>
            <w:noWrap w:val="0"/>
            <w:vAlign w:val="top"/>
          </w:tcPr>
          <w:p w14:paraId="6AFA51D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1.858</w:t>
            </w:r>
          </w:p>
        </w:tc>
      </w:tr>
      <w:tr w14:paraId="0B8E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6010964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麦麸</w:t>
            </w:r>
          </w:p>
        </w:tc>
        <w:tc>
          <w:tcPr>
            <w:tcW w:w="1548" w:type="dxa"/>
            <w:noWrap w:val="0"/>
            <w:vAlign w:val="bottom"/>
          </w:tcPr>
          <w:p w14:paraId="26D85BC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1246" w:type="dxa"/>
            <w:noWrap w:val="0"/>
            <w:vAlign w:val="bottom"/>
          </w:tcPr>
          <w:p w14:paraId="4A4DE83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0.330</w:t>
            </w:r>
          </w:p>
        </w:tc>
        <w:tc>
          <w:tcPr>
            <w:tcW w:w="1176" w:type="dxa"/>
            <w:noWrap w:val="0"/>
            <w:vAlign w:val="bottom"/>
          </w:tcPr>
          <w:p w14:paraId="5BF2E4B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0.454</w:t>
            </w:r>
          </w:p>
        </w:tc>
        <w:tc>
          <w:tcPr>
            <w:tcW w:w="1189" w:type="dxa"/>
            <w:noWrap/>
            <w:vAlign w:val="top"/>
          </w:tcPr>
          <w:p w14:paraId="1ED34B9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0.878</w:t>
            </w:r>
          </w:p>
        </w:tc>
        <w:tc>
          <w:tcPr>
            <w:tcW w:w="1166" w:type="dxa"/>
            <w:noWrap/>
            <w:vAlign w:val="top"/>
          </w:tcPr>
          <w:p w14:paraId="3556A1C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0.655</w:t>
            </w:r>
          </w:p>
        </w:tc>
        <w:tc>
          <w:tcPr>
            <w:tcW w:w="1179" w:type="dxa"/>
            <w:noWrap w:val="0"/>
            <w:vAlign w:val="center"/>
          </w:tcPr>
          <w:p w14:paraId="0ABBF08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0.841</w:t>
            </w:r>
          </w:p>
        </w:tc>
        <w:tc>
          <w:tcPr>
            <w:tcW w:w="1176" w:type="dxa"/>
            <w:noWrap w:val="0"/>
            <w:vAlign w:val="center"/>
          </w:tcPr>
          <w:p w14:paraId="2FC9042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0.775</w:t>
            </w:r>
          </w:p>
        </w:tc>
        <w:tc>
          <w:tcPr>
            <w:tcW w:w="1376" w:type="dxa"/>
            <w:noWrap w:val="0"/>
            <w:vAlign w:val="bottom"/>
          </w:tcPr>
          <w:p w14:paraId="16847D1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1.269</w:t>
            </w:r>
          </w:p>
        </w:tc>
        <w:tc>
          <w:tcPr>
            <w:tcW w:w="1374" w:type="dxa"/>
            <w:noWrap w:val="0"/>
            <w:vAlign w:val="top"/>
          </w:tcPr>
          <w:p w14:paraId="38D63E4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2.644</w:t>
            </w:r>
          </w:p>
        </w:tc>
      </w:tr>
      <w:tr w14:paraId="3EE0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71F13DA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喷浆玉米皮</w:t>
            </w:r>
          </w:p>
        </w:tc>
        <w:tc>
          <w:tcPr>
            <w:tcW w:w="1548" w:type="dxa"/>
            <w:noWrap w:val="0"/>
            <w:vAlign w:val="bottom"/>
          </w:tcPr>
          <w:p w14:paraId="3168A92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河北</w:t>
            </w:r>
          </w:p>
        </w:tc>
        <w:tc>
          <w:tcPr>
            <w:tcW w:w="1246" w:type="dxa"/>
            <w:noWrap w:val="0"/>
            <w:vAlign w:val="bottom"/>
          </w:tcPr>
          <w:p w14:paraId="1886B4B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0.412</w:t>
            </w:r>
          </w:p>
        </w:tc>
        <w:tc>
          <w:tcPr>
            <w:tcW w:w="1176" w:type="dxa"/>
            <w:noWrap w:val="0"/>
            <w:vAlign w:val="bottom"/>
          </w:tcPr>
          <w:p w14:paraId="7E37E39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0.610</w:t>
            </w:r>
          </w:p>
        </w:tc>
        <w:tc>
          <w:tcPr>
            <w:tcW w:w="1189" w:type="dxa"/>
            <w:noWrap/>
            <w:vAlign w:val="top"/>
          </w:tcPr>
          <w:p w14:paraId="15C84BA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0.805</w:t>
            </w:r>
          </w:p>
        </w:tc>
        <w:tc>
          <w:tcPr>
            <w:tcW w:w="1166" w:type="dxa"/>
            <w:noWrap/>
            <w:vAlign w:val="top"/>
          </w:tcPr>
          <w:p w14:paraId="4A9641D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0.768</w:t>
            </w:r>
          </w:p>
        </w:tc>
        <w:tc>
          <w:tcPr>
            <w:tcW w:w="1179" w:type="dxa"/>
            <w:noWrap w:val="0"/>
            <w:vAlign w:val="center"/>
          </w:tcPr>
          <w:p w14:paraId="7B9A9DF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1.643</w:t>
            </w:r>
          </w:p>
        </w:tc>
        <w:tc>
          <w:tcPr>
            <w:tcW w:w="1176" w:type="dxa"/>
            <w:noWrap w:val="0"/>
            <w:vAlign w:val="center"/>
          </w:tcPr>
          <w:p w14:paraId="61C789C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1.473</w:t>
            </w:r>
          </w:p>
        </w:tc>
        <w:tc>
          <w:tcPr>
            <w:tcW w:w="1376" w:type="dxa"/>
            <w:noWrap w:val="0"/>
            <w:vAlign w:val="bottom"/>
          </w:tcPr>
          <w:p w14:paraId="238A7FB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0.994</w:t>
            </w:r>
          </w:p>
        </w:tc>
        <w:tc>
          <w:tcPr>
            <w:tcW w:w="1374" w:type="dxa"/>
            <w:noWrap w:val="0"/>
            <w:vAlign w:val="top"/>
          </w:tcPr>
          <w:p w14:paraId="698E94D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2.706</w:t>
            </w:r>
          </w:p>
        </w:tc>
      </w:tr>
      <w:tr w14:paraId="7252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6768731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稻谷</w:t>
            </w:r>
          </w:p>
        </w:tc>
        <w:tc>
          <w:tcPr>
            <w:tcW w:w="1548" w:type="dxa"/>
            <w:noWrap w:val="0"/>
            <w:vAlign w:val="bottom"/>
          </w:tcPr>
          <w:p w14:paraId="7B2F5BE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甘肃</w:t>
            </w:r>
          </w:p>
        </w:tc>
        <w:tc>
          <w:tcPr>
            <w:tcW w:w="1246" w:type="dxa"/>
            <w:noWrap w:val="0"/>
            <w:vAlign w:val="bottom"/>
          </w:tcPr>
          <w:p w14:paraId="02A700B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0.142</w:t>
            </w:r>
          </w:p>
        </w:tc>
        <w:tc>
          <w:tcPr>
            <w:tcW w:w="1176" w:type="dxa"/>
            <w:noWrap w:val="0"/>
            <w:vAlign w:val="bottom"/>
          </w:tcPr>
          <w:p w14:paraId="1C484DE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0.209</w:t>
            </w:r>
          </w:p>
        </w:tc>
        <w:tc>
          <w:tcPr>
            <w:tcW w:w="1189" w:type="dxa"/>
            <w:noWrap/>
            <w:vAlign w:val="top"/>
          </w:tcPr>
          <w:p w14:paraId="0A2B3B8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0.294</w:t>
            </w:r>
          </w:p>
        </w:tc>
        <w:tc>
          <w:tcPr>
            <w:tcW w:w="1166" w:type="dxa"/>
            <w:noWrap/>
            <w:vAlign w:val="top"/>
          </w:tcPr>
          <w:p w14:paraId="4C07414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0.283</w:t>
            </w:r>
          </w:p>
        </w:tc>
        <w:tc>
          <w:tcPr>
            <w:tcW w:w="1179" w:type="dxa"/>
            <w:noWrap w:val="0"/>
            <w:vAlign w:val="center"/>
          </w:tcPr>
          <w:p w14:paraId="4DBBB5B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0.279</w:t>
            </w:r>
          </w:p>
        </w:tc>
        <w:tc>
          <w:tcPr>
            <w:tcW w:w="1176" w:type="dxa"/>
            <w:noWrap w:val="0"/>
            <w:vAlign w:val="center"/>
          </w:tcPr>
          <w:p w14:paraId="6C2D708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0.356</w:t>
            </w:r>
          </w:p>
        </w:tc>
        <w:tc>
          <w:tcPr>
            <w:tcW w:w="1376" w:type="dxa"/>
            <w:noWrap w:val="0"/>
            <w:vAlign w:val="bottom"/>
          </w:tcPr>
          <w:p w14:paraId="3373529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0.604</w:t>
            </w:r>
          </w:p>
        </w:tc>
        <w:tc>
          <w:tcPr>
            <w:tcW w:w="1374" w:type="dxa"/>
            <w:noWrap w:val="0"/>
            <w:vAlign w:val="top"/>
          </w:tcPr>
          <w:p w14:paraId="3431F44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1.002</w:t>
            </w:r>
          </w:p>
        </w:tc>
      </w:tr>
      <w:tr w14:paraId="58F0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7CBAEDF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玉米DDGS</w:t>
            </w:r>
          </w:p>
        </w:tc>
        <w:tc>
          <w:tcPr>
            <w:tcW w:w="1548" w:type="dxa"/>
            <w:noWrap w:val="0"/>
            <w:vAlign w:val="bottom"/>
          </w:tcPr>
          <w:p w14:paraId="1E8B59F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四川</w:t>
            </w:r>
          </w:p>
        </w:tc>
        <w:tc>
          <w:tcPr>
            <w:tcW w:w="1246" w:type="dxa"/>
            <w:noWrap w:val="0"/>
            <w:vAlign w:val="bottom"/>
          </w:tcPr>
          <w:p w14:paraId="358B57A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0.501</w:t>
            </w:r>
          </w:p>
        </w:tc>
        <w:tc>
          <w:tcPr>
            <w:tcW w:w="1176" w:type="dxa"/>
            <w:noWrap w:val="0"/>
            <w:vAlign w:val="bottom"/>
          </w:tcPr>
          <w:p w14:paraId="4A3ED61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1.033</w:t>
            </w:r>
          </w:p>
        </w:tc>
        <w:tc>
          <w:tcPr>
            <w:tcW w:w="1189" w:type="dxa"/>
            <w:noWrap/>
            <w:vAlign w:val="top"/>
          </w:tcPr>
          <w:p w14:paraId="2925823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0.993</w:t>
            </w:r>
          </w:p>
        </w:tc>
        <w:tc>
          <w:tcPr>
            <w:tcW w:w="1166" w:type="dxa"/>
            <w:noWrap/>
            <w:vAlign w:val="top"/>
          </w:tcPr>
          <w:p w14:paraId="0A8591C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1.191</w:t>
            </w:r>
          </w:p>
        </w:tc>
        <w:tc>
          <w:tcPr>
            <w:tcW w:w="1179" w:type="dxa"/>
            <w:noWrap w:val="0"/>
            <w:vAlign w:val="center"/>
          </w:tcPr>
          <w:p w14:paraId="3A0CE77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2.018</w:t>
            </w:r>
          </w:p>
        </w:tc>
        <w:tc>
          <w:tcPr>
            <w:tcW w:w="1176" w:type="dxa"/>
            <w:noWrap w:val="0"/>
            <w:vAlign w:val="center"/>
          </w:tcPr>
          <w:p w14:paraId="6790138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1.832</w:t>
            </w:r>
          </w:p>
        </w:tc>
        <w:tc>
          <w:tcPr>
            <w:tcW w:w="1376" w:type="dxa"/>
            <w:noWrap w:val="0"/>
            <w:vAlign w:val="bottom"/>
          </w:tcPr>
          <w:p w14:paraId="2FE5802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1.718</w:t>
            </w:r>
          </w:p>
        </w:tc>
        <w:tc>
          <w:tcPr>
            <w:tcW w:w="1374" w:type="dxa"/>
            <w:noWrap w:val="0"/>
            <w:vAlign w:val="top"/>
          </w:tcPr>
          <w:p w14:paraId="158AA09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4.389</w:t>
            </w:r>
          </w:p>
        </w:tc>
      </w:tr>
      <w:tr w14:paraId="19C6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49E0E66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豆粕</w:t>
            </w:r>
          </w:p>
        </w:tc>
        <w:tc>
          <w:tcPr>
            <w:tcW w:w="1548" w:type="dxa"/>
            <w:noWrap w:val="0"/>
            <w:vAlign w:val="bottom"/>
          </w:tcPr>
          <w:p w14:paraId="05C6D77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1246" w:type="dxa"/>
            <w:noWrap w:val="0"/>
            <w:vAlign w:val="bottom"/>
          </w:tcPr>
          <w:p w14:paraId="12E33D2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0.656</w:t>
            </w:r>
          </w:p>
        </w:tc>
        <w:tc>
          <w:tcPr>
            <w:tcW w:w="1176" w:type="dxa"/>
            <w:noWrap w:val="0"/>
            <w:vAlign w:val="bottom"/>
          </w:tcPr>
          <w:p w14:paraId="05C8885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1.833</w:t>
            </w:r>
          </w:p>
        </w:tc>
        <w:tc>
          <w:tcPr>
            <w:tcW w:w="1189" w:type="dxa"/>
            <w:noWrap/>
            <w:vAlign w:val="top"/>
          </w:tcPr>
          <w:p w14:paraId="4E27649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1.928</w:t>
            </w:r>
          </w:p>
        </w:tc>
        <w:tc>
          <w:tcPr>
            <w:tcW w:w="1166" w:type="dxa"/>
            <w:noWrap/>
            <w:vAlign w:val="top"/>
          </w:tcPr>
          <w:p w14:paraId="421FBBB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2.257</w:t>
            </w:r>
          </w:p>
        </w:tc>
        <w:tc>
          <w:tcPr>
            <w:tcW w:w="1179" w:type="dxa"/>
            <w:noWrap w:val="0"/>
            <w:vAlign w:val="center"/>
          </w:tcPr>
          <w:p w14:paraId="4721787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2.163</w:t>
            </w:r>
          </w:p>
        </w:tc>
        <w:tc>
          <w:tcPr>
            <w:tcW w:w="1176" w:type="dxa"/>
            <w:noWrap w:val="0"/>
            <w:vAlign w:val="center"/>
          </w:tcPr>
          <w:p w14:paraId="1730F2E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1.973</w:t>
            </w:r>
          </w:p>
        </w:tc>
        <w:tc>
          <w:tcPr>
            <w:tcW w:w="1376" w:type="dxa"/>
            <w:noWrap w:val="0"/>
            <w:vAlign w:val="bottom"/>
          </w:tcPr>
          <w:p w14:paraId="75904B6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5.278</w:t>
            </w:r>
          </w:p>
        </w:tc>
        <w:tc>
          <w:tcPr>
            <w:tcW w:w="1374" w:type="dxa"/>
            <w:noWrap w:val="0"/>
            <w:vAlign w:val="top"/>
          </w:tcPr>
          <w:p w14:paraId="14B612F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8.191</w:t>
            </w:r>
          </w:p>
        </w:tc>
      </w:tr>
      <w:tr w14:paraId="025D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513CC0B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发酵豆粕</w:t>
            </w:r>
          </w:p>
        </w:tc>
        <w:tc>
          <w:tcPr>
            <w:tcW w:w="1548" w:type="dxa"/>
            <w:noWrap w:val="0"/>
            <w:vAlign w:val="bottom"/>
          </w:tcPr>
          <w:p w14:paraId="77B97CA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1246" w:type="dxa"/>
            <w:noWrap w:val="0"/>
            <w:vAlign w:val="bottom"/>
          </w:tcPr>
          <w:p w14:paraId="22E78B5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0.672</w:t>
            </w:r>
          </w:p>
        </w:tc>
        <w:tc>
          <w:tcPr>
            <w:tcW w:w="1176" w:type="dxa"/>
            <w:noWrap w:val="0"/>
            <w:vAlign w:val="bottom"/>
          </w:tcPr>
          <w:p w14:paraId="3CCA016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1.912</w:t>
            </w:r>
          </w:p>
        </w:tc>
        <w:tc>
          <w:tcPr>
            <w:tcW w:w="1189" w:type="dxa"/>
            <w:noWrap/>
            <w:vAlign w:val="top"/>
          </w:tcPr>
          <w:p w14:paraId="4F63561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2.041</w:t>
            </w:r>
          </w:p>
        </w:tc>
        <w:tc>
          <w:tcPr>
            <w:tcW w:w="1166" w:type="dxa"/>
            <w:noWrap/>
            <w:vAlign w:val="top"/>
          </w:tcPr>
          <w:p w14:paraId="27B05E3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2.341</w:t>
            </w:r>
          </w:p>
        </w:tc>
        <w:tc>
          <w:tcPr>
            <w:tcW w:w="1179" w:type="dxa"/>
            <w:noWrap w:val="0"/>
            <w:vAlign w:val="center"/>
          </w:tcPr>
          <w:p w14:paraId="668DC10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2.452</w:t>
            </w:r>
          </w:p>
        </w:tc>
        <w:tc>
          <w:tcPr>
            <w:tcW w:w="1176" w:type="dxa"/>
            <w:noWrap w:val="0"/>
            <w:vAlign w:val="center"/>
          </w:tcPr>
          <w:p w14:paraId="241FDA7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2.247</w:t>
            </w:r>
          </w:p>
        </w:tc>
        <w:tc>
          <w:tcPr>
            <w:tcW w:w="1376" w:type="dxa"/>
            <w:noWrap w:val="0"/>
            <w:vAlign w:val="bottom"/>
          </w:tcPr>
          <w:p w14:paraId="11D6671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5.557</w:t>
            </w:r>
          </w:p>
        </w:tc>
        <w:tc>
          <w:tcPr>
            <w:tcW w:w="1374" w:type="dxa"/>
            <w:noWrap w:val="0"/>
            <w:vAlign w:val="top"/>
          </w:tcPr>
          <w:p w14:paraId="0EB58F0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8.833</w:t>
            </w:r>
          </w:p>
        </w:tc>
      </w:tr>
      <w:tr w14:paraId="732E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2770F33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棉籽粕</w:t>
            </w:r>
          </w:p>
        </w:tc>
        <w:tc>
          <w:tcPr>
            <w:tcW w:w="1548" w:type="dxa"/>
            <w:noWrap w:val="0"/>
            <w:vAlign w:val="bottom"/>
          </w:tcPr>
          <w:p w14:paraId="08C1B2E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w:t>
            </w:r>
          </w:p>
        </w:tc>
        <w:tc>
          <w:tcPr>
            <w:tcW w:w="1246" w:type="dxa"/>
            <w:noWrap w:val="0"/>
            <w:vAlign w:val="bottom"/>
          </w:tcPr>
          <w:p w14:paraId="23C0352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0.802</w:t>
            </w:r>
          </w:p>
        </w:tc>
        <w:tc>
          <w:tcPr>
            <w:tcW w:w="1176" w:type="dxa"/>
            <w:noWrap w:val="0"/>
            <w:vAlign w:val="bottom"/>
          </w:tcPr>
          <w:p w14:paraId="30ECC72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1.602</w:t>
            </w:r>
          </w:p>
        </w:tc>
        <w:tc>
          <w:tcPr>
            <w:tcW w:w="1189" w:type="dxa"/>
            <w:noWrap/>
            <w:vAlign w:val="top"/>
          </w:tcPr>
          <w:p w14:paraId="616073B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1.946</w:t>
            </w:r>
          </w:p>
        </w:tc>
        <w:tc>
          <w:tcPr>
            <w:tcW w:w="1166" w:type="dxa"/>
            <w:noWrap/>
            <w:vAlign w:val="top"/>
          </w:tcPr>
          <w:p w14:paraId="2B5594D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2.019</w:t>
            </w:r>
          </w:p>
        </w:tc>
        <w:tc>
          <w:tcPr>
            <w:tcW w:w="1179" w:type="dxa"/>
            <w:noWrap w:val="0"/>
            <w:vAlign w:val="center"/>
          </w:tcPr>
          <w:p w14:paraId="5A39C68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1.728</w:t>
            </w:r>
          </w:p>
        </w:tc>
        <w:tc>
          <w:tcPr>
            <w:tcW w:w="1176" w:type="dxa"/>
            <w:noWrap w:val="0"/>
            <w:vAlign w:val="center"/>
          </w:tcPr>
          <w:p w14:paraId="06ECF76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1.823</w:t>
            </w:r>
          </w:p>
        </w:tc>
        <w:tc>
          <w:tcPr>
            <w:tcW w:w="1376" w:type="dxa"/>
            <w:noWrap w:val="0"/>
            <w:vAlign w:val="bottom"/>
          </w:tcPr>
          <w:p w14:paraId="28A30DC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4.582</w:t>
            </w:r>
          </w:p>
        </w:tc>
        <w:tc>
          <w:tcPr>
            <w:tcW w:w="1374" w:type="dxa"/>
            <w:noWrap w:val="0"/>
            <w:vAlign w:val="top"/>
          </w:tcPr>
          <w:p w14:paraId="37C1F4B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9.733</w:t>
            </w:r>
          </w:p>
        </w:tc>
      </w:tr>
      <w:tr w14:paraId="6E94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36BE30D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菜籽粕</w:t>
            </w:r>
          </w:p>
        </w:tc>
        <w:tc>
          <w:tcPr>
            <w:tcW w:w="1548" w:type="dxa"/>
            <w:noWrap w:val="0"/>
            <w:vAlign w:val="bottom"/>
          </w:tcPr>
          <w:p w14:paraId="4FCAFE9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重庆荣昌</w:t>
            </w:r>
          </w:p>
        </w:tc>
        <w:tc>
          <w:tcPr>
            <w:tcW w:w="1246" w:type="dxa"/>
            <w:noWrap w:val="0"/>
            <w:vAlign w:val="bottom"/>
          </w:tcPr>
          <w:p w14:paraId="5CDCAD0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0.702</w:t>
            </w:r>
          </w:p>
        </w:tc>
        <w:tc>
          <w:tcPr>
            <w:tcW w:w="1176" w:type="dxa"/>
            <w:noWrap w:val="0"/>
            <w:vAlign w:val="bottom"/>
          </w:tcPr>
          <w:p w14:paraId="4522A51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1.064</w:t>
            </w:r>
          </w:p>
        </w:tc>
        <w:tc>
          <w:tcPr>
            <w:tcW w:w="1189" w:type="dxa"/>
            <w:noWrap/>
            <w:vAlign w:val="top"/>
          </w:tcPr>
          <w:p w14:paraId="7F28DCB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1.681</w:t>
            </w:r>
          </w:p>
        </w:tc>
        <w:tc>
          <w:tcPr>
            <w:tcW w:w="1166" w:type="dxa"/>
            <w:noWrap/>
            <w:vAlign w:val="top"/>
          </w:tcPr>
          <w:p w14:paraId="6081679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1.365</w:t>
            </w:r>
          </w:p>
        </w:tc>
        <w:tc>
          <w:tcPr>
            <w:tcW w:w="1179" w:type="dxa"/>
            <w:noWrap w:val="0"/>
            <w:vAlign w:val="center"/>
          </w:tcPr>
          <w:p w14:paraId="7E25889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1.971</w:t>
            </w:r>
          </w:p>
        </w:tc>
        <w:tc>
          <w:tcPr>
            <w:tcW w:w="1176" w:type="dxa"/>
            <w:noWrap w:val="0"/>
            <w:vAlign w:val="center"/>
          </w:tcPr>
          <w:p w14:paraId="36EE6B7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1.453</w:t>
            </w:r>
          </w:p>
        </w:tc>
        <w:tc>
          <w:tcPr>
            <w:tcW w:w="1376" w:type="dxa"/>
            <w:noWrap w:val="0"/>
            <w:vAlign w:val="bottom"/>
          </w:tcPr>
          <w:p w14:paraId="14E78CA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2.247</w:t>
            </w:r>
          </w:p>
        </w:tc>
        <w:tc>
          <w:tcPr>
            <w:tcW w:w="1374" w:type="dxa"/>
            <w:noWrap w:val="0"/>
            <w:vAlign w:val="top"/>
          </w:tcPr>
          <w:p w14:paraId="1AFA442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5.902</w:t>
            </w:r>
          </w:p>
        </w:tc>
      </w:tr>
      <w:tr w14:paraId="7EAC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bottom"/>
          </w:tcPr>
          <w:p w14:paraId="228B2EA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菜籽粕</w:t>
            </w:r>
          </w:p>
        </w:tc>
        <w:tc>
          <w:tcPr>
            <w:tcW w:w="1548" w:type="dxa"/>
            <w:noWrap w:val="0"/>
            <w:vAlign w:val="bottom"/>
          </w:tcPr>
          <w:p w14:paraId="63B435F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重庆铜梁</w:t>
            </w:r>
          </w:p>
        </w:tc>
        <w:tc>
          <w:tcPr>
            <w:tcW w:w="1246" w:type="dxa"/>
            <w:noWrap w:val="0"/>
            <w:vAlign w:val="bottom"/>
          </w:tcPr>
          <w:p w14:paraId="36084B0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0.928</w:t>
            </w:r>
          </w:p>
        </w:tc>
        <w:tc>
          <w:tcPr>
            <w:tcW w:w="1176" w:type="dxa"/>
            <w:noWrap w:val="0"/>
            <w:vAlign w:val="bottom"/>
          </w:tcPr>
          <w:p w14:paraId="1AEACF1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0.889</w:t>
            </w:r>
          </w:p>
        </w:tc>
        <w:tc>
          <w:tcPr>
            <w:tcW w:w="1189" w:type="dxa"/>
            <w:noWrap/>
            <w:vAlign w:val="top"/>
          </w:tcPr>
          <w:p w14:paraId="0139BDA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1.664</w:t>
            </w:r>
          </w:p>
        </w:tc>
        <w:tc>
          <w:tcPr>
            <w:tcW w:w="1166" w:type="dxa"/>
            <w:noWrap/>
            <w:vAlign w:val="top"/>
          </w:tcPr>
          <w:p w14:paraId="37935E2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1.387</w:t>
            </w:r>
          </w:p>
        </w:tc>
        <w:tc>
          <w:tcPr>
            <w:tcW w:w="1179" w:type="dxa"/>
            <w:noWrap w:val="0"/>
            <w:vAlign w:val="center"/>
          </w:tcPr>
          <w:p w14:paraId="1AC4D0B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2.190</w:t>
            </w:r>
          </w:p>
        </w:tc>
        <w:tc>
          <w:tcPr>
            <w:tcW w:w="1176" w:type="dxa"/>
            <w:noWrap w:val="0"/>
            <w:vAlign w:val="center"/>
          </w:tcPr>
          <w:p w14:paraId="500A4D1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1.463</w:t>
            </w:r>
          </w:p>
        </w:tc>
        <w:tc>
          <w:tcPr>
            <w:tcW w:w="1376" w:type="dxa"/>
            <w:noWrap w:val="0"/>
            <w:vAlign w:val="bottom"/>
          </w:tcPr>
          <w:p w14:paraId="32C8A78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2.085</w:t>
            </w:r>
          </w:p>
        </w:tc>
        <w:tc>
          <w:tcPr>
            <w:tcW w:w="1374" w:type="dxa"/>
            <w:noWrap w:val="0"/>
            <w:vAlign w:val="top"/>
          </w:tcPr>
          <w:p w14:paraId="20E268A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6.322</w:t>
            </w:r>
          </w:p>
        </w:tc>
      </w:tr>
      <w:tr w14:paraId="465E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bottom"/>
          </w:tcPr>
          <w:p w14:paraId="66EB1AE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菜籽粕</w:t>
            </w:r>
          </w:p>
        </w:tc>
        <w:tc>
          <w:tcPr>
            <w:tcW w:w="1548" w:type="dxa"/>
            <w:noWrap w:val="0"/>
            <w:vAlign w:val="bottom"/>
          </w:tcPr>
          <w:p w14:paraId="4282AFE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重庆潼南</w:t>
            </w:r>
          </w:p>
        </w:tc>
        <w:tc>
          <w:tcPr>
            <w:tcW w:w="1246" w:type="dxa"/>
            <w:noWrap w:val="0"/>
            <w:vAlign w:val="bottom"/>
          </w:tcPr>
          <w:p w14:paraId="3C18D3E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0.747</w:t>
            </w:r>
          </w:p>
        </w:tc>
        <w:tc>
          <w:tcPr>
            <w:tcW w:w="1176" w:type="dxa"/>
            <w:noWrap w:val="0"/>
            <w:vAlign w:val="bottom"/>
          </w:tcPr>
          <w:p w14:paraId="6B9A397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0.907</w:t>
            </w:r>
          </w:p>
        </w:tc>
        <w:tc>
          <w:tcPr>
            <w:tcW w:w="1189" w:type="dxa"/>
            <w:noWrap/>
            <w:vAlign w:val="top"/>
          </w:tcPr>
          <w:p w14:paraId="1E00C7B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1.600</w:t>
            </w:r>
          </w:p>
        </w:tc>
        <w:tc>
          <w:tcPr>
            <w:tcW w:w="1166" w:type="dxa"/>
            <w:noWrap/>
            <w:vAlign w:val="top"/>
          </w:tcPr>
          <w:p w14:paraId="451C1C3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1.244</w:t>
            </w:r>
          </w:p>
        </w:tc>
        <w:tc>
          <w:tcPr>
            <w:tcW w:w="1179" w:type="dxa"/>
            <w:noWrap w:val="0"/>
            <w:vAlign w:val="center"/>
          </w:tcPr>
          <w:p w14:paraId="4A4CBD1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2.018</w:t>
            </w:r>
          </w:p>
        </w:tc>
        <w:tc>
          <w:tcPr>
            <w:tcW w:w="1176" w:type="dxa"/>
            <w:noWrap w:val="0"/>
            <w:vAlign w:val="center"/>
          </w:tcPr>
          <w:p w14:paraId="7EEBFD4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1.404</w:t>
            </w:r>
          </w:p>
        </w:tc>
        <w:tc>
          <w:tcPr>
            <w:tcW w:w="1376" w:type="dxa"/>
            <w:noWrap w:val="0"/>
            <w:vAlign w:val="bottom"/>
          </w:tcPr>
          <w:p w14:paraId="4CD367B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1.982</w:t>
            </w:r>
          </w:p>
        </w:tc>
        <w:tc>
          <w:tcPr>
            <w:tcW w:w="1374" w:type="dxa"/>
            <w:noWrap w:val="0"/>
            <w:vAlign w:val="top"/>
          </w:tcPr>
          <w:p w14:paraId="78DFD5A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5.733</w:t>
            </w:r>
          </w:p>
        </w:tc>
      </w:tr>
      <w:tr w14:paraId="2007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36BEF99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548" w:type="dxa"/>
            <w:noWrap w:val="0"/>
            <w:vAlign w:val="bottom"/>
          </w:tcPr>
          <w:p w14:paraId="152C25D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重庆江津</w:t>
            </w:r>
          </w:p>
        </w:tc>
        <w:tc>
          <w:tcPr>
            <w:tcW w:w="1246" w:type="dxa"/>
            <w:noWrap w:val="0"/>
            <w:vAlign w:val="bottom"/>
          </w:tcPr>
          <w:p w14:paraId="30A91FA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0.083</w:t>
            </w:r>
          </w:p>
        </w:tc>
        <w:tc>
          <w:tcPr>
            <w:tcW w:w="1176" w:type="dxa"/>
            <w:noWrap w:val="0"/>
            <w:vAlign w:val="bottom"/>
          </w:tcPr>
          <w:p w14:paraId="4749927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0.814</w:t>
            </w:r>
          </w:p>
        </w:tc>
        <w:tc>
          <w:tcPr>
            <w:tcW w:w="1189" w:type="dxa"/>
            <w:noWrap/>
            <w:vAlign w:val="top"/>
          </w:tcPr>
          <w:p w14:paraId="1AE3D78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1.620</w:t>
            </w:r>
          </w:p>
        </w:tc>
        <w:tc>
          <w:tcPr>
            <w:tcW w:w="1166" w:type="dxa"/>
            <w:noWrap/>
            <w:vAlign w:val="top"/>
          </w:tcPr>
          <w:p w14:paraId="1D2E1BD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1.351</w:t>
            </w:r>
          </w:p>
        </w:tc>
        <w:tc>
          <w:tcPr>
            <w:tcW w:w="1179" w:type="dxa"/>
            <w:noWrap w:val="0"/>
            <w:vAlign w:val="center"/>
          </w:tcPr>
          <w:p w14:paraId="1691481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1.990</w:t>
            </w:r>
          </w:p>
        </w:tc>
        <w:tc>
          <w:tcPr>
            <w:tcW w:w="1176" w:type="dxa"/>
            <w:noWrap w:val="0"/>
            <w:vAlign w:val="center"/>
          </w:tcPr>
          <w:p w14:paraId="4AD6275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1.425</w:t>
            </w:r>
          </w:p>
        </w:tc>
        <w:tc>
          <w:tcPr>
            <w:tcW w:w="1376" w:type="dxa"/>
            <w:noWrap w:val="0"/>
            <w:vAlign w:val="bottom"/>
          </w:tcPr>
          <w:p w14:paraId="1E416CF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2.101</w:t>
            </w:r>
          </w:p>
        </w:tc>
        <w:tc>
          <w:tcPr>
            <w:tcW w:w="1374" w:type="dxa"/>
            <w:noWrap w:val="0"/>
            <w:vAlign w:val="top"/>
          </w:tcPr>
          <w:p w14:paraId="751493B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5.775</w:t>
            </w:r>
          </w:p>
        </w:tc>
      </w:tr>
      <w:tr w14:paraId="3B2E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23A8925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548" w:type="dxa"/>
            <w:noWrap w:val="0"/>
            <w:vAlign w:val="bottom"/>
          </w:tcPr>
          <w:p w14:paraId="30C964A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重庆大足</w:t>
            </w:r>
          </w:p>
        </w:tc>
        <w:tc>
          <w:tcPr>
            <w:tcW w:w="1246" w:type="dxa"/>
            <w:noWrap w:val="0"/>
            <w:vAlign w:val="bottom"/>
          </w:tcPr>
          <w:p w14:paraId="4AAC712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0.617</w:t>
            </w:r>
          </w:p>
        </w:tc>
        <w:tc>
          <w:tcPr>
            <w:tcW w:w="1176" w:type="dxa"/>
            <w:noWrap w:val="0"/>
            <w:vAlign w:val="bottom"/>
          </w:tcPr>
          <w:p w14:paraId="44EB479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0.898</w:t>
            </w:r>
          </w:p>
        </w:tc>
        <w:tc>
          <w:tcPr>
            <w:tcW w:w="1189" w:type="dxa"/>
            <w:noWrap/>
            <w:vAlign w:val="top"/>
          </w:tcPr>
          <w:p w14:paraId="32E2A88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1.777</w:t>
            </w:r>
          </w:p>
        </w:tc>
        <w:tc>
          <w:tcPr>
            <w:tcW w:w="1166" w:type="dxa"/>
            <w:noWrap/>
            <w:vAlign w:val="top"/>
          </w:tcPr>
          <w:p w14:paraId="646DB63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1.431</w:t>
            </w:r>
          </w:p>
        </w:tc>
        <w:tc>
          <w:tcPr>
            <w:tcW w:w="1179" w:type="dxa"/>
            <w:noWrap w:val="0"/>
            <w:vAlign w:val="center"/>
          </w:tcPr>
          <w:p w14:paraId="3260A1E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2.235</w:t>
            </w:r>
          </w:p>
        </w:tc>
        <w:tc>
          <w:tcPr>
            <w:tcW w:w="1176" w:type="dxa"/>
            <w:noWrap w:val="0"/>
            <w:vAlign w:val="center"/>
          </w:tcPr>
          <w:p w14:paraId="43AC927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1.571</w:t>
            </w:r>
          </w:p>
        </w:tc>
        <w:tc>
          <w:tcPr>
            <w:tcW w:w="1376" w:type="dxa"/>
            <w:noWrap w:val="0"/>
            <w:vAlign w:val="bottom"/>
          </w:tcPr>
          <w:p w14:paraId="6A933CB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2.366</w:t>
            </w:r>
          </w:p>
        </w:tc>
        <w:tc>
          <w:tcPr>
            <w:tcW w:w="1374" w:type="dxa"/>
            <w:noWrap w:val="0"/>
            <w:vAlign w:val="top"/>
          </w:tcPr>
          <w:p w14:paraId="3925D4E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6.518</w:t>
            </w:r>
          </w:p>
        </w:tc>
      </w:tr>
      <w:tr w14:paraId="2D51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79F0077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548" w:type="dxa"/>
            <w:noWrap w:val="0"/>
            <w:vAlign w:val="bottom"/>
          </w:tcPr>
          <w:p w14:paraId="1F17F0C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重庆邮亭</w:t>
            </w:r>
          </w:p>
        </w:tc>
        <w:tc>
          <w:tcPr>
            <w:tcW w:w="1246" w:type="dxa"/>
            <w:noWrap w:val="0"/>
            <w:vAlign w:val="bottom"/>
          </w:tcPr>
          <w:p w14:paraId="1CCCDC7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0.707</w:t>
            </w:r>
          </w:p>
        </w:tc>
        <w:tc>
          <w:tcPr>
            <w:tcW w:w="1176" w:type="dxa"/>
            <w:noWrap w:val="0"/>
            <w:vAlign w:val="bottom"/>
          </w:tcPr>
          <w:p w14:paraId="51C26E6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0.908</w:t>
            </w:r>
          </w:p>
        </w:tc>
        <w:tc>
          <w:tcPr>
            <w:tcW w:w="1189" w:type="dxa"/>
            <w:noWrap/>
            <w:vAlign w:val="top"/>
          </w:tcPr>
          <w:p w14:paraId="5D9CB95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1.768</w:t>
            </w:r>
          </w:p>
        </w:tc>
        <w:tc>
          <w:tcPr>
            <w:tcW w:w="1166" w:type="dxa"/>
            <w:noWrap/>
            <w:vAlign w:val="top"/>
          </w:tcPr>
          <w:p w14:paraId="5A70D67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1.443</w:t>
            </w:r>
          </w:p>
        </w:tc>
        <w:tc>
          <w:tcPr>
            <w:tcW w:w="1179" w:type="dxa"/>
            <w:noWrap w:val="0"/>
            <w:vAlign w:val="center"/>
          </w:tcPr>
          <w:p w14:paraId="3A6BF31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2.189</w:t>
            </w:r>
          </w:p>
        </w:tc>
        <w:tc>
          <w:tcPr>
            <w:tcW w:w="1176" w:type="dxa"/>
            <w:noWrap w:val="0"/>
            <w:vAlign w:val="center"/>
          </w:tcPr>
          <w:p w14:paraId="4B70CA3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1.558</w:t>
            </w:r>
          </w:p>
        </w:tc>
        <w:tc>
          <w:tcPr>
            <w:tcW w:w="1376" w:type="dxa"/>
            <w:noWrap w:val="0"/>
            <w:vAlign w:val="bottom"/>
          </w:tcPr>
          <w:p w14:paraId="1F0603F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2.371</w:t>
            </w:r>
          </w:p>
        </w:tc>
        <w:tc>
          <w:tcPr>
            <w:tcW w:w="1374" w:type="dxa"/>
            <w:noWrap w:val="0"/>
            <w:vAlign w:val="top"/>
          </w:tcPr>
          <w:p w14:paraId="7E76AF6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6.347</w:t>
            </w:r>
          </w:p>
        </w:tc>
      </w:tr>
      <w:tr w14:paraId="69EC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173A2C9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548" w:type="dxa"/>
            <w:noWrap w:val="0"/>
            <w:vAlign w:val="bottom"/>
          </w:tcPr>
          <w:p w14:paraId="06D4A3A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重庆铜梁</w:t>
            </w:r>
          </w:p>
        </w:tc>
        <w:tc>
          <w:tcPr>
            <w:tcW w:w="1246" w:type="dxa"/>
            <w:noWrap w:val="0"/>
            <w:vAlign w:val="bottom"/>
          </w:tcPr>
          <w:p w14:paraId="4226747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0.997</w:t>
            </w:r>
          </w:p>
        </w:tc>
        <w:tc>
          <w:tcPr>
            <w:tcW w:w="1176" w:type="dxa"/>
            <w:noWrap w:val="0"/>
            <w:vAlign w:val="bottom"/>
          </w:tcPr>
          <w:p w14:paraId="77DFD35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0.876</w:t>
            </w:r>
          </w:p>
        </w:tc>
        <w:tc>
          <w:tcPr>
            <w:tcW w:w="1189" w:type="dxa"/>
            <w:noWrap/>
            <w:vAlign w:val="top"/>
          </w:tcPr>
          <w:p w14:paraId="53BC66A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1.715</w:t>
            </w:r>
          </w:p>
        </w:tc>
        <w:tc>
          <w:tcPr>
            <w:tcW w:w="1166" w:type="dxa"/>
            <w:noWrap/>
            <w:vAlign w:val="top"/>
          </w:tcPr>
          <w:p w14:paraId="6226810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1.407</w:t>
            </w:r>
          </w:p>
        </w:tc>
        <w:tc>
          <w:tcPr>
            <w:tcW w:w="1179" w:type="dxa"/>
            <w:noWrap w:val="0"/>
            <w:vAlign w:val="center"/>
          </w:tcPr>
          <w:p w14:paraId="0D33A48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2.227</w:t>
            </w:r>
          </w:p>
        </w:tc>
        <w:tc>
          <w:tcPr>
            <w:tcW w:w="1176" w:type="dxa"/>
            <w:noWrap w:val="0"/>
            <w:vAlign w:val="center"/>
          </w:tcPr>
          <w:p w14:paraId="7FBA8BF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1.500</w:t>
            </w:r>
          </w:p>
        </w:tc>
        <w:tc>
          <w:tcPr>
            <w:tcW w:w="1376" w:type="dxa"/>
            <w:noWrap w:val="0"/>
            <w:vAlign w:val="bottom"/>
          </w:tcPr>
          <w:p w14:paraId="42FA414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2.218</w:t>
            </w:r>
          </w:p>
        </w:tc>
        <w:tc>
          <w:tcPr>
            <w:tcW w:w="1374" w:type="dxa"/>
            <w:noWrap w:val="0"/>
            <w:vAlign w:val="top"/>
          </w:tcPr>
          <w:p w14:paraId="73DD03B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6.375</w:t>
            </w:r>
          </w:p>
        </w:tc>
      </w:tr>
      <w:tr w14:paraId="0C72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7" w:type="dxa"/>
            <w:noWrap w:val="0"/>
            <w:vAlign w:val="top"/>
          </w:tcPr>
          <w:p w14:paraId="7E6A41D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菜籽饼</w:t>
            </w:r>
          </w:p>
        </w:tc>
        <w:tc>
          <w:tcPr>
            <w:tcW w:w="1548" w:type="dxa"/>
            <w:noWrap w:val="0"/>
            <w:vAlign w:val="bottom"/>
          </w:tcPr>
          <w:p w14:paraId="025A3FB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重庆荣昌</w:t>
            </w:r>
          </w:p>
        </w:tc>
        <w:tc>
          <w:tcPr>
            <w:tcW w:w="1246" w:type="dxa"/>
            <w:noWrap w:val="0"/>
            <w:vAlign w:val="bottom"/>
          </w:tcPr>
          <w:p w14:paraId="5D534DA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0.886</w:t>
            </w:r>
          </w:p>
        </w:tc>
        <w:tc>
          <w:tcPr>
            <w:tcW w:w="1176" w:type="dxa"/>
            <w:noWrap w:val="0"/>
            <w:vAlign w:val="bottom"/>
          </w:tcPr>
          <w:p w14:paraId="3E86FC3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0.924</w:t>
            </w:r>
          </w:p>
        </w:tc>
        <w:tc>
          <w:tcPr>
            <w:tcW w:w="1189" w:type="dxa"/>
            <w:noWrap/>
            <w:vAlign w:val="top"/>
          </w:tcPr>
          <w:p w14:paraId="0B591BF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1.619</w:t>
            </w:r>
          </w:p>
        </w:tc>
        <w:tc>
          <w:tcPr>
            <w:tcW w:w="1166" w:type="dxa"/>
            <w:noWrap/>
            <w:vAlign w:val="top"/>
          </w:tcPr>
          <w:p w14:paraId="35B591C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1.400</w:t>
            </w:r>
          </w:p>
        </w:tc>
        <w:tc>
          <w:tcPr>
            <w:tcW w:w="1179" w:type="dxa"/>
            <w:noWrap w:val="0"/>
            <w:vAlign w:val="center"/>
          </w:tcPr>
          <w:p w14:paraId="4ED7226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1.972</w:t>
            </w:r>
          </w:p>
        </w:tc>
        <w:tc>
          <w:tcPr>
            <w:tcW w:w="1176" w:type="dxa"/>
            <w:noWrap w:val="0"/>
            <w:vAlign w:val="center"/>
          </w:tcPr>
          <w:p w14:paraId="3FE064F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1.429</w:t>
            </w:r>
          </w:p>
        </w:tc>
        <w:tc>
          <w:tcPr>
            <w:tcW w:w="1376" w:type="dxa"/>
            <w:noWrap w:val="0"/>
            <w:vAlign w:val="bottom"/>
          </w:tcPr>
          <w:p w14:paraId="424B7B7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2.134</w:t>
            </w:r>
          </w:p>
        </w:tc>
        <w:tc>
          <w:tcPr>
            <w:tcW w:w="1374" w:type="dxa"/>
            <w:noWrap w:val="0"/>
            <w:vAlign w:val="top"/>
          </w:tcPr>
          <w:p w14:paraId="3E348DC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5.925</w:t>
            </w:r>
          </w:p>
        </w:tc>
      </w:tr>
    </w:tbl>
    <w:p w14:paraId="6FCEB7BA">
      <w:pPr>
        <w:pageBreakBefore w:val="0"/>
        <w:wordWrap/>
        <w:overflowPunct/>
        <w:topLinePunct w:val="0"/>
        <w:bidi w:val="0"/>
        <w:spacing w:beforeAutospacing="0" w:afterAutospacing="0" w:line="600" w:lineRule="exact"/>
        <w:ind w:left="0" w:leftChars="0" w:right="0" w:rightChars="0" w:firstLine="640" w:firstLineChars="200"/>
        <w:jc w:val="center"/>
        <w:rPr>
          <w:rFonts w:hint="eastAsia" w:ascii="方正仿宋_GBK" w:hAnsi="方正仿宋_GBK" w:eastAsia="方正仿宋_GBK" w:cs="方正仿宋_GBK"/>
          <w:b w:val="0"/>
          <w:bCs w:val="0"/>
          <w:sz w:val="32"/>
          <w:szCs w:val="32"/>
        </w:rPr>
      </w:pPr>
    </w:p>
    <w:p w14:paraId="293FAF76">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p>
    <w:p w14:paraId="76BC297B">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rPr>
        <w:t>表4 部分饲料鹅的有效能和标准回肠可消化氨基酸含量</w:t>
      </w:r>
    </w:p>
    <w:p w14:paraId="7E270079">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p>
    <w:tbl>
      <w:tblPr>
        <w:tblStyle w:val="9"/>
        <w:tblW w:w="12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5"/>
        <w:gridCol w:w="1575"/>
        <w:gridCol w:w="1531"/>
        <w:gridCol w:w="1531"/>
        <w:gridCol w:w="1752"/>
        <w:gridCol w:w="1753"/>
      </w:tblGrid>
      <w:tr w14:paraId="667A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825" w:type="dxa"/>
            <w:noWrap w:val="0"/>
            <w:vAlign w:val="center"/>
          </w:tcPr>
          <w:p w14:paraId="65145D3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营养指标</w:t>
            </w:r>
          </w:p>
        </w:tc>
        <w:tc>
          <w:tcPr>
            <w:tcW w:w="1575" w:type="dxa"/>
            <w:noWrap w:val="0"/>
            <w:vAlign w:val="center"/>
          </w:tcPr>
          <w:p w14:paraId="7A096D0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玉米</w:t>
            </w:r>
          </w:p>
        </w:tc>
        <w:tc>
          <w:tcPr>
            <w:tcW w:w="1531" w:type="dxa"/>
            <w:noWrap w:val="0"/>
            <w:vAlign w:val="center"/>
          </w:tcPr>
          <w:p w14:paraId="6C29964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面粉</w:t>
            </w:r>
          </w:p>
        </w:tc>
        <w:tc>
          <w:tcPr>
            <w:tcW w:w="1531" w:type="dxa"/>
            <w:noWrap w:val="0"/>
            <w:vAlign w:val="center"/>
          </w:tcPr>
          <w:p w14:paraId="2657196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麦麸</w:t>
            </w:r>
          </w:p>
        </w:tc>
        <w:tc>
          <w:tcPr>
            <w:tcW w:w="1752" w:type="dxa"/>
            <w:noWrap w:val="0"/>
            <w:vAlign w:val="center"/>
          </w:tcPr>
          <w:p w14:paraId="6E5BB22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米糠</w:t>
            </w:r>
          </w:p>
        </w:tc>
        <w:tc>
          <w:tcPr>
            <w:tcW w:w="1753" w:type="dxa"/>
            <w:noWrap w:val="0"/>
            <w:vAlign w:val="center"/>
          </w:tcPr>
          <w:p w14:paraId="2B28C2D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喷浆玉米皮</w:t>
            </w:r>
          </w:p>
        </w:tc>
      </w:tr>
      <w:tr w14:paraId="3C49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315D51C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 xml:space="preserve">代谢能AME，MJ/kg（kcal/kg） </w:t>
            </w:r>
          </w:p>
        </w:tc>
        <w:tc>
          <w:tcPr>
            <w:tcW w:w="1575" w:type="dxa"/>
            <w:noWrap w:val="0"/>
            <w:vAlign w:val="center"/>
          </w:tcPr>
          <w:p w14:paraId="40909B1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13.78（3293）</w:t>
            </w:r>
          </w:p>
        </w:tc>
        <w:tc>
          <w:tcPr>
            <w:tcW w:w="1531" w:type="dxa"/>
            <w:noWrap w:val="0"/>
            <w:vAlign w:val="center"/>
          </w:tcPr>
          <w:p w14:paraId="4D053CB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14.45（3453）</w:t>
            </w:r>
          </w:p>
        </w:tc>
        <w:tc>
          <w:tcPr>
            <w:tcW w:w="1531" w:type="dxa"/>
            <w:noWrap w:val="0"/>
            <w:vAlign w:val="center"/>
          </w:tcPr>
          <w:p w14:paraId="5C7DC87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10.24（2447）</w:t>
            </w:r>
          </w:p>
        </w:tc>
        <w:tc>
          <w:tcPr>
            <w:tcW w:w="1752" w:type="dxa"/>
            <w:noWrap w:val="0"/>
            <w:vAlign w:val="center"/>
          </w:tcPr>
          <w:p w14:paraId="2C75156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11.90（2843）</w:t>
            </w:r>
          </w:p>
        </w:tc>
        <w:tc>
          <w:tcPr>
            <w:tcW w:w="1753" w:type="dxa"/>
            <w:noWrap w:val="0"/>
            <w:vAlign w:val="center"/>
          </w:tcPr>
          <w:p w14:paraId="3663C62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11.36（2714）</w:t>
            </w:r>
          </w:p>
        </w:tc>
      </w:tr>
      <w:tr w14:paraId="1254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5AEB9F1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必需氨基酸，g/kg</w:t>
            </w:r>
          </w:p>
        </w:tc>
        <w:tc>
          <w:tcPr>
            <w:tcW w:w="1575" w:type="dxa"/>
            <w:noWrap w:val="0"/>
            <w:vAlign w:val="center"/>
          </w:tcPr>
          <w:p w14:paraId="2512F8B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1531" w:type="dxa"/>
            <w:noWrap w:val="0"/>
            <w:vAlign w:val="center"/>
          </w:tcPr>
          <w:p w14:paraId="0862544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1531" w:type="dxa"/>
            <w:noWrap w:val="0"/>
            <w:vAlign w:val="center"/>
          </w:tcPr>
          <w:p w14:paraId="39CF9BB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1752" w:type="dxa"/>
            <w:noWrap w:val="0"/>
            <w:vAlign w:val="center"/>
          </w:tcPr>
          <w:p w14:paraId="71837EA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1753" w:type="dxa"/>
            <w:noWrap w:val="0"/>
            <w:vAlign w:val="center"/>
          </w:tcPr>
          <w:p w14:paraId="5A4AA5C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r>
      <w:tr w14:paraId="0CD5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38A5F5B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蛋氨酸Met</w:t>
            </w:r>
          </w:p>
        </w:tc>
        <w:tc>
          <w:tcPr>
            <w:tcW w:w="1575" w:type="dxa"/>
            <w:noWrap w:val="0"/>
            <w:vAlign w:val="center"/>
          </w:tcPr>
          <w:p w14:paraId="4EE7E18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1.52</w:t>
            </w:r>
          </w:p>
        </w:tc>
        <w:tc>
          <w:tcPr>
            <w:tcW w:w="1531" w:type="dxa"/>
            <w:noWrap w:val="0"/>
            <w:vAlign w:val="center"/>
          </w:tcPr>
          <w:p w14:paraId="2BF5994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1.72</w:t>
            </w:r>
          </w:p>
        </w:tc>
        <w:tc>
          <w:tcPr>
            <w:tcW w:w="1531" w:type="dxa"/>
            <w:noWrap w:val="0"/>
            <w:vAlign w:val="center"/>
          </w:tcPr>
          <w:p w14:paraId="560BDEA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1.56</w:t>
            </w:r>
          </w:p>
        </w:tc>
        <w:tc>
          <w:tcPr>
            <w:tcW w:w="1752" w:type="dxa"/>
            <w:noWrap w:val="0"/>
            <w:vAlign w:val="center"/>
          </w:tcPr>
          <w:p w14:paraId="0E20950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2.13</w:t>
            </w:r>
          </w:p>
        </w:tc>
        <w:tc>
          <w:tcPr>
            <w:tcW w:w="1753" w:type="dxa"/>
            <w:noWrap w:val="0"/>
            <w:vAlign w:val="center"/>
          </w:tcPr>
          <w:p w14:paraId="0AB8384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1.67</w:t>
            </w:r>
          </w:p>
        </w:tc>
      </w:tr>
      <w:tr w14:paraId="1CE7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4CE0F3D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赖氨酸Lys</w:t>
            </w:r>
          </w:p>
        </w:tc>
        <w:tc>
          <w:tcPr>
            <w:tcW w:w="1575" w:type="dxa"/>
            <w:noWrap w:val="0"/>
            <w:vAlign w:val="center"/>
          </w:tcPr>
          <w:p w14:paraId="3AE9934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2.11</w:t>
            </w:r>
          </w:p>
        </w:tc>
        <w:tc>
          <w:tcPr>
            <w:tcW w:w="1531" w:type="dxa"/>
            <w:noWrap w:val="0"/>
            <w:vAlign w:val="center"/>
          </w:tcPr>
          <w:p w14:paraId="0EEBCBF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2.28</w:t>
            </w:r>
          </w:p>
        </w:tc>
        <w:tc>
          <w:tcPr>
            <w:tcW w:w="1531" w:type="dxa"/>
            <w:noWrap w:val="0"/>
            <w:vAlign w:val="center"/>
          </w:tcPr>
          <w:p w14:paraId="6FE33BB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3.38</w:t>
            </w:r>
          </w:p>
        </w:tc>
        <w:tc>
          <w:tcPr>
            <w:tcW w:w="1752" w:type="dxa"/>
            <w:noWrap w:val="0"/>
            <w:vAlign w:val="center"/>
          </w:tcPr>
          <w:p w14:paraId="464DC24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4.62</w:t>
            </w:r>
          </w:p>
        </w:tc>
        <w:tc>
          <w:tcPr>
            <w:tcW w:w="1753" w:type="dxa"/>
            <w:noWrap w:val="0"/>
            <w:vAlign w:val="center"/>
          </w:tcPr>
          <w:p w14:paraId="7005B8E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3.60</w:t>
            </w:r>
          </w:p>
        </w:tc>
      </w:tr>
      <w:tr w14:paraId="0C52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199518D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色氨酸Try</w:t>
            </w:r>
          </w:p>
        </w:tc>
        <w:tc>
          <w:tcPr>
            <w:tcW w:w="1575" w:type="dxa"/>
            <w:noWrap w:val="0"/>
            <w:vAlign w:val="center"/>
          </w:tcPr>
          <w:p w14:paraId="598999F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0.47</w:t>
            </w:r>
          </w:p>
        </w:tc>
        <w:tc>
          <w:tcPr>
            <w:tcW w:w="1531" w:type="dxa"/>
            <w:noWrap w:val="0"/>
            <w:vAlign w:val="center"/>
          </w:tcPr>
          <w:p w14:paraId="5E86B74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1.12</w:t>
            </w:r>
          </w:p>
        </w:tc>
        <w:tc>
          <w:tcPr>
            <w:tcW w:w="1531" w:type="dxa"/>
            <w:noWrap w:val="0"/>
            <w:vAlign w:val="center"/>
          </w:tcPr>
          <w:p w14:paraId="5BE7995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1.86</w:t>
            </w:r>
          </w:p>
        </w:tc>
        <w:tc>
          <w:tcPr>
            <w:tcW w:w="1752" w:type="dxa"/>
            <w:noWrap w:val="0"/>
            <w:vAlign w:val="center"/>
          </w:tcPr>
          <w:p w14:paraId="4768DE1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1.12</w:t>
            </w:r>
          </w:p>
        </w:tc>
        <w:tc>
          <w:tcPr>
            <w:tcW w:w="1753" w:type="dxa"/>
            <w:noWrap w:val="0"/>
            <w:vAlign w:val="center"/>
          </w:tcPr>
          <w:p w14:paraId="0BB741B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0.37</w:t>
            </w:r>
          </w:p>
        </w:tc>
      </w:tr>
      <w:tr w14:paraId="5A66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690BDE7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苏氨酸Thr</w:t>
            </w:r>
          </w:p>
        </w:tc>
        <w:tc>
          <w:tcPr>
            <w:tcW w:w="1575" w:type="dxa"/>
            <w:noWrap w:val="0"/>
            <w:vAlign w:val="center"/>
          </w:tcPr>
          <w:p w14:paraId="6F36851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2.15</w:t>
            </w:r>
          </w:p>
        </w:tc>
        <w:tc>
          <w:tcPr>
            <w:tcW w:w="1531" w:type="dxa"/>
            <w:noWrap w:val="0"/>
            <w:vAlign w:val="center"/>
          </w:tcPr>
          <w:p w14:paraId="5D63D50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2.86</w:t>
            </w:r>
          </w:p>
        </w:tc>
        <w:tc>
          <w:tcPr>
            <w:tcW w:w="1531" w:type="dxa"/>
            <w:noWrap w:val="0"/>
            <w:vAlign w:val="center"/>
          </w:tcPr>
          <w:p w14:paraId="636BCF9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2.72</w:t>
            </w:r>
          </w:p>
        </w:tc>
        <w:tc>
          <w:tcPr>
            <w:tcW w:w="1752" w:type="dxa"/>
            <w:noWrap w:val="0"/>
            <w:vAlign w:val="center"/>
          </w:tcPr>
          <w:p w14:paraId="7BA44B8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3.09</w:t>
            </w:r>
          </w:p>
        </w:tc>
        <w:tc>
          <w:tcPr>
            <w:tcW w:w="1753" w:type="dxa"/>
            <w:noWrap w:val="0"/>
            <w:vAlign w:val="center"/>
          </w:tcPr>
          <w:p w14:paraId="688DF3C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3.02</w:t>
            </w:r>
          </w:p>
        </w:tc>
      </w:tr>
      <w:tr w14:paraId="251A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7B02F29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精氨酸Arg</w:t>
            </w:r>
          </w:p>
        </w:tc>
        <w:tc>
          <w:tcPr>
            <w:tcW w:w="1575" w:type="dxa"/>
            <w:noWrap w:val="0"/>
            <w:vAlign w:val="center"/>
          </w:tcPr>
          <w:p w14:paraId="267CA85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3.21</w:t>
            </w:r>
          </w:p>
        </w:tc>
        <w:tc>
          <w:tcPr>
            <w:tcW w:w="1531" w:type="dxa"/>
            <w:noWrap w:val="0"/>
            <w:vAlign w:val="center"/>
          </w:tcPr>
          <w:p w14:paraId="79A7086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4.36</w:t>
            </w:r>
          </w:p>
        </w:tc>
        <w:tc>
          <w:tcPr>
            <w:tcW w:w="1531" w:type="dxa"/>
            <w:noWrap w:val="0"/>
            <w:vAlign w:val="center"/>
          </w:tcPr>
          <w:p w14:paraId="0593B5F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7.04</w:t>
            </w:r>
          </w:p>
        </w:tc>
        <w:tc>
          <w:tcPr>
            <w:tcW w:w="1752" w:type="dxa"/>
            <w:noWrap w:val="0"/>
            <w:vAlign w:val="center"/>
          </w:tcPr>
          <w:p w14:paraId="210FEEC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8.40</w:t>
            </w:r>
          </w:p>
        </w:tc>
        <w:tc>
          <w:tcPr>
            <w:tcW w:w="1753" w:type="dxa"/>
            <w:noWrap w:val="0"/>
            <w:vAlign w:val="center"/>
          </w:tcPr>
          <w:p w14:paraId="48C82B3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4.35</w:t>
            </w:r>
          </w:p>
        </w:tc>
      </w:tr>
      <w:tr w14:paraId="5240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112A080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异亮氨酸Ile</w:t>
            </w:r>
          </w:p>
        </w:tc>
        <w:tc>
          <w:tcPr>
            <w:tcW w:w="1575" w:type="dxa"/>
            <w:noWrap w:val="0"/>
            <w:vAlign w:val="center"/>
          </w:tcPr>
          <w:p w14:paraId="69DED00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2.16</w:t>
            </w:r>
          </w:p>
        </w:tc>
        <w:tc>
          <w:tcPr>
            <w:tcW w:w="1531" w:type="dxa"/>
            <w:noWrap w:val="0"/>
            <w:vAlign w:val="center"/>
          </w:tcPr>
          <w:p w14:paraId="03CC1F7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4.01</w:t>
            </w:r>
          </w:p>
        </w:tc>
        <w:tc>
          <w:tcPr>
            <w:tcW w:w="1531" w:type="dxa"/>
            <w:noWrap w:val="0"/>
            <w:vAlign w:val="center"/>
          </w:tcPr>
          <w:p w14:paraId="6C796FA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3.13</w:t>
            </w:r>
          </w:p>
        </w:tc>
        <w:tc>
          <w:tcPr>
            <w:tcW w:w="1752" w:type="dxa"/>
            <w:noWrap w:val="0"/>
            <w:vAlign w:val="center"/>
          </w:tcPr>
          <w:p w14:paraId="63AE86D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3.11</w:t>
            </w:r>
          </w:p>
        </w:tc>
        <w:tc>
          <w:tcPr>
            <w:tcW w:w="1753" w:type="dxa"/>
            <w:noWrap w:val="0"/>
            <w:vAlign w:val="center"/>
          </w:tcPr>
          <w:p w14:paraId="5B13D83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3.11</w:t>
            </w:r>
          </w:p>
        </w:tc>
      </w:tr>
      <w:tr w14:paraId="1C96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62FCFF0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亮氨酸Leu</w:t>
            </w:r>
          </w:p>
        </w:tc>
        <w:tc>
          <w:tcPr>
            <w:tcW w:w="1575" w:type="dxa"/>
            <w:noWrap w:val="0"/>
            <w:vAlign w:val="center"/>
          </w:tcPr>
          <w:p w14:paraId="4225225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7.96</w:t>
            </w:r>
          </w:p>
        </w:tc>
        <w:tc>
          <w:tcPr>
            <w:tcW w:w="1531" w:type="dxa"/>
            <w:noWrap w:val="0"/>
            <w:vAlign w:val="center"/>
          </w:tcPr>
          <w:p w14:paraId="48B030B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8.25</w:t>
            </w:r>
          </w:p>
        </w:tc>
        <w:tc>
          <w:tcPr>
            <w:tcW w:w="1531" w:type="dxa"/>
            <w:noWrap w:val="0"/>
            <w:vAlign w:val="center"/>
          </w:tcPr>
          <w:p w14:paraId="40A805B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6.29</w:t>
            </w:r>
          </w:p>
        </w:tc>
        <w:tc>
          <w:tcPr>
            <w:tcW w:w="1752" w:type="dxa"/>
            <w:noWrap w:val="0"/>
            <w:vAlign w:val="center"/>
          </w:tcPr>
          <w:p w14:paraId="3BD8063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6.11</w:t>
            </w:r>
          </w:p>
        </w:tc>
        <w:tc>
          <w:tcPr>
            <w:tcW w:w="1753" w:type="dxa"/>
            <w:noWrap w:val="0"/>
            <w:vAlign w:val="center"/>
          </w:tcPr>
          <w:p w14:paraId="6B902BF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11.02</w:t>
            </w:r>
          </w:p>
        </w:tc>
      </w:tr>
      <w:tr w14:paraId="34B1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7C0F519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缬氨酸Val</w:t>
            </w:r>
          </w:p>
        </w:tc>
        <w:tc>
          <w:tcPr>
            <w:tcW w:w="1575" w:type="dxa"/>
            <w:noWrap w:val="0"/>
            <w:vAlign w:val="center"/>
          </w:tcPr>
          <w:p w14:paraId="64BFE4C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2.98</w:t>
            </w:r>
          </w:p>
        </w:tc>
        <w:tc>
          <w:tcPr>
            <w:tcW w:w="1531" w:type="dxa"/>
            <w:noWrap w:val="0"/>
            <w:vAlign w:val="center"/>
          </w:tcPr>
          <w:p w14:paraId="57758C1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4.91</w:t>
            </w:r>
          </w:p>
        </w:tc>
        <w:tc>
          <w:tcPr>
            <w:tcW w:w="1531" w:type="dxa"/>
            <w:noWrap w:val="0"/>
            <w:vAlign w:val="center"/>
          </w:tcPr>
          <w:p w14:paraId="769BB96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4.68</w:t>
            </w:r>
          </w:p>
        </w:tc>
        <w:tc>
          <w:tcPr>
            <w:tcW w:w="1752" w:type="dxa"/>
            <w:noWrap w:val="0"/>
            <w:vAlign w:val="center"/>
          </w:tcPr>
          <w:p w14:paraId="1E7F943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4.99</w:t>
            </w:r>
          </w:p>
        </w:tc>
        <w:tc>
          <w:tcPr>
            <w:tcW w:w="1753" w:type="dxa"/>
            <w:noWrap w:val="0"/>
            <w:vAlign w:val="center"/>
          </w:tcPr>
          <w:p w14:paraId="2154B1C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5.35</w:t>
            </w:r>
          </w:p>
        </w:tc>
      </w:tr>
      <w:tr w14:paraId="261E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6BCDAE0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组氨酸His</w:t>
            </w:r>
          </w:p>
        </w:tc>
        <w:tc>
          <w:tcPr>
            <w:tcW w:w="1575" w:type="dxa"/>
            <w:noWrap w:val="0"/>
            <w:vAlign w:val="center"/>
          </w:tcPr>
          <w:p w14:paraId="62DFAF4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1.90</w:t>
            </w:r>
          </w:p>
        </w:tc>
        <w:tc>
          <w:tcPr>
            <w:tcW w:w="1531" w:type="dxa"/>
            <w:noWrap w:val="0"/>
            <w:vAlign w:val="center"/>
          </w:tcPr>
          <w:p w14:paraId="6159747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2.73</w:t>
            </w:r>
          </w:p>
        </w:tc>
        <w:tc>
          <w:tcPr>
            <w:tcW w:w="1531" w:type="dxa"/>
            <w:noWrap w:val="0"/>
            <w:vAlign w:val="center"/>
          </w:tcPr>
          <w:p w14:paraId="7D5E86F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2.97</w:t>
            </w:r>
          </w:p>
        </w:tc>
        <w:tc>
          <w:tcPr>
            <w:tcW w:w="1752" w:type="dxa"/>
            <w:noWrap w:val="0"/>
            <w:vAlign w:val="center"/>
          </w:tcPr>
          <w:p w14:paraId="01536B0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2.83</w:t>
            </w:r>
          </w:p>
        </w:tc>
        <w:tc>
          <w:tcPr>
            <w:tcW w:w="1753" w:type="dxa"/>
            <w:noWrap w:val="0"/>
            <w:vAlign w:val="center"/>
          </w:tcPr>
          <w:p w14:paraId="6666777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3.94</w:t>
            </w:r>
          </w:p>
        </w:tc>
      </w:tr>
      <w:tr w14:paraId="35B2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33545D9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苯丙氨酸Phe</w:t>
            </w:r>
          </w:p>
        </w:tc>
        <w:tc>
          <w:tcPr>
            <w:tcW w:w="1575" w:type="dxa"/>
            <w:noWrap w:val="0"/>
            <w:vAlign w:val="center"/>
          </w:tcPr>
          <w:p w14:paraId="1440CA1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3.11</w:t>
            </w:r>
          </w:p>
        </w:tc>
        <w:tc>
          <w:tcPr>
            <w:tcW w:w="1531" w:type="dxa"/>
            <w:noWrap w:val="0"/>
            <w:vAlign w:val="center"/>
          </w:tcPr>
          <w:p w14:paraId="0DE4A78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5.60</w:t>
            </w:r>
          </w:p>
        </w:tc>
        <w:tc>
          <w:tcPr>
            <w:tcW w:w="1531" w:type="dxa"/>
            <w:noWrap w:val="0"/>
            <w:vAlign w:val="center"/>
          </w:tcPr>
          <w:p w14:paraId="15E1334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4.55</w:t>
            </w:r>
          </w:p>
        </w:tc>
        <w:tc>
          <w:tcPr>
            <w:tcW w:w="1752" w:type="dxa"/>
            <w:noWrap w:val="0"/>
            <w:vAlign w:val="center"/>
          </w:tcPr>
          <w:p w14:paraId="63B0CCF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4.62</w:t>
            </w:r>
          </w:p>
        </w:tc>
        <w:tc>
          <w:tcPr>
            <w:tcW w:w="1753" w:type="dxa"/>
            <w:noWrap w:val="0"/>
            <w:vAlign w:val="center"/>
          </w:tcPr>
          <w:p w14:paraId="44BCC56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4.03</w:t>
            </w:r>
          </w:p>
        </w:tc>
      </w:tr>
      <w:tr w14:paraId="399B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667EAD0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非必需氨基酸，g/kg</w:t>
            </w:r>
          </w:p>
        </w:tc>
        <w:tc>
          <w:tcPr>
            <w:tcW w:w="1575" w:type="dxa"/>
            <w:noWrap w:val="0"/>
            <w:vAlign w:val="center"/>
          </w:tcPr>
          <w:p w14:paraId="35B9B81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1531" w:type="dxa"/>
            <w:noWrap w:val="0"/>
            <w:vAlign w:val="center"/>
          </w:tcPr>
          <w:p w14:paraId="304503C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1531" w:type="dxa"/>
            <w:noWrap w:val="0"/>
            <w:vAlign w:val="center"/>
          </w:tcPr>
          <w:p w14:paraId="1A2D99C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1752" w:type="dxa"/>
            <w:noWrap w:val="0"/>
            <w:vAlign w:val="center"/>
          </w:tcPr>
          <w:p w14:paraId="00C1D32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1753" w:type="dxa"/>
            <w:noWrap w:val="0"/>
            <w:vAlign w:val="center"/>
          </w:tcPr>
          <w:p w14:paraId="3BB2B05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r>
      <w:tr w14:paraId="1435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40D3C0F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胱氨酸Cys</w:t>
            </w:r>
          </w:p>
        </w:tc>
        <w:tc>
          <w:tcPr>
            <w:tcW w:w="1575" w:type="dxa"/>
            <w:noWrap w:val="0"/>
            <w:vAlign w:val="center"/>
          </w:tcPr>
          <w:p w14:paraId="75A40B7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1.67</w:t>
            </w:r>
          </w:p>
        </w:tc>
        <w:tc>
          <w:tcPr>
            <w:tcW w:w="1531" w:type="dxa"/>
            <w:noWrap w:val="0"/>
            <w:vAlign w:val="center"/>
          </w:tcPr>
          <w:p w14:paraId="299F473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2.47</w:t>
            </w:r>
          </w:p>
        </w:tc>
        <w:tc>
          <w:tcPr>
            <w:tcW w:w="1531" w:type="dxa"/>
            <w:noWrap w:val="0"/>
            <w:vAlign w:val="center"/>
          </w:tcPr>
          <w:p w14:paraId="6CCFFEC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2.00</w:t>
            </w:r>
          </w:p>
        </w:tc>
        <w:tc>
          <w:tcPr>
            <w:tcW w:w="1752" w:type="dxa"/>
            <w:noWrap w:val="0"/>
            <w:vAlign w:val="center"/>
          </w:tcPr>
          <w:p w14:paraId="12A62EC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1.72</w:t>
            </w:r>
          </w:p>
        </w:tc>
        <w:tc>
          <w:tcPr>
            <w:tcW w:w="1753" w:type="dxa"/>
            <w:noWrap w:val="0"/>
            <w:vAlign w:val="center"/>
          </w:tcPr>
          <w:p w14:paraId="53C36FC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2.70</w:t>
            </w:r>
          </w:p>
        </w:tc>
      </w:tr>
      <w:tr w14:paraId="0493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66B26FC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酪氨酸Tyr</w:t>
            </w:r>
          </w:p>
        </w:tc>
        <w:tc>
          <w:tcPr>
            <w:tcW w:w="1575" w:type="dxa"/>
            <w:noWrap w:val="0"/>
            <w:vAlign w:val="center"/>
          </w:tcPr>
          <w:p w14:paraId="09BC004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2.45</w:t>
            </w:r>
          </w:p>
        </w:tc>
        <w:tc>
          <w:tcPr>
            <w:tcW w:w="1531" w:type="dxa"/>
            <w:noWrap w:val="0"/>
            <w:vAlign w:val="center"/>
          </w:tcPr>
          <w:p w14:paraId="2FC5FC3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3.72</w:t>
            </w:r>
          </w:p>
        </w:tc>
        <w:tc>
          <w:tcPr>
            <w:tcW w:w="1531" w:type="dxa"/>
            <w:noWrap w:val="0"/>
            <w:vAlign w:val="center"/>
          </w:tcPr>
          <w:p w14:paraId="78F47E5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3.14</w:t>
            </w:r>
          </w:p>
        </w:tc>
        <w:tc>
          <w:tcPr>
            <w:tcW w:w="1752" w:type="dxa"/>
            <w:noWrap w:val="0"/>
            <w:vAlign w:val="center"/>
          </w:tcPr>
          <w:p w14:paraId="0CD192A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3.43</w:t>
            </w:r>
          </w:p>
        </w:tc>
        <w:tc>
          <w:tcPr>
            <w:tcW w:w="1753" w:type="dxa"/>
            <w:noWrap w:val="0"/>
            <w:vAlign w:val="center"/>
          </w:tcPr>
          <w:p w14:paraId="6F3E300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3.60</w:t>
            </w:r>
          </w:p>
        </w:tc>
      </w:tr>
      <w:tr w14:paraId="358D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345C642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甘氨酸Gly</w:t>
            </w:r>
          </w:p>
        </w:tc>
        <w:tc>
          <w:tcPr>
            <w:tcW w:w="1575" w:type="dxa"/>
            <w:noWrap w:val="0"/>
            <w:vAlign w:val="center"/>
          </w:tcPr>
          <w:p w14:paraId="741C986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2.39</w:t>
            </w:r>
          </w:p>
        </w:tc>
        <w:tc>
          <w:tcPr>
            <w:tcW w:w="1531" w:type="dxa"/>
            <w:noWrap w:val="0"/>
            <w:vAlign w:val="center"/>
          </w:tcPr>
          <w:p w14:paraId="15ADDE6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4.12</w:t>
            </w:r>
          </w:p>
        </w:tc>
        <w:tc>
          <w:tcPr>
            <w:tcW w:w="1531" w:type="dxa"/>
            <w:noWrap w:val="0"/>
            <w:vAlign w:val="center"/>
          </w:tcPr>
          <w:p w14:paraId="440B360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4.62</w:t>
            </w:r>
          </w:p>
        </w:tc>
        <w:tc>
          <w:tcPr>
            <w:tcW w:w="1752" w:type="dxa"/>
            <w:noWrap w:val="0"/>
            <w:vAlign w:val="center"/>
          </w:tcPr>
          <w:p w14:paraId="1FF3334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4.78</w:t>
            </w:r>
          </w:p>
        </w:tc>
        <w:tc>
          <w:tcPr>
            <w:tcW w:w="1753" w:type="dxa"/>
            <w:noWrap w:val="0"/>
            <w:vAlign w:val="center"/>
          </w:tcPr>
          <w:p w14:paraId="30CB5A0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4.15</w:t>
            </w:r>
          </w:p>
        </w:tc>
      </w:tr>
      <w:tr w14:paraId="07C0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61A707D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丝氨酸Ser</w:t>
            </w:r>
          </w:p>
        </w:tc>
        <w:tc>
          <w:tcPr>
            <w:tcW w:w="1575" w:type="dxa"/>
            <w:noWrap w:val="0"/>
            <w:vAlign w:val="center"/>
          </w:tcPr>
          <w:p w14:paraId="28EDF56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3.14</w:t>
            </w:r>
          </w:p>
        </w:tc>
        <w:tc>
          <w:tcPr>
            <w:tcW w:w="1531" w:type="dxa"/>
            <w:noWrap w:val="0"/>
            <w:vAlign w:val="center"/>
          </w:tcPr>
          <w:p w14:paraId="69918FC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5.35</w:t>
            </w:r>
          </w:p>
        </w:tc>
        <w:tc>
          <w:tcPr>
            <w:tcW w:w="1531" w:type="dxa"/>
            <w:noWrap w:val="0"/>
            <w:vAlign w:val="center"/>
          </w:tcPr>
          <w:p w14:paraId="1C12D50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4.17</w:t>
            </w:r>
          </w:p>
        </w:tc>
        <w:tc>
          <w:tcPr>
            <w:tcW w:w="1752" w:type="dxa"/>
            <w:noWrap w:val="0"/>
            <w:vAlign w:val="center"/>
          </w:tcPr>
          <w:p w14:paraId="673AC76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3.77</w:t>
            </w:r>
          </w:p>
        </w:tc>
        <w:tc>
          <w:tcPr>
            <w:tcW w:w="1753" w:type="dxa"/>
            <w:noWrap w:val="0"/>
            <w:vAlign w:val="center"/>
          </w:tcPr>
          <w:p w14:paraId="1E500EB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4.27</w:t>
            </w:r>
          </w:p>
        </w:tc>
      </w:tr>
      <w:tr w14:paraId="630E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04D9965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脯氨酸Pro</w:t>
            </w:r>
          </w:p>
        </w:tc>
        <w:tc>
          <w:tcPr>
            <w:tcW w:w="1575" w:type="dxa"/>
            <w:noWrap w:val="0"/>
            <w:vAlign w:val="center"/>
          </w:tcPr>
          <w:p w14:paraId="6AEBFD5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5.65</w:t>
            </w:r>
          </w:p>
        </w:tc>
        <w:tc>
          <w:tcPr>
            <w:tcW w:w="1531" w:type="dxa"/>
            <w:noWrap w:val="0"/>
            <w:vAlign w:val="center"/>
          </w:tcPr>
          <w:p w14:paraId="52AF52A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12.66</w:t>
            </w:r>
          </w:p>
        </w:tc>
        <w:tc>
          <w:tcPr>
            <w:tcW w:w="1531" w:type="dxa"/>
            <w:noWrap w:val="0"/>
            <w:vAlign w:val="center"/>
          </w:tcPr>
          <w:p w14:paraId="24CC55D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6.03</w:t>
            </w:r>
          </w:p>
        </w:tc>
        <w:tc>
          <w:tcPr>
            <w:tcW w:w="1752" w:type="dxa"/>
            <w:noWrap w:val="0"/>
            <w:vAlign w:val="center"/>
          </w:tcPr>
          <w:p w14:paraId="3F54125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3.81</w:t>
            </w:r>
          </w:p>
        </w:tc>
        <w:tc>
          <w:tcPr>
            <w:tcW w:w="1753" w:type="dxa"/>
            <w:noWrap w:val="0"/>
            <w:vAlign w:val="center"/>
          </w:tcPr>
          <w:p w14:paraId="1B57AA4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10.61</w:t>
            </w:r>
          </w:p>
        </w:tc>
      </w:tr>
      <w:tr w14:paraId="1D0A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6F303ED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丙氨酸Ala</w:t>
            </w:r>
          </w:p>
        </w:tc>
        <w:tc>
          <w:tcPr>
            <w:tcW w:w="1575" w:type="dxa"/>
            <w:noWrap w:val="0"/>
            <w:vAlign w:val="center"/>
          </w:tcPr>
          <w:p w14:paraId="73CB373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5.13</w:t>
            </w:r>
          </w:p>
        </w:tc>
        <w:tc>
          <w:tcPr>
            <w:tcW w:w="1531" w:type="dxa"/>
            <w:noWrap w:val="0"/>
            <w:vAlign w:val="center"/>
          </w:tcPr>
          <w:p w14:paraId="5EDCF93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3.60</w:t>
            </w:r>
          </w:p>
        </w:tc>
        <w:tc>
          <w:tcPr>
            <w:tcW w:w="1531" w:type="dxa"/>
            <w:noWrap w:val="0"/>
            <w:vAlign w:val="center"/>
          </w:tcPr>
          <w:p w14:paraId="645B352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4.90</w:t>
            </w:r>
          </w:p>
        </w:tc>
        <w:tc>
          <w:tcPr>
            <w:tcW w:w="1752" w:type="dxa"/>
            <w:noWrap w:val="0"/>
            <w:vAlign w:val="center"/>
          </w:tcPr>
          <w:p w14:paraId="284126B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6.37</w:t>
            </w:r>
          </w:p>
        </w:tc>
        <w:tc>
          <w:tcPr>
            <w:tcW w:w="1753" w:type="dxa"/>
            <w:noWrap w:val="0"/>
            <w:vAlign w:val="center"/>
          </w:tcPr>
          <w:p w14:paraId="0C4E58A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11.20</w:t>
            </w:r>
          </w:p>
        </w:tc>
      </w:tr>
      <w:tr w14:paraId="4940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384F252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天冬氨酸Asp</w:t>
            </w:r>
          </w:p>
        </w:tc>
        <w:tc>
          <w:tcPr>
            <w:tcW w:w="1575" w:type="dxa"/>
            <w:noWrap w:val="0"/>
            <w:vAlign w:val="center"/>
          </w:tcPr>
          <w:p w14:paraId="51B946D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4.32</w:t>
            </w:r>
          </w:p>
        </w:tc>
        <w:tc>
          <w:tcPr>
            <w:tcW w:w="1531" w:type="dxa"/>
            <w:noWrap w:val="0"/>
            <w:vAlign w:val="center"/>
          </w:tcPr>
          <w:p w14:paraId="23B3248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4.32</w:t>
            </w:r>
          </w:p>
        </w:tc>
        <w:tc>
          <w:tcPr>
            <w:tcW w:w="1531" w:type="dxa"/>
            <w:noWrap w:val="0"/>
            <w:vAlign w:val="center"/>
          </w:tcPr>
          <w:p w14:paraId="1BB4D67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7.26</w:t>
            </w:r>
          </w:p>
        </w:tc>
        <w:tc>
          <w:tcPr>
            <w:tcW w:w="1752" w:type="dxa"/>
            <w:noWrap w:val="0"/>
            <w:vAlign w:val="center"/>
          </w:tcPr>
          <w:p w14:paraId="0E34DD9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8.88</w:t>
            </w:r>
          </w:p>
        </w:tc>
        <w:tc>
          <w:tcPr>
            <w:tcW w:w="1753" w:type="dxa"/>
            <w:noWrap w:val="0"/>
            <w:vAlign w:val="center"/>
          </w:tcPr>
          <w:p w14:paraId="533FCFF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4.13</w:t>
            </w:r>
          </w:p>
        </w:tc>
      </w:tr>
      <w:tr w14:paraId="7F2C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5" w:type="dxa"/>
            <w:noWrap w:val="0"/>
            <w:vAlign w:val="center"/>
          </w:tcPr>
          <w:p w14:paraId="42DA7B8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谷氨酸Glu</w:t>
            </w:r>
          </w:p>
        </w:tc>
        <w:tc>
          <w:tcPr>
            <w:tcW w:w="1575" w:type="dxa"/>
            <w:noWrap w:val="0"/>
            <w:vAlign w:val="center"/>
          </w:tcPr>
          <w:p w14:paraId="650F04E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12.23</w:t>
            </w:r>
          </w:p>
        </w:tc>
        <w:tc>
          <w:tcPr>
            <w:tcW w:w="1531" w:type="dxa"/>
            <w:noWrap w:val="0"/>
            <w:vAlign w:val="center"/>
          </w:tcPr>
          <w:p w14:paraId="0F5C8BF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37.25</w:t>
            </w:r>
          </w:p>
        </w:tc>
        <w:tc>
          <w:tcPr>
            <w:tcW w:w="1531" w:type="dxa"/>
            <w:noWrap w:val="0"/>
            <w:vAlign w:val="center"/>
          </w:tcPr>
          <w:p w14:paraId="458D987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20.00</w:t>
            </w:r>
          </w:p>
        </w:tc>
        <w:tc>
          <w:tcPr>
            <w:tcW w:w="1752" w:type="dxa"/>
            <w:noWrap w:val="0"/>
            <w:vAlign w:val="center"/>
          </w:tcPr>
          <w:p w14:paraId="460ABF9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14.29</w:t>
            </w:r>
          </w:p>
        </w:tc>
        <w:tc>
          <w:tcPr>
            <w:tcW w:w="1753" w:type="dxa"/>
            <w:noWrap w:val="0"/>
            <w:vAlign w:val="center"/>
          </w:tcPr>
          <w:p w14:paraId="02C6B31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14.97</w:t>
            </w:r>
          </w:p>
        </w:tc>
      </w:tr>
    </w:tbl>
    <w:p w14:paraId="32E2C959">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rPr>
        <w:t>表5 肉鹅饲料配制营养需要量</w:t>
      </w:r>
    </w:p>
    <w:p w14:paraId="6823AC80">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p>
    <w:tbl>
      <w:tblPr>
        <w:tblStyle w:val="9"/>
        <w:tblW w:w="129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5"/>
        <w:gridCol w:w="1976"/>
        <w:gridCol w:w="1974"/>
        <w:gridCol w:w="1976"/>
        <w:gridCol w:w="2208"/>
      </w:tblGrid>
      <w:tr w14:paraId="2420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4835" w:type="dxa"/>
            <w:noWrap w:val="0"/>
            <w:vAlign w:val="center"/>
          </w:tcPr>
          <w:p w14:paraId="1E5F936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营养指标</w:t>
            </w:r>
          </w:p>
        </w:tc>
        <w:tc>
          <w:tcPr>
            <w:tcW w:w="1976" w:type="dxa"/>
            <w:noWrap w:val="0"/>
            <w:vAlign w:val="center"/>
          </w:tcPr>
          <w:p w14:paraId="0FCCD26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育雏期</w:t>
            </w:r>
          </w:p>
          <w:p w14:paraId="00E8ECD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（1周～2周）</w:t>
            </w:r>
          </w:p>
        </w:tc>
        <w:tc>
          <w:tcPr>
            <w:tcW w:w="1974" w:type="dxa"/>
            <w:noWrap w:val="0"/>
            <w:vAlign w:val="center"/>
          </w:tcPr>
          <w:p w14:paraId="62B7A65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生长期</w:t>
            </w:r>
          </w:p>
          <w:p w14:paraId="2E30824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（3周～6周）</w:t>
            </w:r>
          </w:p>
        </w:tc>
        <w:tc>
          <w:tcPr>
            <w:tcW w:w="1976" w:type="dxa"/>
            <w:noWrap w:val="0"/>
            <w:vAlign w:val="center"/>
          </w:tcPr>
          <w:p w14:paraId="5CF2CD6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生长期</w:t>
            </w:r>
          </w:p>
          <w:p w14:paraId="7E88925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（7周～8周）</w:t>
            </w:r>
          </w:p>
        </w:tc>
        <w:tc>
          <w:tcPr>
            <w:tcW w:w="2208" w:type="dxa"/>
            <w:noWrap w:val="0"/>
            <w:vAlign w:val="center"/>
          </w:tcPr>
          <w:p w14:paraId="30D8724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肥育期</w:t>
            </w:r>
          </w:p>
          <w:p w14:paraId="4727991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（9周～10周）</w:t>
            </w:r>
          </w:p>
        </w:tc>
      </w:tr>
      <w:tr w14:paraId="5B9E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1FC9D27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 xml:space="preserve">表观代谢能AME，MJ/kg（kcal/kg） </w:t>
            </w:r>
          </w:p>
        </w:tc>
        <w:tc>
          <w:tcPr>
            <w:tcW w:w="1976" w:type="dxa"/>
            <w:noWrap w:val="0"/>
            <w:vAlign w:val="center"/>
          </w:tcPr>
          <w:p w14:paraId="6AAB449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11.50（2750）</w:t>
            </w:r>
          </w:p>
        </w:tc>
        <w:tc>
          <w:tcPr>
            <w:tcW w:w="1974" w:type="dxa"/>
            <w:noWrap w:val="0"/>
            <w:vAlign w:val="center"/>
          </w:tcPr>
          <w:p w14:paraId="229F8D5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11.50（2750）</w:t>
            </w:r>
          </w:p>
        </w:tc>
        <w:tc>
          <w:tcPr>
            <w:tcW w:w="1976" w:type="dxa"/>
            <w:noWrap w:val="0"/>
            <w:vAlign w:val="center"/>
          </w:tcPr>
          <w:p w14:paraId="6FE8808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11.75（2800）</w:t>
            </w:r>
          </w:p>
        </w:tc>
        <w:tc>
          <w:tcPr>
            <w:tcW w:w="2208" w:type="dxa"/>
            <w:noWrap w:val="0"/>
            <w:vAlign w:val="center"/>
          </w:tcPr>
          <w:p w14:paraId="26CB59E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11.75（2800）</w:t>
            </w:r>
          </w:p>
        </w:tc>
      </w:tr>
      <w:tr w14:paraId="5436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1931127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粗蛋白质CP，%</w:t>
            </w:r>
          </w:p>
        </w:tc>
        <w:tc>
          <w:tcPr>
            <w:tcW w:w="1976" w:type="dxa"/>
            <w:noWrap w:val="0"/>
            <w:vAlign w:val="center"/>
          </w:tcPr>
          <w:p w14:paraId="02C5B11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18.00</w:t>
            </w:r>
          </w:p>
        </w:tc>
        <w:tc>
          <w:tcPr>
            <w:tcW w:w="1974" w:type="dxa"/>
            <w:noWrap w:val="0"/>
            <w:vAlign w:val="center"/>
          </w:tcPr>
          <w:p w14:paraId="7AAB37A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17.00</w:t>
            </w:r>
          </w:p>
        </w:tc>
        <w:tc>
          <w:tcPr>
            <w:tcW w:w="1976" w:type="dxa"/>
            <w:noWrap w:val="0"/>
            <w:vAlign w:val="center"/>
          </w:tcPr>
          <w:p w14:paraId="4C3FFE7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16.00</w:t>
            </w:r>
          </w:p>
        </w:tc>
        <w:tc>
          <w:tcPr>
            <w:tcW w:w="2208" w:type="dxa"/>
            <w:noWrap w:val="0"/>
            <w:vAlign w:val="center"/>
          </w:tcPr>
          <w:p w14:paraId="3E39A89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15.00</w:t>
            </w:r>
          </w:p>
        </w:tc>
      </w:tr>
      <w:tr w14:paraId="088F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4E80533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粗纤维CF，%</w:t>
            </w:r>
          </w:p>
        </w:tc>
        <w:tc>
          <w:tcPr>
            <w:tcW w:w="1976" w:type="dxa"/>
            <w:noWrap w:val="0"/>
            <w:vAlign w:val="center"/>
          </w:tcPr>
          <w:p w14:paraId="3ED0E13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3.50</w:t>
            </w:r>
          </w:p>
        </w:tc>
        <w:tc>
          <w:tcPr>
            <w:tcW w:w="1974" w:type="dxa"/>
            <w:noWrap w:val="0"/>
            <w:vAlign w:val="center"/>
          </w:tcPr>
          <w:p w14:paraId="7A84A26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4.50</w:t>
            </w:r>
          </w:p>
        </w:tc>
        <w:tc>
          <w:tcPr>
            <w:tcW w:w="1976" w:type="dxa"/>
            <w:noWrap w:val="0"/>
            <w:vAlign w:val="center"/>
          </w:tcPr>
          <w:p w14:paraId="1C46574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5.00</w:t>
            </w:r>
          </w:p>
        </w:tc>
        <w:tc>
          <w:tcPr>
            <w:tcW w:w="2208" w:type="dxa"/>
            <w:noWrap w:val="0"/>
            <w:vAlign w:val="center"/>
          </w:tcPr>
          <w:p w14:paraId="104FC32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5.50</w:t>
            </w:r>
          </w:p>
        </w:tc>
      </w:tr>
      <w:tr w14:paraId="6405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22F1265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钙Ca，%</w:t>
            </w:r>
          </w:p>
        </w:tc>
        <w:tc>
          <w:tcPr>
            <w:tcW w:w="1976" w:type="dxa"/>
            <w:noWrap w:val="0"/>
            <w:vAlign w:val="center"/>
          </w:tcPr>
          <w:p w14:paraId="349AD40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w:t>
            </w:r>
          </w:p>
        </w:tc>
        <w:tc>
          <w:tcPr>
            <w:tcW w:w="1974" w:type="dxa"/>
            <w:noWrap w:val="0"/>
            <w:vAlign w:val="center"/>
          </w:tcPr>
          <w:p w14:paraId="31CD73B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0.90</w:t>
            </w:r>
          </w:p>
        </w:tc>
        <w:tc>
          <w:tcPr>
            <w:tcW w:w="1976" w:type="dxa"/>
            <w:noWrap w:val="0"/>
            <w:vAlign w:val="center"/>
          </w:tcPr>
          <w:p w14:paraId="7A4930B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0.80</w:t>
            </w:r>
          </w:p>
        </w:tc>
        <w:tc>
          <w:tcPr>
            <w:tcW w:w="2208" w:type="dxa"/>
            <w:noWrap w:val="0"/>
            <w:vAlign w:val="center"/>
          </w:tcPr>
          <w:p w14:paraId="3EACE1E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0.70</w:t>
            </w:r>
          </w:p>
        </w:tc>
      </w:tr>
      <w:tr w14:paraId="48C5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071761E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总磷Total P，%</w:t>
            </w:r>
          </w:p>
        </w:tc>
        <w:tc>
          <w:tcPr>
            <w:tcW w:w="1976" w:type="dxa"/>
            <w:noWrap w:val="0"/>
            <w:vAlign w:val="center"/>
          </w:tcPr>
          <w:p w14:paraId="15E998A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0.75</w:t>
            </w:r>
          </w:p>
        </w:tc>
        <w:tc>
          <w:tcPr>
            <w:tcW w:w="1974" w:type="dxa"/>
            <w:noWrap w:val="0"/>
            <w:vAlign w:val="center"/>
          </w:tcPr>
          <w:p w14:paraId="690599D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0.65</w:t>
            </w:r>
          </w:p>
        </w:tc>
        <w:tc>
          <w:tcPr>
            <w:tcW w:w="1976" w:type="dxa"/>
            <w:noWrap w:val="0"/>
            <w:vAlign w:val="center"/>
          </w:tcPr>
          <w:p w14:paraId="147B890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0.60</w:t>
            </w:r>
          </w:p>
        </w:tc>
        <w:tc>
          <w:tcPr>
            <w:tcW w:w="2208" w:type="dxa"/>
            <w:noWrap w:val="0"/>
            <w:vAlign w:val="center"/>
          </w:tcPr>
          <w:p w14:paraId="588218A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0.55</w:t>
            </w:r>
          </w:p>
        </w:tc>
      </w:tr>
      <w:tr w14:paraId="6384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547CD9E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非植酸磷Nonphytate P，%</w:t>
            </w:r>
          </w:p>
        </w:tc>
        <w:tc>
          <w:tcPr>
            <w:tcW w:w="1976" w:type="dxa"/>
            <w:noWrap w:val="0"/>
            <w:vAlign w:val="center"/>
          </w:tcPr>
          <w:p w14:paraId="3719518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0.50</w:t>
            </w:r>
          </w:p>
        </w:tc>
        <w:tc>
          <w:tcPr>
            <w:tcW w:w="1974" w:type="dxa"/>
            <w:noWrap w:val="0"/>
            <w:vAlign w:val="center"/>
          </w:tcPr>
          <w:p w14:paraId="5238E3D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0.40</w:t>
            </w:r>
          </w:p>
        </w:tc>
        <w:tc>
          <w:tcPr>
            <w:tcW w:w="1976" w:type="dxa"/>
            <w:noWrap w:val="0"/>
            <w:vAlign w:val="center"/>
          </w:tcPr>
          <w:p w14:paraId="51475E3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0.35</w:t>
            </w:r>
          </w:p>
        </w:tc>
        <w:tc>
          <w:tcPr>
            <w:tcW w:w="2208" w:type="dxa"/>
            <w:noWrap w:val="0"/>
            <w:vAlign w:val="center"/>
          </w:tcPr>
          <w:p w14:paraId="45B23D9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0.30</w:t>
            </w:r>
          </w:p>
        </w:tc>
      </w:tr>
      <w:tr w14:paraId="57AA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14046FA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赖氨酸Lys，%，≥</w:t>
            </w:r>
          </w:p>
        </w:tc>
        <w:tc>
          <w:tcPr>
            <w:tcW w:w="1976" w:type="dxa"/>
            <w:noWrap w:val="0"/>
            <w:vAlign w:val="center"/>
          </w:tcPr>
          <w:p w14:paraId="1D1D37F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1.10</w:t>
            </w:r>
          </w:p>
        </w:tc>
        <w:tc>
          <w:tcPr>
            <w:tcW w:w="1974" w:type="dxa"/>
            <w:noWrap w:val="0"/>
            <w:vAlign w:val="center"/>
          </w:tcPr>
          <w:p w14:paraId="2E69188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w:t>
            </w:r>
          </w:p>
        </w:tc>
        <w:tc>
          <w:tcPr>
            <w:tcW w:w="1976" w:type="dxa"/>
            <w:noWrap w:val="0"/>
            <w:vAlign w:val="center"/>
          </w:tcPr>
          <w:p w14:paraId="58B414B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0.90</w:t>
            </w:r>
          </w:p>
        </w:tc>
        <w:tc>
          <w:tcPr>
            <w:tcW w:w="2208" w:type="dxa"/>
            <w:noWrap w:val="0"/>
            <w:vAlign w:val="center"/>
          </w:tcPr>
          <w:p w14:paraId="4F85E5A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0.80</w:t>
            </w:r>
          </w:p>
        </w:tc>
      </w:tr>
      <w:tr w14:paraId="36A2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0FC725C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蛋氨酸Met，%，≥</w:t>
            </w:r>
          </w:p>
        </w:tc>
        <w:tc>
          <w:tcPr>
            <w:tcW w:w="1976" w:type="dxa"/>
            <w:noWrap w:val="0"/>
            <w:vAlign w:val="center"/>
          </w:tcPr>
          <w:p w14:paraId="61A5DE3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0.45</w:t>
            </w:r>
          </w:p>
        </w:tc>
        <w:tc>
          <w:tcPr>
            <w:tcW w:w="1974" w:type="dxa"/>
            <w:noWrap w:val="0"/>
            <w:vAlign w:val="center"/>
          </w:tcPr>
          <w:p w14:paraId="54AE66A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0.40</w:t>
            </w:r>
          </w:p>
        </w:tc>
        <w:tc>
          <w:tcPr>
            <w:tcW w:w="1976" w:type="dxa"/>
            <w:noWrap w:val="0"/>
            <w:vAlign w:val="center"/>
          </w:tcPr>
          <w:p w14:paraId="7D129AE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0.35</w:t>
            </w:r>
          </w:p>
        </w:tc>
        <w:tc>
          <w:tcPr>
            <w:tcW w:w="2208" w:type="dxa"/>
            <w:noWrap w:val="0"/>
            <w:vAlign w:val="center"/>
          </w:tcPr>
          <w:p w14:paraId="08BEDC5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0.30</w:t>
            </w:r>
          </w:p>
        </w:tc>
      </w:tr>
      <w:tr w14:paraId="4B2A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367808B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蛋氨酸+胱氨酸Met+Cys，%，≥</w:t>
            </w:r>
          </w:p>
        </w:tc>
        <w:tc>
          <w:tcPr>
            <w:tcW w:w="1976" w:type="dxa"/>
            <w:noWrap w:val="0"/>
            <w:vAlign w:val="center"/>
          </w:tcPr>
          <w:p w14:paraId="55A5CBA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0.65</w:t>
            </w:r>
          </w:p>
        </w:tc>
        <w:tc>
          <w:tcPr>
            <w:tcW w:w="1974" w:type="dxa"/>
            <w:noWrap w:val="0"/>
            <w:vAlign w:val="center"/>
          </w:tcPr>
          <w:p w14:paraId="044DD84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0.60</w:t>
            </w:r>
          </w:p>
        </w:tc>
        <w:tc>
          <w:tcPr>
            <w:tcW w:w="1976" w:type="dxa"/>
            <w:noWrap w:val="0"/>
            <w:vAlign w:val="center"/>
          </w:tcPr>
          <w:p w14:paraId="0746DE3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0.55</w:t>
            </w:r>
          </w:p>
        </w:tc>
        <w:tc>
          <w:tcPr>
            <w:tcW w:w="2208" w:type="dxa"/>
            <w:noWrap w:val="0"/>
            <w:vAlign w:val="center"/>
          </w:tcPr>
          <w:p w14:paraId="39236A1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0.50</w:t>
            </w:r>
          </w:p>
        </w:tc>
      </w:tr>
      <w:tr w14:paraId="4F00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04F078A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苏氨酸Thr，%，≥</w:t>
            </w:r>
          </w:p>
        </w:tc>
        <w:tc>
          <w:tcPr>
            <w:tcW w:w="1976" w:type="dxa"/>
            <w:noWrap w:val="0"/>
            <w:vAlign w:val="center"/>
          </w:tcPr>
          <w:p w14:paraId="521D05D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0.75</w:t>
            </w:r>
          </w:p>
        </w:tc>
        <w:tc>
          <w:tcPr>
            <w:tcW w:w="1974" w:type="dxa"/>
            <w:noWrap w:val="0"/>
            <w:vAlign w:val="center"/>
          </w:tcPr>
          <w:p w14:paraId="799EAA9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0.65</w:t>
            </w:r>
          </w:p>
        </w:tc>
        <w:tc>
          <w:tcPr>
            <w:tcW w:w="1976" w:type="dxa"/>
            <w:noWrap w:val="0"/>
            <w:vAlign w:val="center"/>
          </w:tcPr>
          <w:p w14:paraId="508F2FA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0.55</w:t>
            </w:r>
          </w:p>
        </w:tc>
        <w:tc>
          <w:tcPr>
            <w:tcW w:w="2208" w:type="dxa"/>
            <w:noWrap w:val="0"/>
            <w:vAlign w:val="center"/>
          </w:tcPr>
          <w:p w14:paraId="0DC5591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0.45</w:t>
            </w:r>
          </w:p>
        </w:tc>
      </w:tr>
      <w:tr w14:paraId="5063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448DCA0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色氨酸Trp，%，≥</w:t>
            </w:r>
          </w:p>
        </w:tc>
        <w:tc>
          <w:tcPr>
            <w:tcW w:w="1976" w:type="dxa"/>
            <w:noWrap w:val="0"/>
            <w:vAlign w:val="center"/>
          </w:tcPr>
          <w:p w14:paraId="63D1828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0.25</w:t>
            </w:r>
          </w:p>
        </w:tc>
        <w:tc>
          <w:tcPr>
            <w:tcW w:w="1974" w:type="dxa"/>
            <w:noWrap w:val="0"/>
            <w:vAlign w:val="center"/>
          </w:tcPr>
          <w:p w14:paraId="1822BE3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0.20</w:t>
            </w:r>
          </w:p>
        </w:tc>
        <w:tc>
          <w:tcPr>
            <w:tcW w:w="1976" w:type="dxa"/>
            <w:noWrap w:val="0"/>
            <w:vAlign w:val="center"/>
          </w:tcPr>
          <w:p w14:paraId="132A55C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0.18</w:t>
            </w:r>
          </w:p>
        </w:tc>
        <w:tc>
          <w:tcPr>
            <w:tcW w:w="2208" w:type="dxa"/>
            <w:noWrap w:val="0"/>
            <w:vAlign w:val="center"/>
          </w:tcPr>
          <w:p w14:paraId="7FFC00E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0.15</w:t>
            </w:r>
          </w:p>
        </w:tc>
      </w:tr>
      <w:tr w14:paraId="77F9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21F306F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精氨酸Arg，%，≥</w:t>
            </w:r>
          </w:p>
        </w:tc>
        <w:tc>
          <w:tcPr>
            <w:tcW w:w="1976" w:type="dxa"/>
            <w:noWrap w:val="0"/>
            <w:vAlign w:val="center"/>
          </w:tcPr>
          <w:p w14:paraId="27D6C89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w:t>
            </w:r>
          </w:p>
        </w:tc>
        <w:tc>
          <w:tcPr>
            <w:tcW w:w="1974" w:type="dxa"/>
            <w:noWrap w:val="0"/>
            <w:vAlign w:val="center"/>
          </w:tcPr>
          <w:p w14:paraId="7028089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0.90</w:t>
            </w:r>
          </w:p>
        </w:tc>
        <w:tc>
          <w:tcPr>
            <w:tcW w:w="1976" w:type="dxa"/>
            <w:noWrap w:val="0"/>
            <w:vAlign w:val="center"/>
          </w:tcPr>
          <w:p w14:paraId="4786066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0.80</w:t>
            </w:r>
          </w:p>
        </w:tc>
        <w:tc>
          <w:tcPr>
            <w:tcW w:w="2208" w:type="dxa"/>
            <w:noWrap w:val="0"/>
            <w:vAlign w:val="center"/>
          </w:tcPr>
          <w:p w14:paraId="389C6C6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0.70</w:t>
            </w:r>
          </w:p>
        </w:tc>
      </w:tr>
      <w:tr w14:paraId="61F7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06250F1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异亮氨酸Ile，%，≥</w:t>
            </w:r>
          </w:p>
        </w:tc>
        <w:tc>
          <w:tcPr>
            <w:tcW w:w="1976" w:type="dxa"/>
            <w:noWrap w:val="0"/>
            <w:vAlign w:val="center"/>
          </w:tcPr>
          <w:p w14:paraId="400B1DF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0.70</w:t>
            </w:r>
          </w:p>
        </w:tc>
        <w:tc>
          <w:tcPr>
            <w:tcW w:w="1974" w:type="dxa"/>
            <w:noWrap w:val="0"/>
            <w:vAlign w:val="center"/>
          </w:tcPr>
          <w:p w14:paraId="1CDD74B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0.65</w:t>
            </w:r>
          </w:p>
        </w:tc>
        <w:tc>
          <w:tcPr>
            <w:tcW w:w="1976" w:type="dxa"/>
            <w:noWrap w:val="0"/>
            <w:vAlign w:val="center"/>
          </w:tcPr>
          <w:p w14:paraId="1D5D63F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0.60</w:t>
            </w:r>
          </w:p>
        </w:tc>
        <w:tc>
          <w:tcPr>
            <w:tcW w:w="2208" w:type="dxa"/>
            <w:noWrap w:val="0"/>
            <w:vAlign w:val="center"/>
          </w:tcPr>
          <w:p w14:paraId="63C2D34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0.55</w:t>
            </w:r>
          </w:p>
        </w:tc>
      </w:tr>
      <w:tr w14:paraId="29BE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2138C30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亮氨酸Leu，%，≥</w:t>
            </w:r>
          </w:p>
        </w:tc>
        <w:tc>
          <w:tcPr>
            <w:tcW w:w="1976" w:type="dxa"/>
            <w:noWrap w:val="0"/>
            <w:vAlign w:val="center"/>
          </w:tcPr>
          <w:p w14:paraId="095AAE5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1.30</w:t>
            </w:r>
          </w:p>
        </w:tc>
        <w:tc>
          <w:tcPr>
            <w:tcW w:w="1974" w:type="dxa"/>
            <w:noWrap w:val="0"/>
            <w:vAlign w:val="center"/>
          </w:tcPr>
          <w:p w14:paraId="42487B3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1.20</w:t>
            </w:r>
          </w:p>
        </w:tc>
        <w:tc>
          <w:tcPr>
            <w:tcW w:w="1976" w:type="dxa"/>
            <w:noWrap w:val="0"/>
            <w:vAlign w:val="center"/>
          </w:tcPr>
          <w:p w14:paraId="6D712E5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1.10</w:t>
            </w:r>
          </w:p>
        </w:tc>
        <w:tc>
          <w:tcPr>
            <w:tcW w:w="2208" w:type="dxa"/>
            <w:noWrap w:val="0"/>
            <w:vAlign w:val="center"/>
          </w:tcPr>
          <w:p w14:paraId="64A9C75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w:t>
            </w:r>
          </w:p>
        </w:tc>
      </w:tr>
      <w:tr w14:paraId="1E70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548CD70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苯丙氨酸Phe，%，≥</w:t>
            </w:r>
          </w:p>
        </w:tc>
        <w:tc>
          <w:tcPr>
            <w:tcW w:w="1976" w:type="dxa"/>
            <w:noWrap w:val="0"/>
            <w:vAlign w:val="center"/>
          </w:tcPr>
          <w:p w14:paraId="4AD86A0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0.80</w:t>
            </w:r>
          </w:p>
        </w:tc>
        <w:tc>
          <w:tcPr>
            <w:tcW w:w="1974" w:type="dxa"/>
            <w:noWrap w:val="0"/>
            <w:vAlign w:val="center"/>
          </w:tcPr>
          <w:p w14:paraId="6C140F1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0.75</w:t>
            </w:r>
          </w:p>
        </w:tc>
        <w:tc>
          <w:tcPr>
            <w:tcW w:w="1976" w:type="dxa"/>
            <w:noWrap w:val="0"/>
            <w:vAlign w:val="center"/>
          </w:tcPr>
          <w:p w14:paraId="73A5535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0.70</w:t>
            </w:r>
          </w:p>
        </w:tc>
        <w:tc>
          <w:tcPr>
            <w:tcW w:w="2208" w:type="dxa"/>
            <w:noWrap w:val="0"/>
            <w:vAlign w:val="center"/>
          </w:tcPr>
          <w:p w14:paraId="0F3B0F4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0.60</w:t>
            </w:r>
          </w:p>
        </w:tc>
      </w:tr>
      <w:tr w14:paraId="3BE1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1F358BC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缬氨酸Val，%，≥</w:t>
            </w:r>
          </w:p>
        </w:tc>
        <w:tc>
          <w:tcPr>
            <w:tcW w:w="1976" w:type="dxa"/>
            <w:noWrap w:val="0"/>
            <w:vAlign w:val="center"/>
          </w:tcPr>
          <w:p w14:paraId="22783C4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0.70</w:t>
            </w:r>
          </w:p>
        </w:tc>
        <w:tc>
          <w:tcPr>
            <w:tcW w:w="1974" w:type="dxa"/>
            <w:noWrap w:val="0"/>
            <w:vAlign w:val="center"/>
          </w:tcPr>
          <w:p w14:paraId="27DE1B2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0.65</w:t>
            </w:r>
          </w:p>
        </w:tc>
        <w:tc>
          <w:tcPr>
            <w:tcW w:w="1976" w:type="dxa"/>
            <w:noWrap w:val="0"/>
            <w:vAlign w:val="center"/>
          </w:tcPr>
          <w:p w14:paraId="21957C1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0.65</w:t>
            </w:r>
          </w:p>
        </w:tc>
        <w:tc>
          <w:tcPr>
            <w:tcW w:w="2208" w:type="dxa"/>
            <w:noWrap w:val="0"/>
            <w:vAlign w:val="center"/>
          </w:tcPr>
          <w:p w14:paraId="3DD4647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0.60</w:t>
            </w:r>
          </w:p>
        </w:tc>
      </w:tr>
      <w:tr w14:paraId="6AE9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5FA66D1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组氨酸His，%，≥</w:t>
            </w:r>
          </w:p>
        </w:tc>
        <w:tc>
          <w:tcPr>
            <w:tcW w:w="1976" w:type="dxa"/>
            <w:noWrap w:val="0"/>
            <w:vAlign w:val="center"/>
          </w:tcPr>
          <w:p w14:paraId="0AD1B16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0.45</w:t>
            </w:r>
          </w:p>
        </w:tc>
        <w:tc>
          <w:tcPr>
            <w:tcW w:w="1974" w:type="dxa"/>
            <w:noWrap w:val="0"/>
            <w:vAlign w:val="center"/>
          </w:tcPr>
          <w:p w14:paraId="1820D62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0.45</w:t>
            </w:r>
          </w:p>
        </w:tc>
        <w:tc>
          <w:tcPr>
            <w:tcW w:w="1976" w:type="dxa"/>
            <w:noWrap w:val="0"/>
            <w:vAlign w:val="center"/>
          </w:tcPr>
          <w:p w14:paraId="401F6D7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0.40</w:t>
            </w:r>
          </w:p>
        </w:tc>
        <w:tc>
          <w:tcPr>
            <w:tcW w:w="2208" w:type="dxa"/>
            <w:noWrap w:val="0"/>
            <w:vAlign w:val="center"/>
          </w:tcPr>
          <w:p w14:paraId="00D85F2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0.40</w:t>
            </w:r>
          </w:p>
        </w:tc>
      </w:tr>
      <w:tr w14:paraId="3C8D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0A36854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维生素A Vitamin A，IU/kg</w:t>
            </w:r>
          </w:p>
        </w:tc>
        <w:tc>
          <w:tcPr>
            <w:tcW w:w="1976" w:type="dxa"/>
            <w:noWrap w:val="0"/>
            <w:vAlign w:val="center"/>
          </w:tcPr>
          <w:p w14:paraId="27E8592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6000</w:t>
            </w:r>
          </w:p>
        </w:tc>
        <w:tc>
          <w:tcPr>
            <w:tcW w:w="1974" w:type="dxa"/>
            <w:noWrap w:val="0"/>
            <w:vAlign w:val="center"/>
          </w:tcPr>
          <w:p w14:paraId="2F4CA5C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6000</w:t>
            </w:r>
          </w:p>
        </w:tc>
        <w:tc>
          <w:tcPr>
            <w:tcW w:w="1976" w:type="dxa"/>
            <w:noWrap w:val="0"/>
            <w:vAlign w:val="center"/>
          </w:tcPr>
          <w:p w14:paraId="4E7125F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6000</w:t>
            </w:r>
          </w:p>
        </w:tc>
        <w:tc>
          <w:tcPr>
            <w:tcW w:w="2208" w:type="dxa"/>
            <w:noWrap w:val="0"/>
            <w:vAlign w:val="center"/>
          </w:tcPr>
          <w:p w14:paraId="69E539B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6000</w:t>
            </w:r>
          </w:p>
        </w:tc>
      </w:tr>
      <w:tr w14:paraId="5D1C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67CD5A8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维生素D3 Vitamin D3，IU/kg</w:t>
            </w:r>
          </w:p>
        </w:tc>
        <w:tc>
          <w:tcPr>
            <w:tcW w:w="1976" w:type="dxa"/>
            <w:noWrap w:val="0"/>
            <w:vAlign w:val="center"/>
          </w:tcPr>
          <w:p w14:paraId="2E4E624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1500</w:t>
            </w:r>
          </w:p>
        </w:tc>
        <w:tc>
          <w:tcPr>
            <w:tcW w:w="1974" w:type="dxa"/>
            <w:noWrap w:val="0"/>
            <w:vAlign w:val="center"/>
          </w:tcPr>
          <w:p w14:paraId="0F15F48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1500</w:t>
            </w:r>
          </w:p>
        </w:tc>
        <w:tc>
          <w:tcPr>
            <w:tcW w:w="1976" w:type="dxa"/>
            <w:noWrap w:val="0"/>
            <w:vAlign w:val="center"/>
          </w:tcPr>
          <w:p w14:paraId="20EB2EB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1500</w:t>
            </w:r>
          </w:p>
        </w:tc>
        <w:tc>
          <w:tcPr>
            <w:tcW w:w="2208" w:type="dxa"/>
            <w:noWrap w:val="0"/>
            <w:vAlign w:val="center"/>
          </w:tcPr>
          <w:p w14:paraId="1B6061B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1500</w:t>
            </w:r>
          </w:p>
        </w:tc>
      </w:tr>
      <w:tr w14:paraId="5F3B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58BDD84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维生素E Vitamin E，IU/kg</w:t>
            </w:r>
          </w:p>
        </w:tc>
        <w:tc>
          <w:tcPr>
            <w:tcW w:w="1976" w:type="dxa"/>
            <w:noWrap w:val="0"/>
            <w:vAlign w:val="center"/>
          </w:tcPr>
          <w:p w14:paraId="13751C9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w:t>
            </w:r>
          </w:p>
        </w:tc>
        <w:tc>
          <w:tcPr>
            <w:tcW w:w="1974" w:type="dxa"/>
            <w:noWrap w:val="0"/>
            <w:vAlign w:val="center"/>
          </w:tcPr>
          <w:p w14:paraId="0E94D25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w:t>
            </w:r>
          </w:p>
        </w:tc>
        <w:tc>
          <w:tcPr>
            <w:tcW w:w="1976" w:type="dxa"/>
            <w:noWrap w:val="0"/>
            <w:vAlign w:val="center"/>
          </w:tcPr>
          <w:p w14:paraId="07DB24E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w:t>
            </w:r>
          </w:p>
        </w:tc>
        <w:tc>
          <w:tcPr>
            <w:tcW w:w="2208" w:type="dxa"/>
            <w:noWrap w:val="0"/>
            <w:vAlign w:val="center"/>
          </w:tcPr>
          <w:p w14:paraId="68BD769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w:t>
            </w:r>
          </w:p>
        </w:tc>
      </w:tr>
      <w:tr w14:paraId="6E4D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3C03959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维生素K3 Vitamin K3，mg/kg</w:t>
            </w:r>
          </w:p>
        </w:tc>
        <w:tc>
          <w:tcPr>
            <w:tcW w:w="1976" w:type="dxa"/>
            <w:noWrap w:val="0"/>
            <w:vAlign w:val="center"/>
          </w:tcPr>
          <w:p w14:paraId="46D9146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w:t>
            </w:r>
          </w:p>
        </w:tc>
        <w:tc>
          <w:tcPr>
            <w:tcW w:w="1974" w:type="dxa"/>
            <w:noWrap w:val="0"/>
            <w:vAlign w:val="center"/>
          </w:tcPr>
          <w:p w14:paraId="38048A6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w:t>
            </w:r>
          </w:p>
        </w:tc>
        <w:tc>
          <w:tcPr>
            <w:tcW w:w="1976" w:type="dxa"/>
            <w:noWrap w:val="0"/>
            <w:vAlign w:val="center"/>
          </w:tcPr>
          <w:p w14:paraId="66D45B5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w:t>
            </w:r>
          </w:p>
        </w:tc>
        <w:tc>
          <w:tcPr>
            <w:tcW w:w="2208" w:type="dxa"/>
            <w:noWrap w:val="0"/>
            <w:vAlign w:val="center"/>
          </w:tcPr>
          <w:p w14:paraId="08C36FE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w:t>
            </w:r>
          </w:p>
        </w:tc>
      </w:tr>
      <w:tr w14:paraId="4A35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32D630A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维生素B1 Vitamin B1，mg/kg</w:t>
            </w:r>
          </w:p>
        </w:tc>
        <w:tc>
          <w:tcPr>
            <w:tcW w:w="1976" w:type="dxa"/>
            <w:noWrap w:val="0"/>
            <w:vAlign w:val="center"/>
          </w:tcPr>
          <w:p w14:paraId="16F0DD6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w:t>
            </w:r>
          </w:p>
        </w:tc>
        <w:tc>
          <w:tcPr>
            <w:tcW w:w="1974" w:type="dxa"/>
            <w:noWrap w:val="0"/>
            <w:vAlign w:val="center"/>
          </w:tcPr>
          <w:p w14:paraId="0B79DB3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w:t>
            </w:r>
          </w:p>
        </w:tc>
        <w:tc>
          <w:tcPr>
            <w:tcW w:w="1976" w:type="dxa"/>
            <w:noWrap w:val="0"/>
            <w:vAlign w:val="center"/>
          </w:tcPr>
          <w:p w14:paraId="47357A0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w:t>
            </w:r>
          </w:p>
        </w:tc>
        <w:tc>
          <w:tcPr>
            <w:tcW w:w="2208" w:type="dxa"/>
            <w:noWrap w:val="0"/>
            <w:vAlign w:val="center"/>
          </w:tcPr>
          <w:p w14:paraId="72818FF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w:t>
            </w:r>
          </w:p>
        </w:tc>
      </w:tr>
      <w:tr w14:paraId="6FC6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64AFD9F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维生素B2 Vitamin B2，mg/kg</w:t>
            </w:r>
          </w:p>
        </w:tc>
        <w:tc>
          <w:tcPr>
            <w:tcW w:w="1976" w:type="dxa"/>
            <w:noWrap w:val="0"/>
            <w:vAlign w:val="center"/>
          </w:tcPr>
          <w:p w14:paraId="52732D8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w:t>
            </w:r>
          </w:p>
        </w:tc>
        <w:tc>
          <w:tcPr>
            <w:tcW w:w="1974" w:type="dxa"/>
            <w:noWrap w:val="0"/>
            <w:vAlign w:val="center"/>
          </w:tcPr>
          <w:p w14:paraId="7E92234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w:t>
            </w:r>
          </w:p>
        </w:tc>
        <w:tc>
          <w:tcPr>
            <w:tcW w:w="1976" w:type="dxa"/>
            <w:noWrap w:val="0"/>
            <w:vAlign w:val="center"/>
          </w:tcPr>
          <w:p w14:paraId="113B12D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w:t>
            </w:r>
          </w:p>
        </w:tc>
        <w:tc>
          <w:tcPr>
            <w:tcW w:w="2208" w:type="dxa"/>
            <w:noWrap w:val="0"/>
            <w:vAlign w:val="center"/>
          </w:tcPr>
          <w:p w14:paraId="5204AA1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w:t>
            </w:r>
          </w:p>
        </w:tc>
      </w:tr>
      <w:tr w14:paraId="46E3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5744278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烟酸 Niacin，mg/kg</w:t>
            </w:r>
          </w:p>
        </w:tc>
        <w:tc>
          <w:tcPr>
            <w:tcW w:w="1976" w:type="dxa"/>
            <w:noWrap w:val="0"/>
            <w:vAlign w:val="center"/>
          </w:tcPr>
          <w:p w14:paraId="1479519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50</w:t>
            </w:r>
          </w:p>
        </w:tc>
        <w:tc>
          <w:tcPr>
            <w:tcW w:w="1974" w:type="dxa"/>
            <w:noWrap w:val="0"/>
            <w:vAlign w:val="center"/>
          </w:tcPr>
          <w:p w14:paraId="02C09EC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50</w:t>
            </w:r>
          </w:p>
        </w:tc>
        <w:tc>
          <w:tcPr>
            <w:tcW w:w="1976" w:type="dxa"/>
            <w:noWrap w:val="0"/>
            <w:vAlign w:val="center"/>
          </w:tcPr>
          <w:p w14:paraId="2F34978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50</w:t>
            </w:r>
          </w:p>
        </w:tc>
        <w:tc>
          <w:tcPr>
            <w:tcW w:w="2208" w:type="dxa"/>
            <w:noWrap w:val="0"/>
            <w:vAlign w:val="center"/>
          </w:tcPr>
          <w:p w14:paraId="1C8C60B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50</w:t>
            </w:r>
          </w:p>
        </w:tc>
      </w:tr>
      <w:tr w14:paraId="09E0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0256F68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泛酸Pantothenic acid，mg/kg</w:t>
            </w:r>
          </w:p>
        </w:tc>
        <w:tc>
          <w:tcPr>
            <w:tcW w:w="1976" w:type="dxa"/>
            <w:noWrap w:val="0"/>
            <w:vAlign w:val="center"/>
          </w:tcPr>
          <w:p w14:paraId="586DB90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w:t>
            </w:r>
          </w:p>
        </w:tc>
        <w:tc>
          <w:tcPr>
            <w:tcW w:w="1974" w:type="dxa"/>
            <w:noWrap w:val="0"/>
            <w:vAlign w:val="center"/>
          </w:tcPr>
          <w:p w14:paraId="67242AC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w:t>
            </w:r>
          </w:p>
        </w:tc>
        <w:tc>
          <w:tcPr>
            <w:tcW w:w="1976" w:type="dxa"/>
            <w:noWrap w:val="0"/>
            <w:vAlign w:val="center"/>
          </w:tcPr>
          <w:p w14:paraId="5B89D21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w:t>
            </w:r>
          </w:p>
        </w:tc>
        <w:tc>
          <w:tcPr>
            <w:tcW w:w="2208" w:type="dxa"/>
            <w:noWrap w:val="0"/>
            <w:vAlign w:val="center"/>
          </w:tcPr>
          <w:p w14:paraId="69B871B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w:t>
            </w:r>
          </w:p>
        </w:tc>
      </w:tr>
      <w:tr w14:paraId="6514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6AAF638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维生素B6 Vitamin B6，mg/kg</w:t>
            </w:r>
          </w:p>
        </w:tc>
        <w:tc>
          <w:tcPr>
            <w:tcW w:w="1976" w:type="dxa"/>
            <w:noWrap w:val="0"/>
            <w:vAlign w:val="center"/>
          </w:tcPr>
          <w:p w14:paraId="29FDB08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3.0</w:t>
            </w:r>
          </w:p>
        </w:tc>
        <w:tc>
          <w:tcPr>
            <w:tcW w:w="1974" w:type="dxa"/>
            <w:noWrap w:val="0"/>
            <w:vAlign w:val="center"/>
          </w:tcPr>
          <w:p w14:paraId="1516C2F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3.0</w:t>
            </w:r>
          </w:p>
        </w:tc>
        <w:tc>
          <w:tcPr>
            <w:tcW w:w="1976" w:type="dxa"/>
            <w:noWrap w:val="0"/>
            <w:vAlign w:val="center"/>
          </w:tcPr>
          <w:p w14:paraId="00C2B25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3.0</w:t>
            </w:r>
          </w:p>
        </w:tc>
        <w:tc>
          <w:tcPr>
            <w:tcW w:w="2208" w:type="dxa"/>
            <w:noWrap w:val="0"/>
            <w:vAlign w:val="center"/>
          </w:tcPr>
          <w:p w14:paraId="57AD8AB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3.0</w:t>
            </w:r>
          </w:p>
        </w:tc>
      </w:tr>
      <w:tr w14:paraId="4AEC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646C284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维生素B12 Vitamin B12，mg/kg</w:t>
            </w:r>
          </w:p>
        </w:tc>
        <w:tc>
          <w:tcPr>
            <w:tcW w:w="1976" w:type="dxa"/>
            <w:noWrap w:val="0"/>
            <w:vAlign w:val="center"/>
          </w:tcPr>
          <w:p w14:paraId="1AEAE70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0.02</w:t>
            </w:r>
          </w:p>
        </w:tc>
        <w:tc>
          <w:tcPr>
            <w:tcW w:w="1974" w:type="dxa"/>
            <w:noWrap w:val="0"/>
            <w:vAlign w:val="center"/>
          </w:tcPr>
          <w:p w14:paraId="1804860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0.02</w:t>
            </w:r>
          </w:p>
        </w:tc>
        <w:tc>
          <w:tcPr>
            <w:tcW w:w="1976" w:type="dxa"/>
            <w:noWrap w:val="0"/>
            <w:vAlign w:val="center"/>
          </w:tcPr>
          <w:p w14:paraId="30E8EC3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0.02</w:t>
            </w:r>
          </w:p>
        </w:tc>
        <w:tc>
          <w:tcPr>
            <w:tcW w:w="2208" w:type="dxa"/>
            <w:noWrap w:val="0"/>
            <w:vAlign w:val="center"/>
          </w:tcPr>
          <w:p w14:paraId="777395A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0.02</w:t>
            </w:r>
          </w:p>
        </w:tc>
      </w:tr>
      <w:tr w14:paraId="7574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4EC9A95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生物素 Biotin，mg/kg</w:t>
            </w:r>
          </w:p>
        </w:tc>
        <w:tc>
          <w:tcPr>
            <w:tcW w:w="1976" w:type="dxa"/>
            <w:noWrap w:val="0"/>
            <w:vAlign w:val="center"/>
          </w:tcPr>
          <w:p w14:paraId="5E7D50F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0.15</w:t>
            </w:r>
          </w:p>
        </w:tc>
        <w:tc>
          <w:tcPr>
            <w:tcW w:w="1974" w:type="dxa"/>
            <w:noWrap w:val="0"/>
            <w:vAlign w:val="center"/>
          </w:tcPr>
          <w:p w14:paraId="5E4D6B9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0.15</w:t>
            </w:r>
          </w:p>
        </w:tc>
        <w:tc>
          <w:tcPr>
            <w:tcW w:w="1976" w:type="dxa"/>
            <w:noWrap w:val="0"/>
            <w:vAlign w:val="center"/>
          </w:tcPr>
          <w:p w14:paraId="71AA76E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0.15</w:t>
            </w:r>
          </w:p>
        </w:tc>
        <w:tc>
          <w:tcPr>
            <w:tcW w:w="2208" w:type="dxa"/>
            <w:noWrap w:val="0"/>
            <w:vAlign w:val="center"/>
          </w:tcPr>
          <w:p w14:paraId="34F75CF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0.15</w:t>
            </w:r>
          </w:p>
        </w:tc>
      </w:tr>
      <w:tr w14:paraId="6903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206036B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叶酸 Folic acid，mg/kg</w:t>
            </w:r>
          </w:p>
        </w:tc>
        <w:tc>
          <w:tcPr>
            <w:tcW w:w="1976" w:type="dxa"/>
            <w:noWrap w:val="0"/>
            <w:vAlign w:val="center"/>
          </w:tcPr>
          <w:p w14:paraId="72087BC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w:t>
            </w:r>
          </w:p>
        </w:tc>
        <w:tc>
          <w:tcPr>
            <w:tcW w:w="1974" w:type="dxa"/>
            <w:noWrap w:val="0"/>
            <w:vAlign w:val="center"/>
          </w:tcPr>
          <w:p w14:paraId="03E6289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w:t>
            </w:r>
          </w:p>
        </w:tc>
        <w:tc>
          <w:tcPr>
            <w:tcW w:w="1976" w:type="dxa"/>
            <w:noWrap w:val="0"/>
            <w:vAlign w:val="center"/>
          </w:tcPr>
          <w:p w14:paraId="533FC6B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w:t>
            </w:r>
          </w:p>
        </w:tc>
        <w:tc>
          <w:tcPr>
            <w:tcW w:w="2208" w:type="dxa"/>
            <w:noWrap w:val="0"/>
            <w:vAlign w:val="center"/>
          </w:tcPr>
          <w:p w14:paraId="5387D73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0.5</w:t>
            </w:r>
          </w:p>
        </w:tc>
      </w:tr>
      <w:tr w14:paraId="6672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54C1159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胆碱 Choline，mg/kg</w:t>
            </w:r>
          </w:p>
        </w:tc>
        <w:tc>
          <w:tcPr>
            <w:tcW w:w="1976" w:type="dxa"/>
            <w:noWrap w:val="0"/>
            <w:vAlign w:val="center"/>
          </w:tcPr>
          <w:p w14:paraId="255C38F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1000</w:t>
            </w:r>
          </w:p>
        </w:tc>
        <w:tc>
          <w:tcPr>
            <w:tcW w:w="1974" w:type="dxa"/>
            <w:noWrap w:val="0"/>
            <w:vAlign w:val="center"/>
          </w:tcPr>
          <w:p w14:paraId="766CFE1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1000</w:t>
            </w:r>
          </w:p>
        </w:tc>
        <w:tc>
          <w:tcPr>
            <w:tcW w:w="1976" w:type="dxa"/>
            <w:noWrap w:val="0"/>
            <w:vAlign w:val="center"/>
          </w:tcPr>
          <w:p w14:paraId="3BA06CE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1000</w:t>
            </w:r>
          </w:p>
        </w:tc>
        <w:tc>
          <w:tcPr>
            <w:tcW w:w="2208" w:type="dxa"/>
            <w:noWrap w:val="0"/>
            <w:vAlign w:val="center"/>
          </w:tcPr>
          <w:p w14:paraId="1A18DCB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1000</w:t>
            </w:r>
          </w:p>
        </w:tc>
      </w:tr>
      <w:tr w14:paraId="15E8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022ED34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铜 Cu，mg/kg</w:t>
            </w:r>
          </w:p>
        </w:tc>
        <w:tc>
          <w:tcPr>
            <w:tcW w:w="1976" w:type="dxa"/>
            <w:noWrap w:val="0"/>
            <w:vAlign w:val="center"/>
          </w:tcPr>
          <w:p w14:paraId="444791D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8.0</w:t>
            </w:r>
          </w:p>
        </w:tc>
        <w:tc>
          <w:tcPr>
            <w:tcW w:w="1974" w:type="dxa"/>
            <w:noWrap w:val="0"/>
            <w:vAlign w:val="center"/>
          </w:tcPr>
          <w:p w14:paraId="03443CA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8.0</w:t>
            </w:r>
          </w:p>
        </w:tc>
        <w:tc>
          <w:tcPr>
            <w:tcW w:w="1976" w:type="dxa"/>
            <w:noWrap w:val="0"/>
            <w:vAlign w:val="center"/>
          </w:tcPr>
          <w:p w14:paraId="5BA7C29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6.0</w:t>
            </w:r>
          </w:p>
        </w:tc>
        <w:tc>
          <w:tcPr>
            <w:tcW w:w="2208" w:type="dxa"/>
            <w:noWrap w:val="0"/>
            <w:vAlign w:val="center"/>
          </w:tcPr>
          <w:p w14:paraId="10B9AEE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5.0</w:t>
            </w:r>
          </w:p>
        </w:tc>
      </w:tr>
      <w:tr w14:paraId="547D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649D1A7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铁 Fe，mg/kg</w:t>
            </w:r>
          </w:p>
        </w:tc>
        <w:tc>
          <w:tcPr>
            <w:tcW w:w="1976" w:type="dxa"/>
            <w:noWrap w:val="0"/>
            <w:vAlign w:val="center"/>
          </w:tcPr>
          <w:p w14:paraId="6257989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96</w:t>
            </w:r>
          </w:p>
        </w:tc>
        <w:tc>
          <w:tcPr>
            <w:tcW w:w="1974" w:type="dxa"/>
            <w:noWrap w:val="0"/>
            <w:vAlign w:val="center"/>
          </w:tcPr>
          <w:p w14:paraId="074B556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96</w:t>
            </w:r>
          </w:p>
        </w:tc>
        <w:tc>
          <w:tcPr>
            <w:tcW w:w="1976" w:type="dxa"/>
            <w:noWrap w:val="0"/>
            <w:vAlign w:val="center"/>
          </w:tcPr>
          <w:p w14:paraId="24CC3BD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80</w:t>
            </w:r>
          </w:p>
        </w:tc>
        <w:tc>
          <w:tcPr>
            <w:tcW w:w="2208" w:type="dxa"/>
            <w:noWrap w:val="0"/>
            <w:vAlign w:val="center"/>
          </w:tcPr>
          <w:p w14:paraId="69C435F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60</w:t>
            </w:r>
          </w:p>
        </w:tc>
      </w:tr>
      <w:tr w14:paraId="7518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50A847D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锰 Mn，mg/kg</w:t>
            </w:r>
          </w:p>
        </w:tc>
        <w:tc>
          <w:tcPr>
            <w:tcW w:w="1976" w:type="dxa"/>
            <w:noWrap w:val="0"/>
            <w:vAlign w:val="center"/>
          </w:tcPr>
          <w:p w14:paraId="3CF4CD5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w:t>
            </w:r>
          </w:p>
        </w:tc>
        <w:tc>
          <w:tcPr>
            <w:tcW w:w="1974" w:type="dxa"/>
            <w:noWrap w:val="0"/>
            <w:vAlign w:val="center"/>
          </w:tcPr>
          <w:p w14:paraId="0E90470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100</w:t>
            </w:r>
          </w:p>
        </w:tc>
        <w:tc>
          <w:tcPr>
            <w:tcW w:w="1976" w:type="dxa"/>
            <w:noWrap w:val="0"/>
            <w:vAlign w:val="center"/>
          </w:tcPr>
          <w:p w14:paraId="797D5AC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80</w:t>
            </w:r>
          </w:p>
        </w:tc>
        <w:tc>
          <w:tcPr>
            <w:tcW w:w="2208" w:type="dxa"/>
            <w:noWrap w:val="0"/>
            <w:vAlign w:val="center"/>
          </w:tcPr>
          <w:p w14:paraId="7B35979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60</w:t>
            </w:r>
          </w:p>
        </w:tc>
      </w:tr>
      <w:tr w14:paraId="598F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6BBA850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锌 Zn，mg/kg</w:t>
            </w:r>
          </w:p>
        </w:tc>
        <w:tc>
          <w:tcPr>
            <w:tcW w:w="1976" w:type="dxa"/>
            <w:noWrap w:val="0"/>
            <w:vAlign w:val="center"/>
          </w:tcPr>
          <w:p w14:paraId="03C0A47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80</w:t>
            </w:r>
          </w:p>
        </w:tc>
        <w:tc>
          <w:tcPr>
            <w:tcW w:w="1974" w:type="dxa"/>
            <w:noWrap w:val="0"/>
            <w:vAlign w:val="center"/>
          </w:tcPr>
          <w:p w14:paraId="359AEEE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80</w:t>
            </w:r>
          </w:p>
        </w:tc>
        <w:tc>
          <w:tcPr>
            <w:tcW w:w="1976" w:type="dxa"/>
            <w:noWrap w:val="0"/>
            <w:vAlign w:val="center"/>
          </w:tcPr>
          <w:p w14:paraId="173CC68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60</w:t>
            </w:r>
          </w:p>
        </w:tc>
        <w:tc>
          <w:tcPr>
            <w:tcW w:w="2208" w:type="dxa"/>
            <w:noWrap w:val="0"/>
            <w:vAlign w:val="center"/>
          </w:tcPr>
          <w:p w14:paraId="3D808DE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50</w:t>
            </w:r>
          </w:p>
        </w:tc>
      </w:tr>
      <w:tr w14:paraId="5501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61983D1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硒 Se，mg/kg</w:t>
            </w:r>
          </w:p>
        </w:tc>
        <w:tc>
          <w:tcPr>
            <w:tcW w:w="1976" w:type="dxa"/>
            <w:noWrap w:val="0"/>
            <w:vAlign w:val="center"/>
          </w:tcPr>
          <w:p w14:paraId="4F54E3E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0.30</w:t>
            </w:r>
          </w:p>
        </w:tc>
        <w:tc>
          <w:tcPr>
            <w:tcW w:w="1974" w:type="dxa"/>
            <w:noWrap w:val="0"/>
            <w:vAlign w:val="center"/>
          </w:tcPr>
          <w:p w14:paraId="4A57E75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0.30</w:t>
            </w:r>
          </w:p>
        </w:tc>
        <w:tc>
          <w:tcPr>
            <w:tcW w:w="1976" w:type="dxa"/>
            <w:noWrap w:val="0"/>
            <w:vAlign w:val="center"/>
          </w:tcPr>
          <w:p w14:paraId="7CA572E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0.30</w:t>
            </w:r>
          </w:p>
        </w:tc>
        <w:tc>
          <w:tcPr>
            <w:tcW w:w="2208" w:type="dxa"/>
            <w:noWrap w:val="0"/>
            <w:vAlign w:val="center"/>
          </w:tcPr>
          <w:p w14:paraId="6CF3E3E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0.30</w:t>
            </w:r>
          </w:p>
        </w:tc>
      </w:tr>
      <w:tr w14:paraId="6EA5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35" w:type="dxa"/>
            <w:noWrap w:val="0"/>
            <w:vAlign w:val="center"/>
          </w:tcPr>
          <w:p w14:paraId="14C7B32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碘 I，mg/kg</w:t>
            </w:r>
          </w:p>
        </w:tc>
        <w:tc>
          <w:tcPr>
            <w:tcW w:w="1976" w:type="dxa"/>
            <w:noWrap w:val="0"/>
            <w:vAlign w:val="center"/>
          </w:tcPr>
          <w:p w14:paraId="0DB27F7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0.40</w:t>
            </w:r>
          </w:p>
        </w:tc>
        <w:tc>
          <w:tcPr>
            <w:tcW w:w="1974" w:type="dxa"/>
            <w:noWrap w:val="0"/>
            <w:vAlign w:val="center"/>
          </w:tcPr>
          <w:p w14:paraId="04FFD35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0.40</w:t>
            </w:r>
          </w:p>
        </w:tc>
        <w:tc>
          <w:tcPr>
            <w:tcW w:w="1976" w:type="dxa"/>
            <w:noWrap w:val="0"/>
            <w:vAlign w:val="center"/>
          </w:tcPr>
          <w:p w14:paraId="7017CAE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0.30</w:t>
            </w:r>
          </w:p>
        </w:tc>
        <w:tc>
          <w:tcPr>
            <w:tcW w:w="2208" w:type="dxa"/>
            <w:noWrap w:val="0"/>
            <w:vAlign w:val="center"/>
          </w:tcPr>
          <w:p w14:paraId="3407DAF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0.30</w:t>
            </w:r>
          </w:p>
        </w:tc>
      </w:tr>
      <w:tr w14:paraId="0C2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969" w:type="dxa"/>
            <w:gridSpan w:val="5"/>
            <w:noWrap w:val="0"/>
            <w:vAlign w:val="center"/>
          </w:tcPr>
          <w:p w14:paraId="46178AA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注：营养需要量数据以饲料干物质含量87%计。</w:t>
            </w:r>
          </w:p>
        </w:tc>
      </w:tr>
    </w:tbl>
    <w:p w14:paraId="651DA58B">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rPr>
        <w:sectPr>
          <w:pgSz w:w="16838" w:h="11906" w:orient="landscape"/>
          <w:pgMar w:top="1587" w:right="2098" w:bottom="1474" w:left="1984" w:header="851" w:footer="992" w:gutter="0"/>
          <w:pgBorders>
            <w:top w:val="none" w:sz="0" w:space="0"/>
            <w:left w:val="none" w:sz="0" w:space="0"/>
            <w:bottom w:val="none" w:sz="0" w:space="0"/>
            <w:right w:val="none" w:sz="0" w:space="0"/>
          </w:pgBorders>
          <w:pgNumType w:fmt="numberInDash"/>
          <w:cols w:space="720" w:num="1"/>
          <w:rtlGutter w:val="0"/>
          <w:docGrid w:type="lines" w:linePitch="579" w:charSpace="0"/>
        </w:sectPr>
      </w:pPr>
    </w:p>
    <w:p w14:paraId="2B8BAC28">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楷体_GBK" w:hAnsi="方正楷体_GBK" w:eastAsia="方正楷体_GBK" w:cs="方正楷体_GBK"/>
          <w:b w:val="0"/>
          <w:bCs w:val="0"/>
          <w:color w:val="000000"/>
          <w:sz w:val="32"/>
          <w:szCs w:val="32"/>
        </w:rPr>
        <w:t>（二）肉鹅饲料精准供给技术</w:t>
      </w:r>
    </w:p>
    <w:p w14:paraId="54CB2D2D">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饲料调质温度和粒径会影响饲料颗粒质量、营养损失量和饲料适口性及消化率，该技术制定了鹅不同生长阶段饲料调质温度、饲料粒径等标准（见下表6），为鹅饲料加工调质提供参考依据。同时，该技术确定了饲喂次数、料槽放置高度和采食空间等饲喂参数以及配套的饲喂设备，养殖场（户）可根据自身需求，选择合适的饲喂设备（图1~4），实现鹅饲料的精准高效供给。立体多层笼养模式推荐选配具有自主行走、智能识别和精准定量的智能饲喂机器人，网上圈养模式推荐选配具有高度可调和精准定量的圈栏精料定量饲喂系统或精粗饲料均可用的传输式饲喂系统，网上圈养和散养模式也可选配可移动且高度可调的低成本木质料槽。</w:t>
      </w:r>
    </w:p>
    <w:p w14:paraId="036AB8B6">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rPr>
        <w:t>表6 鹅饲料加工与饲喂参数</w:t>
      </w:r>
    </w:p>
    <w:tbl>
      <w:tblPr>
        <w:tblStyle w:val="9"/>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6"/>
        <w:gridCol w:w="1774"/>
        <w:gridCol w:w="4107"/>
      </w:tblGrid>
      <w:tr w14:paraId="6CBF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3176" w:type="dxa"/>
            <w:noWrap w:val="0"/>
            <w:tcMar>
              <w:top w:w="15" w:type="dxa"/>
              <w:left w:w="108" w:type="dxa"/>
              <w:bottom w:w="0" w:type="dxa"/>
              <w:right w:w="108" w:type="dxa"/>
            </w:tcMar>
            <w:vAlign w:val="center"/>
          </w:tcPr>
          <w:p w14:paraId="6D17237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项目</w:t>
            </w:r>
          </w:p>
        </w:tc>
        <w:tc>
          <w:tcPr>
            <w:tcW w:w="1774" w:type="dxa"/>
            <w:noWrap w:val="0"/>
            <w:tcMar>
              <w:top w:w="15" w:type="dxa"/>
              <w:left w:w="108" w:type="dxa"/>
              <w:bottom w:w="0" w:type="dxa"/>
              <w:right w:w="108" w:type="dxa"/>
            </w:tcMar>
            <w:vAlign w:val="center"/>
          </w:tcPr>
          <w:p w14:paraId="2B6047C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日龄/d</w:t>
            </w:r>
          </w:p>
        </w:tc>
        <w:tc>
          <w:tcPr>
            <w:tcW w:w="4107" w:type="dxa"/>
            <w:noWrap w:val="0"/>
            <w:tcMar>
              <w:top w:w="15" w:type="dxa"/>
              <w:left w:w="108" w:type="dxa"/>
              <w:bottom w:w="0" w:type="dxa"/>
              <w:right w:w="108" w:type="dxa"/>
            </w:tcMar>
            <w:vAlign w:val="center"/>
          </w:tcPr>
          <w:p w14:paraId="234B6FD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推荐</w:t>
            </w:r>
          </w:p>
        </w:tc>
      </w:tr>
      <w:tr w14:paraId="07CB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3176" w:type="dxa"/>
            <w:vMerge w:val="restart"/>
            <w:noWrap w:val="0"/>
            <w:tcMar>
              <w:top w:w="15" w:type="dxa"/>
              <w:left w:w="108" w:type="dxa"/>
              <w:bottom w:w="0" w:type="dxa"/>
              <w:right w:w="108" w:type="dxa"/>
            </w:tcMar>
            <w:vAlign w:val="center"/>
          </w:tcPr>
          <w:p w14:paraId="28BA976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调质温度</w:t>
            </w:r>
          </w:p>
        </w:tc>
        <w:tc>
          <w:tcPr>
            <w:tcW w:w="1774" w:type="dxa"/>
            <w:noWrap w:val="0"/>
            <w:tcMar>
              <w:top w:w="15" w:type="dxa"/>
              <w:left w:w="108" w:type="dxa"/>
              <w:bottom w:w="0" w:type="dxa"/>
              <w:right w:w="108" w:type="dxa"/>
            </w:tcMar>
            <w:vAlign w:val="center"/>
          </w:tcPr>
          <w:p w14:paraId="4D7F459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1~28</w:t>
            </w:r>
          </w:p>
        </w:tc>
        <w:tc>
          <w:tcPr>
            <w:tcW w:w="4107" w:type="dxa"/>
            <w:noWrap w:val="0"/>
            <w:tcMar>
              <w:top w:w="15" w:type="dxa"/>
              <w:left w:w="108" w:type="dxa"/>
              <w:bottom w:w="0" w:type="dxa"/>
              <w:right w:w="108" w:type="dxa"/>
            </w:tcMar>
            <w:vAlign w:val="center"/>
          </w:tcPr>
          <w:p w14:paraId="7BA3911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81.0℃</w:t>
            </w:r>
          </w:p>
        </w:tc>
      </w:tr>
      <w:tr w14:paraId="0F09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76" w:type="dxa"/>
            <w:vMerge w:val="continue"/>
            <w:noWrap w:val="0"/>
            <w:vAlign w:val="center"/>
          </w:tcPr>
          <w:p w14:paraId="4375CCB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1774" w:type="dxa"/>
            <w:noWrap w:val="0"/>
            <w:tcMar>
              <w:top w:w="15" w:type="dxa"/>
              <w:left w:w="108" w:type="dxa"/>
              <w:bottom w:w="0" w:type="dxa"/>
              <w:right w:w="108" w:type="dxa"/>
            </w:tcMar>
            <w:vAlign w:val="center"/>
          </w:tcPr>
          <w:p w14:paraId="03F7C71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29~49</w:t>
            </w:r>
          </w:p>
        </w:tc>
        <w:tc>
          <w:tcPr>
            <w:tcW w:w="4107" w:type="dxa"/>
            <w:noWrap w:val="0"/>
            <w:tcMar>
              <w:top w:w="15" w:type="dxa"/>
              <w:left w:w="108" w:type="dxa"/>
              <w:bottom w:w="0" w:type="dxa"/>
              <w:right w:w="108" w:type="dxa"/>
            </w:tcMar>
            <w:vAlign w:val="center"/>
          </w:tcPr>
          <w:p w14:paraId="0177A3A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75.7℃</w:t>
            </w:r>
          </w:p>
        </w:tc>
      </w:tr>
      <w:tr w14:paraId="036C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76" w:type="dxa"/>
            <w:vMerge w:val="continue"/>
            <w:noWrap w:val="0"/>
            <w:vAlign w:val="center"/>
          </w:tcPr>
          <w:p w14:paraId="561CE5C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1774" w:type="dxa"/>
            <w:noWrap w:val="0"/>
            <w:tcMar>
              <w:top w:w="15" w:type="dxa"/>
              <w:left w:w="108" w:type="dxa"/>
              <w:bottom w:w="0" w:type="dxa"/>
              <w:right w:w="108" w:type="dxa"/>
            </w:tcMar>
            <w:vAlign w:val="center"/>
          </w:tcPr>
          <w:p w14:paraId="562A0AA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49~70</w:t>
            </w:r>
          </w:p>
        </w:tc>
        <w:tc>
          <w:tcPr>
            <w:tcW w:w="4107" w:type="dxa"/>
            <w:noWrap w:val="0"/>
            <w:tcMar>
              <w:top w:w="15" w:type="dxa"/>
              <w:left w:w="108" w:type="dxa"/>
              <w:bottom w:w="0" w:type="dxa"/>
              <w:right w:w="108" w:type="dxa"/>
            </w:tcMar>
            <w:vAlign w:val="center"/>
          </w:tcPr>
          <w:p w14:paraId="03DAE25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75.5℃</w:t>
            </w:r>
          </w:p>
        </w:tc>
      </w:tr>
      <w:tr w14:paraId="1416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76" w:type="dxa"/>
            <w:vMerge w:val="restart"/>
            <w:noWrap w:val="0"/>
            <w:tcMar>
              <w:top w:w="15" w:type="dxa"/>
              <w:left w:w="108" w:type="dxa"/>
              <w:bottom w:w="0" w:type="dxa"/>
              <w:right w:w="108" w:type="dxa"/>
            </w:tcMar>
            <w:vAlign w:val="center"/>
          </w:tcPr>
          <w:p w14:paraId="2EED0E8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饲料pH</w:t>
            </w:r>
          </w:p>
        </w:tc>
        <w:tc>
          <w:tcPr>
            <w:tcW w:w="1774" w:type="dxa"/>
            <w:noWrap w:val="0"/>
            <w:tcMar>
              <w:top w:w="15" w:type="dxa"/>
              <w:left w:w="108" w:type="dxa"/>
              <w:bottom w:w="0" w:type="dxa"/>
              <w:right w:w="108" w:type="dxa"/>
            </w:tcMar>
            <w:vAlign w:val="center"/>
          </w:tcPr>
          <w:p w14:paraId="3D038BE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1~28</w:t>
            </w:r>
          </w:p>
        </w:tc>
        <w:tc>
          <w:tcPr>
            <w:tcW w:w="4107" w:type="dxa"/>
            <w:noWrap w:val="0"/>
            <w:tcMar>
              <w:top w:w="15" w:type="dxa"/>
              <w:left w:w="108" w:type="dxa"/>
              <w:bottom w:w="0" w:type="dxa"/>
              <w:right w:w="108" w:type="dxa"/>
            </w:tcMar>
            <w:vAlign w:val="center"/>
          </w:tcPr>
          <w:p w14:paraId="18AC9CF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5.95</w:t>
            </w:r>
          </w:p>
        </w:tc>
      </w:tr>
      <w:tr w14:paraId="54C5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76" w:type="dxa"/>
            <w:vMerge w:val="continue"/>
            <w:noWrap w:val="0"/>
            <w:vAlign w:val="center"/>
          </w:tcPr>
          <w:p w14:paraId="4E00A54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1774" w:type="dxa"/>
            <w:noWrap w:val="0"/>
            <w:tcMar>
              <w:top w:w="15" w:type="dxa"/>
              <w:left w:w="108" w:type="dxa"/>
              <w:bottom w:w="0" w:type="dxa"/>
              <w:right w:w="108" w:type="dxa"/>
            </w:tcMar>
            <w:vAlign w:val="center"/>
          </w:tcPr>
          <w:p w14:paraId="013E8A4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28~70</w:t>
            </w:r>
          </w:p>
        </w:tc>
        <w:tc>
          <w:tcPr>
            <w:tcW w:w="4107" w:type="dxa"/>
            <w:noWrap w:val="0"/>
            <w:tcMar>
              <w:top w:w="15" w:type="dxa"/>
              <w:left w:w="108" w:type="dxa"/>
              <w:bottom w:w="0" w:type="dxa"/>
              <w:right w:w="108" w:type="dxa"/>
            </w:tcMar>
            <w:vAlign w:val="center"/>
          </w:tcPr>
          <w:p w14:paraId="61F4663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5.10</w:t>
            </w:r>
          </w:p>
        </w:tc>
      </w:tr>
      <w:tr w14:paraId="2C4C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76" w:type="dxa"/>
            <w:vMerge w:val="restart"/>
            <w:noWrap w:val="0"/>
            <w:tcMar>
              <w:top w:w="15" w:type="dxa"/>
              <w:left w:w="108" w:type="dxa"/>
              <w:bottom w:w="0" w:type="dxa"/>
              <w:right w:w="108" w:type="dxa"/>
            </w:tcMar>
            <w:vAlign w:val="center"/>
          </w:tcPr>
          <w:p w14:paraId="6F789D4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饲料粒径</w:t>
            </w:r>
          </w:p>
        </w:tc>
        <w:tc>
          <w:tcPr>
            <w:tcW w:w="1774" w:type="dxa"/>
            <w:noWrap w:val="0"/>
            <w:tcMar>
              <w:top w:w="15" w:type="dxa"/>
              <w:left w:w="108" w:type="dxa"/>
              <w:bottom w:w="0" w:type="dxa"/>
              <w:right w:w="108" w:type="dxa"/>
            </w:tcMar>
            <w:vAlign w:val="center"/>
          </w:tcPr>
          <w:p w14:paraId="6A13BAE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1~28</w:t>
            </w:r>
          </w:p>
        </w:tc>
        <w:tc>
          <w:tcPr>
            <w:tcW w:w="4107" w:type="dxa"/>
            <w:noWrap w:val="0"/>
            <w:tcMar>
              <w:top w:w="15" w:type="dxa"/>
              <w:left w:w="108" w:type="dxa"/>
              <w:bottom w:w="0" w:type="dxa"/>
              <w:right w:w="108" w:type="dxa"/>
            </w:tcMar>
            <w:vAlign w:val="center"/>
          </w:tcPr>
          <w:p w14:paraId="39DB275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3mm（长径比11:1）</w:t>
            </w:r>
          </w:p>
        </w:tc>
      </w:tr>
      <w:tr w14:paraId="4BDD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76" w:type="dxa"/>
            <w:vMerge w:val="continue"/>
            <w:noWrap w:val="0"/>
            <w:tcMar>
              <w:top w:w="15" w:type="dxa"/>
              <w:left w:w="108" w:type="dxa"/>
              <w:bottom w:w="0" w:type="dxa"/>
              <w:right w:w="108" w:type="dxa"/>
            </w:tcMar>
            <w:vAlign w:val="center"/>
          </w:tcPr>
          <w:p w14:paraId="6DC7EB9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1774" w:type="dxa"/>
            <w:noWrap w:val="0"/>
            <w:tcMar>
              <w:top w:w="15" w:type="dxa"/>
              <w:left w:w="108" w:type="dxa"/>
              <w:bottom w:w="0" w:type="dxa"/>
              <w:right w:w="108" w:type="dxa"/>
            </w:tcMar>
            <w:vAlign w:val="center"/>
          </w:tcPr>
          <w:p w14:paraId="381F4FF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28~70</w:t>
            </w:r>
          </w:p>
        </w:tc>
        <w:tc>
          <w:tcPr>
            <w:tcW w:w="4107" w:type="dxa"/>
            <w:noWrap w:val="0"/>
            <w:tcMar>
              <w:top w:w="15" w:type="dxa"/>
              <w:left w:w="108" w:type="dxa"/>
              <w:bottom w:w="0" w:type="dxa"/>
              <w:right w:w="108" w:type="dxa"/>
            </w:tcMar>
            <w:vAlign w:val="center"/>
          </w:tcPr>
          <w:p w14:paraId="1CEF30E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4.5mm</w:t>
            </w:r>
          </w:p>
        </w:tc>
      </w:tr>
      <w:tr w14:paraId="2C99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76" w:type="dxa"/>
            <w:noWrap w:val="0"/>
            <w:tcMar>
              <w:top w:w="15" w:type="dxa"/>
              <w:left w:w="108" w:type="dxa"/>
              <w:bottom w:w="0" w:type="dxa"/>
              <w:right w:w="108" w:type="dxa"/>
            </w:tcMar>
            <w:vAlign w:val="center"/>
          </w:tcPr>
          <w:p w14:paraId="316C28F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换料日龄</w:t>
            </w:r>
          </w:p>
        </w:tc>
        <w:tc>
          <w:tcPr>
            <w:tcW w:w="1774" w:type="dxa"/>
            <w:noWrap w:val="0"/>
            <w:tcMar>
              <w:top w:w="15" w:type="dxa"/>
              <w:left w:w="108" w:type="dxa"/>
              <w:bottom w:w="0" w:type="dxa"/>
              <w:right w:w="108" w:type="dxa"/>
            </w:tcMar>
            <w:vAlign w:val="center"/>
          </w:tcPr>
          <w:p w14:paraId="6DCAE26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w:t>
            </w:r>
          </w:p>
        </w:tc>
        <w:tc>
          <w:tcPr>
            <w:tcW w:w="4107" w:type="dxa"/>
            <w:noWrap w:val="0"/>
            <w:tcMar>
              <w:top w:w="15" w:type="dxa"/>
              <w:left w:w="108" w:type="dxa"/>
              <w:bottom w:w="0" w:type="dxa"/>
              <w:right w:w="108" w:type="dxa"/>
            </w:tcMar>
            <w:vAlign w:val="center"/>
          </w:tcPr>
          <w:p w14:paraId="5296047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19d</w:t>
            </w:r>
          </w:p>
        </w:tc>
      </w:tr>
      <w:tr w14:paraId="2650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76" w:type="dxa"/>
            <w:noWrap w:val="0"/>
            <w:tcMar>
              <w:top w:w="15" w:type="dxa"/>
              <w:left w:w="108" w:type="dxa"/>
              <w:bottom w:w="0" w:type="dxa"/>
              <w:right w:w="108" w:type="dxa"/>
            </w:tcMar>
            <w:vAlign w:val="center"/>
          </w:tcPr>
          <w:p w14:paraId="63D54E2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饲喂方式</w:t>
            </w:r>
          </w:p>
        </w:tc>
        <w:tc>
          <w:tcPr>
            <w:tcW w:w="1774" w:type="dxa"/>
            <w:noWrap w:val="0"/>
            <w:tcMar>
              <w:top w:w="15" w:type="dxa"/>
              <w:left w:w="108" w:type="dxa"/>
              <w:bottom w:w="0" w:type="dxa"/>
              <w:right w:w="108" w:type="dxa"/>
            </w:tcMar>
            <w:vAlign w:val="center"/>
          </w:tcPr>
          <w:p w14:paraId="6C30BC2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28~70</w:t>
            </w:r>
          </w:p>
        </w:tc>
        <w:tc>
          <w:tcPr>
            <w:tcW w:w="4107" w:type="dxa"/>
            <w:noWrap w:val="0"/>
            <w:tcMar>
              <w:top w:w="15" w:type="dxa"/>
              <w:left w:w="108" w:type="dxa"/>
              <w:bottom w:w="0" w:type="dxa"/>
              <w:right w:w="108" w:type="dxa"/>
            </w:tcMar>
            <w:vAlign w:val="center"/>
          </w:tcPr>
          <w:p w14:paraId="31744E5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干颗粒</w:t>
            </w:r>
          </w:p>
        </w:tc>
      </w:tr>
      <w:tr w14:paraId="0B5C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76" w:type="dxa"/>
            <w:noWrap w:val="0"/>
            <w:tcMar>
              <w:top w:w="15" w:type="dxa"/>
              <w:left w:w="108" w:type="dxa"/>
              <w:bottom w:w="0" w:type="dxa"/>
              <w:right w:w="108" w:type="dxa"/>
            </w:tcMar>
            <w:vAlign w:val="center"/>
          </w:tcPr>
          <w:p w14:paraId="3E617C0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饲喂次数</w:t>
            </w:r>
          </w:p>
        </w:tc>
        <w:tc>
          <w:tcPr>
            <w:tcW w:w="1774" w:type="dxa"/>
            <w:noWrap w:val="0"/>
            <w:tcMar>
              <w:top w:w="15" w:type="dxa"/>
              <w:left w:w="108" w:type="dxa"/>
              <w:bottom w:w="0" w:type="dxa"/>
              <w:right w:w="108" w:type="dxa"/>
            </w:tcMar>
            <w:vAlign w:val="center"/>
          </w:tcPr>
          <w:p w14:paraId="7324812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28~70</w:t>
            </w:r>
          </w:p>
        </w:tc>
        <w:tc>
          <w:tcPr>
            <w:tcW w:w="4107" w:type="dxa"/>
            <w:noWrap w:val="0"/>
            <w:tcMar>
              <w:top w:w="15" w:type="dxa"/>
              <w:left w:w="108" w:type="dxa"/>
              <w:bottom w:w="0" w:type="dxa"/>
              <w:right w:w="108" w:type="dxa"/>
            </w:tcMar>
            <w:vAlign w:val="center"/>
          </w:tcPr>
          <w:p w14:paraId="45D85E2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3~5次/只/天</w:t>
            </w:r>
          </w:p>
        </w:tc>
      </w:tr>
      <w:tr w14:paraId="0C59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76" w:type="dxa"/>
            <w:noWrap w:val="0"/>
            <w:tcMar>
              <w:top w:w="15" w:type="dxa"/>
              <w:left w:w="108" w:type="dxa"/>
              <w:bottom w:w="0" w:type="dxa"/>
              <w:right w:w="108" w:type="dxa"/>
            </w:tcMar>
            <w:vAlign w:val="center"/>
          </w:tcPr>
          <w:p w14:paraId="3D78A03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料槽放置高度</w:t>
            </w:r>
          </w:p>
        </w:tc>
        <w:tc>
          <w:tcPr>
            <w:tcW w:w="1774" w:type="dxa"/>
            <w:noWrap w:val="0"/>
            <w:tcMar>
              <w:top w:w="15" w:type="dxa"/>
              <w:left w:w="108" w:type="dxa"/>
              <w:bottom w:w="0" w:type="dxa"/>
              <w:right w:w="108" w:type="dxa"/>
            </w:tcMar>
            <w:vAlign w:val="center"/>
          </w:tcPr>
          <w:p w14:paraId="5CAB2E2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28~70</w:t>
            </w:r>
          </w:p>
        </w:tc>
        <w:tc>
          <w:tcPr>
            <w:tcW w:w="4107" w:type="dxa"/>
            <w:noWrap w:val="0"/>
            <w:tcMar>
              <w:top w:w="15" w:type="dxa"/>
              <w:left w:w="108" w:type="dxa"/>
              <w:bottom w:w="0" w:type="dxa"/>
              <w:right w:w="108" w:type="dxa"/>
            </w:tcMar>
            <w:vAlign w:val="center"/>
          </w:tcPr>
          <w:p w14:paraId="3135D81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站立时喙的高度</w:t>
            </w:r>
          </w:p>
        </w:tc>
      </w:tr>
      <w:tr w14:paraId="330D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76" w:type="dxa"/>
            <w:noWrap w:val="0"/>
            <w:tcMar>
              <w:top w:w="15" w:type="dxa"/>
              <w:left w:w="108" w:type="dxa"/>
              <w:bottom w:w="0" w:type="dxa"/>
              <w:right w:w="108" w:type="dxa"/>
            </w:tcMar>
            <w:vAlign w:val="center"/>
          </w:tcPr>
          <w:p w14:paraId="66DDE29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采食空间</w:t>
            </w:r>
          </w:p>
        </w:tc>
        <w:tc>
          <w:tcPr>
            <w:tcW w:w="1774" w:type="dxa"/>
            <w:noWrap w:val="0"/>
            <w:tcMar>
              <w:top w:w="15" w:type="dxa"/>
              <w:left w:w="108" w:type="dxa"/>
              <w:bottom w:w="0" w:type="dxa"/>
              <w:right w:w="108" w:type="dxa"/>
            </w:tcMar>
            <w:vAlign w:val="center"/>
          </w:tcPr>
          <w:p w14:paraId="7901E07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42~70</w:t>
            </w:r>
          </w:p>
        </w:tc>
        <w:tc>
          <w:tcPr>
            <w:tcW w:w="4107" w:type="dxa"/>
            <w:noWrap w:val="0"/>
            <w:tcMar>
              <w:top w:w="15" w:type="dxa"/>
              <w:left w:w="108" w:type="dxa"/>
              <w:bottom w:w="0" w:type="dxa"/>
              <w:right w:w="108" w:type="dxa"/>
            </w:tcMar>
            <w:vAlign w:val="center"/>
          </w:tcPr>
          <w:p w14:paraId="3726E71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7cm/只</w:t>
            </w:r>
          </w:p>
        </w:tc>
      </w:tr>
    </w:tbl>
    <w:p w14:paraId="1499F01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32"/>
          <w:szCs w:val="32"/>
        </w:rPr>
      </w:pPr>
    </w:p>
    <w:tbl>
      <w:tblPr>
        <w:tblStyle w:val="10"/>
        <w:tblW w:w="8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1"/>
      </w:tblGrid>
      <w:tr w14:paraId="58E8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1" w:type="dxa"/>
            <w:tcBorders>
              <w:top w:val="nil"/>
              <w:left w:val="nil"/>
              <w:bottom w:val="nil"/>
              <w:right w:val="nil"/>
            </w:tcBorders>
            <w:noWrap w:val="0"/>
            <w:vAlign w:val="top"/>
          </w:tcPr>
          <w:p w14:paraId="07BB6F3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right="0" w:rightChars="0" w:firstLine="0" w:firstLineChars="0"/>
              <w:jc w:val="center"/>
              <w:textAlignment w:val="auto"/>
              <w:rPr>
                <w:rFonts w:hint="eastAsia" w:ascii="方正黑体_GBK" w:hAnsi="方正黑体_GBK" w:eastAsia="方正黑体_GBK" w:cs="方正黑体_GBK"/>
                <w:b w:val="0"/>
                <w:bCs w:val="0"/>
                <w:kern w:val="0"/>
                <w:sz w:val="28"/>
                <w:szCs w:val="28"/>
                <w:vertAlign w:val="baseline"/>
              </w:rPr>
            </w:pPr>
            <w:r>
              <w:rPr>
                <w:rFonts w:hint="eastAsia" w:ascii="方正黑体_GBK" w:hAnsi="方正黑体_GBK" w:eastAsia="方正黑体_GBK" w:cs="方正黑体_GBK"/>
                <w:sz w:val="28"/>
                <w:szCs w:val="28"/>
              </w:rPr>
              <w:drawing>
                <wp:inline distT="0" distB="0" distL="114300" distR="114300">
                  <wp:extent cx="5471160" cy="1275715"/>
                  <wp:effectExtent l="0" t="0" r="15240" b="63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25"/>
                          <a:stretch>
                            <a:fillRect/>
                          </a:stretch>
                        </pic:blipFill>
                        <pic:spPr>
                          <a:xfrm>
                            <a:off x="0" y="0"/>
                            <a:ext cx="5471160" cy="1275715"/>
                          </a:xfrm>
                          <a:prstGeom prst="rect">
                            <a:avLst/>
                          </a:prstGeom>
                          <a:noFill/>
                          <a:ln>
                            <a:noFill/>
                          </a:ln>
                        </pic:spPr>
                      </pic:pic>
                    </a:graphicData>
                  </a:graphic>
                </wp:inline>
              </w:drawing>
            </w:r>
          </w:p>
        </w:tc>
      </w:tr>
      <w:tr w14:paraId="4C16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1" w:type="dxa"/>
            <w:tcBorders>
              <w:top w:val="nil"/>
              <w:left w:val="nil"/>
              <w:bottom w:val="nil"/>
              <w:right w:val="nil"/>
            </w:tcBorders>
            <w:noWrap w:val="0"/>
            <w:vAlign w:val="top"/>
          </w:tcPr>
          <w:p w14:paraId="3751A611">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kern w:val="0"/>
                <w:sz w:val="28"/>
                <w:szCs w:val="28"/>
                <w:vertAlign w:val="baseline"/>
              </w:rPr>
            </w:pPr>
            <w:r>
              <w:rPr>
                <w:rFonts w:hint="eastAsia" w:ascii="方正黑体_GBK" w:hAnsi="方正黑体_GBK" w:eastAsia="方正黑体_GBK" w:cs="方正黑体_GBK"/>
                <w:b w:val="0"/>
                <w:bCs w:val="0"/>
                <w:kern w:val="0"/>
                <w:sz w:val="28"/>
                <w:szCs w:val="28"/>
              </w:rPr>
              <w:t>图1 饲喂机器人</w:t>
            </w:r>
            <w:r>
              <w:rPr>
                <w:rFonts w:hint="eastAsia" w:ascii="方正黑体_GBK" w:hAnsi="方正黑体_GBK" w:eastAsia="方正黑体_GBK" w:cs="方正黑体_GBK"/>
                <w:b w:val="0"/>
                <w:bCs w:val="0"/>
                <w:kern w:val="0"/>
                <w:sz w:val="28"/>
                <w:szCs w:val="28"/>
                <w:lang w:eastAsia="zh-CN"/>
              </w:rPr>
              <w:t>，</w:t>
            </w:r>
            <w:r>
              <w:rPr>
                <w:rFonts w:hint="eastAsia" w:ascii="方正黑体_GBK" w:hAnsi="方正黑体_GBK" w:eastAsia="方正黑体_GBK" w:cs="方正黑体_GBK"/>
                <w:b w:val="0"/>
                <w:bCs w:val="0"/>
                <w:kern w:val="0"/>
                <w:sz w:val="28"/>
                <w:szCs w:val="28"/>
              </w:rPr>
              <w:t>图2 分栏定量饲喂系统</w:t>
            </w:r>
            <w:r>
              <w:rPr>
                <w:rFonts w:hint="eastAsia" w:ascii="方正黑体_GBK" w:hAnsi="方正黑体_GBK" w:eastAsia="方正黑体_GBK" w:cs="方正黑体_GBK"/>
                <w:b w:val="0"/>
                <w:bCs w:val="0"/>
                <w:kern w:val="0"/>
                <w:sz w:val="28"/>
                <w:szCs w:val="28"/>
                <w:lang w:eastAsia="zh-CN"/>
              </w:rPr>
              <w:t>，</w:t>
            </w:r>
            <w:r>
              <w:rPr>
                <w:rFonts w:hint="eastAsia" w:ascii="方正黑体_GBK" w:hAnsi="方正黑体_GBK" w:eastAsia="方正黑体_GBK" w:cs="方正黑体_GBK"/>
                <w:b w:val="0"/>
                <w:bCs w:val="0"/>
                <w:kern w:val="0"/>
                <w:sz w:val="28"/>
                <w:szCs w:val="28"/>
              </w:rPr>
              <w:t>图3 传输带式饲喂系统</w:t>
            </w:r>
            <w:r>
              <w:rPr>
                <w:rFonts w:hint="eastAsia" w:ascii="方正黑体_GBK" w:hAnsi="方正黑体_GBK" w:eastAsia="方正黑体_GBK" w:cs="方正黑体_GBK"/>
                <w:b w:val="0"/>
                <w:bCs w:val="0"/>
                <w:kern w:val="0"/>
                <w:sz w:val="28"/>
                <w:szCs w:val="28"/>
                <w:lang w:eastAsia="zh-CN"/>
              </w:rPr>
              <w:t>，</w:t>
            </w:r>
            <w:r>
              <w:rPr>
                <w:rFonts w:hint="eastAsia" w:ascii="方正黑体_GBK" w:hAnsi="方正黑体_GBK" w:eastAsia="方正黑体_GBK" w:cs="方正黑体_GBK"/>
                <w:b w:val="0"/>
                <w:bCs w:val="0"/>
                <w:kern w:val="0"/>
                <w:sz w:val="28"/>
                <w:szCs w:val="28"/>
              </w:rPr>
              <w:t>图4 散（放）养适用料槽</w:t>
            </w:r>
          </w:p>
        </w:tc>
      </w:tr>
    </w:tbl>
    <w:p w14:paraId="1B8A7BAC">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（三）肉鹅饮水精准供给技术</w:t>
      </w:r>
    </w:p>
    <w:p w14:paraId="7DAEC8D1">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水是鹅重要的营养素，也是重要的自然资源，合理的供水管理技术，不仅能充分发挥鹅的遗传潜能，而且能节约饮水资源。该技术制定了鹅饮水流速、温度、高度、时间等管理参数标准（见下表7）以及配套的新型水线（见图5~6），养殖场（户）可根据自身需求，选配具有自动控制饮水高度、供给时间和温度的水线，实现鹅饮水的精准高效供给。</w:t>
      </w:r>
    </w:p>
    <w:p w14:paraId="5263ADAA">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rPr>
        <w:t>表7 鹅饮水精准供给推荐参数</w:t>
      </w:r>
    </w:p>
    <w:tbl>
      <w:tblPr>
        <w:tblStyle w:val="9"/>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35"/>
        <w:gridCol w:w="2814"/>
        <w:gridCol w:w="4012"/>
      </w:tblGrid>
      <w:tr w14:paraId="44D3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2235" w:type="dxa"/>
            <w:noWrap w:val="0"/>
            <w:tcMar>
              <w:top w:w="15" w:type="dxa"/>
              <w:left w:w="108" w:type="dxa"/>
              <w:bottom w:w="0" w:type="dxa"/>
              <w:right w:w="108" w:type="dxa"/>
            </w:tcMar>
            <w:vAlign w:val="center"/>
          </w:tcPr>
          <w:p w14:paraId="4FD2722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项目</w:t>
            </w:r>
          </w:p>
        </w:tc>
        <w:tc>
          <w:tcPr>
            <w:tcW w:w="2814" w:type="dxa"/>
            <w:noWrap w:val="0"/>
            <w:tcMar>
              <w:top w:w="15" w:type="dxa"/>
              <w:left w:w="108" w:type="dxa"/>
              <w:bottom w:w="0" w:type="dxa"/>
              <w:right w:w="108" w:type="dxa"/>
            </w:tcMar>
            <w:vAlign w:val="center"/>
          </w:tcPr>
          <w:p w14:paraId="6B7CE16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生长阶段</w:t>
            </w:r>
          </w:p>
        </w:tc>
        <w:tc>
          <w:tcPr>
            <w:tcW w:w="4012" w:type="dxa"/>
            <w:noWrap w:val="0"/>
            <w:tcMar>
              <w:top w:w="15" w:type="dxa"/>
              <w:left w:w="108" w:type="dxa"/>
              <w:bottom w:w="0" w:type="dxa"/>
              <w:right w:w="108" w:type="dxa"/>
            </w:tcMar>
            <w:vAlign w:val="center"/>
          </w:tcPr>
          <w:p w14:paraId="5EA4F94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推荐</w:t>
            </w:r>
          </w:p>
        </w:tc>
      </w:tr>
      <w:tr w14:paraId="3D45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2235" w:type="dxa"/>
            <w:noWrap w:val="0"/>
            <w:tcMar>
              <w:top w:w="15" w:type="dxa"/>
              <w:left w:w="108" w:type="dxa"/>
              <w:bottom w:w="0" w:type="dxa"/>
              <w:right w:w="108" w:type="dxa"/>
            </w:tcMar>
            <w:vAlign w:val="center"/>
          </w:tcPr>
          <w:p w14:paraId="567A76F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饮水器类型</w:t>
            </w:r>
          </w:p>
        </w:tc>
        <w:tc>
          <w:tcPr>
            <w:tcW w:w="2814" w:type="dxa"/>
            <w:noWrap w:val="0"/>
            <w:tcMar>
              <w:top w:w="15" w:type="dxa"/>
              <w:left w:w="108" w:type="dxa"/>
              <w:bottom w:w="0" w:type="dxa"/>
              <w:right w:w="108" w:type="dxa"/>
            </w:tcMar>
            <w:vAlign w:val="center"/>
          </w:tcPr>
          <w:p w14:paraId="5B5DF7C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育雏期、生长期</w:t>
            </w:r>
          </w:p>
        </w:tc>
        <w:tc>
          <w:tcPr>
            <w:tcW w:w="4012" w:type="dxa"/>
            <w:noWrap w:val="0"/>
            <w:tcMar>
              <w:top w:w="15" w:type="dxa"/>
              <w:left w:w="108" w:type="dxa"/>
              <w:bottom w:w="0" w:type="dxa"/>
              <w:right w:w="108" w:type="dxa"/>
            </w:tcMar>
            <w:vAlign w:val="center"/>
          </w:tcPr>
          <w:p w14:paraId="644572A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乳头式水线</w:t>
            </w:r>
          </w:p>
        </w:tc>
      </w:tr>
      <w:tr w14:paraId="6D8E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2235" w:type="dxa"/>
            <w:noWrap w:val="0"/>
            <w:tcMar>
              <w:top w:w="15" w:type="dxa"/>
              <w:left w:w="108" w:type="dxa"/>
              <w:bottom w:w="0" w:type="dxa"/>
              <w:right w:w="108" w:type="dxa"/>
            </w:tcMar>
            <w:vAlign w:val="center"/>
          </w:tcPr>
          <w:p w14:paraId="500D9A1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饮水质量</w:t>
            </w:r>
          </w:p>
        </w:tc>
        <w:tc>
          <w:tcPr>
            <w:tcW w:w="2814" w:type="dxa"/>
            <w:noWrap w:val="0"/>
            <w:tcMar>
              <w:top w:w="15" w:type="dxa"/>
              <w:left w:w="108" w:type="dxa"/>
              <w:bottom w:w="0" w:type="dxa"/>
              <w:right w:w="108" w:type="dxa"/>
            </w:tcMar>
            <w:vAlign w:val="center"/>
          </w:tcPr>
          <w:p w14:paraId="1AE66C0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育雏期、生长期</w:t>
            </w:r>
          </w:p>
        </w:tc>
        <w:tc>
          <w:tcPr>
            <w:tcW w:w="4012" w:type="dxa"/>
            <w:noWrap w:val="0"/>
            <w:tcMar>
              <w:top w:w="15" w:type="dxa"/>
              <w:left w:w="108" w:type="dxa"/>
              <w:bottom w:w="0" w:type="dxa"/>
              <w:right w:w="108" w:type="dxa"/>
            </w:tcMar>
            <w:vAlign w:val="center"/>
          </w:tcPr>
          <w:p w14:paraId="5CAB2CD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符合NY 5027-2008</w:t>
            </w:r>
          </w:p>
        </w:tc>
      </w:tr>
      <w:tr w14:paraId="69C3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2235" w:type="dxa"/>
            <w:vMerge w:val="restart"/>
            <w:noWrap w:val="0"/>
            <w:tcMar>
              <w:top w:w="15" w:type="dxa"/>
              <w:left w:w="108" w:type="dxa"/>
              <w:bottom w:w="0" w:type="dxa"/>
              <w:right w:w="108" w:type="dxa"/>
            </w:tcMar>
            <w:vAlign w:val="center"/>
          </w:tcPr>
          <w:p w14:paraId="1C61ABF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日供饮水量</w:t>
            </w:r>
          </w:p>
        </w:tc>
        <w:tc>
          <w:tcPr>
            <w:tcW w:w="2814" w:type="dxa"/>
            <w:noWrap w:val="0"/>
            <w:tcMar>
              <w:top w:w="15" w:type="dxa"/>
              <w:left w:w="108" w:type="dxa"/>
              <w:bottom w:w="0" w:type="dxa"/>
              <w:right w:w="108" w:type="dxa"/>
            </w:tcMar>
            <w:vAlign w:val="center"/>
          </w:tcPr>
          <w:p w14:paraId="5BFF253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育雏期</w:t>
            </w:r>
          </w:p>
        </w:tc>
        <w:tc>
          <w:tcPr>
            <w:tcW w:w="4012" w:type="dxa"/>
            <w:noWrap w:val="0"/>
            <w:tcMar>
              <w:top w:w="15" w:type="dxa"/>
              <w:left w:w="108" w:type="dxa"/>
              <w:bottom w:w="0" w:type="dxa"/>
              <w:right w:w="108" w:type="dxa"/>
            </w:tcMar>
            <w:vAlign w:val="center"/>
          </w:tcPr>
          <w:p w14:paraId="27E7DBF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0.2~0.8L/只</w:t>
            </w:r>
          </w:p>
        </w:tc>
      </w:tr>
      <w:tr w14:paraId="3056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2235" w:type="dxa"/>
            <w:vMerge w:val="continue"/>
            <w:noWrap w:val="0"/>
            <w:tcMar>
              <w:top w:w="15" w:type="dxa"/>
              <w:left w:w="108" w:type="dxa"/>
              <w:bottom w:w="0" w:type="dxa"/>
              <w:right w:w="108" w:type="dxa"/>
            </w:tcMar>
            <w:vAlign w:val="center"/>
          </w:tcPr>
          <w:p w14:paraId="13E6450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814" w:type="dxa"/>
            <w:noWrap w:val="0"/>
            <w:tcMar>
              <w:top w:w="15" w:type="dxa"/>
              <w:left w:w="108" w:type="dxa"/>
              <w:bottom w:w="0" w:type="dxa"/>
              <w:right w:w="108" w:type="dxa"/>
            </w:tcMar>
            <w:vAlign w:val="center"/>
          </w:tcPr>
          <w:p w14:paraId="11E4B1C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生长期</w:t>
            </w:r>
          </w:p>
        </w:tc>
        <w:tc>
          <w:tcPr>
            <w:tcW w:w="4012" w:type="dxa"/>
            <w:noWrap w:val="0"/>
            <w:tcMar>
              <w:top w:w="15" w:type="dxa"/>
              <w:left w:w="108" w:type="dxa"/>
              <w:bottom w:w="0" w:type="dxa"/>
              <w:right w:w="108" w:type="dxa"/>
            </w:tcMar>
            <w:vAlign w:val="center"/>
          </w:tcPr>
          <w:p w14:paraId="14DAC46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高温季节1.5~1.8L/只，低温季节1.2~1.5L/只</w:t>
            </w:r>
          </w:p>
        </w:tc>
      </w:tr>
      <w:tr w14:paraId="3E24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235" w:type="dxa"/>
            <w:noWrap w:val="0"/>
            <w:tcMar>
              <w:top w:w="15" w:type="dxa"/>
              <w:left w:w="108" w:type="dxa"/>
              <w:bottom w:w="0" w:type="dxa"/>
              <w:right w:w="108" w:type="dxa"/>
            </w:tcMar>
            <w:vAlign w:val="center"/>
          </w:tcPr>
          <w:p w14:paraId="79D67B4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饮水pH值</w:t>
            </w:r>
          </w:p>
        </w:tc>
        <w:tc>
          <w:tcPr>
            <w:tcW w:w="2814" w:type="dxa"/>
            <w:noWrap w:val="0"/>
            <w:tcMar>
              <w:top w:w="15" w:type="dxa"/>
              <w:left w:w="108" w:type="dxa"/>
              <w:bottom w:w="0" w:type="dxa"/>
              <w:right w:w="108" w:type="dxa"/>
            </w:tcMar>
            <w:vAlign w:val="center"/>
          </w:tcPr>
          <w:p w14:paraId="1AF2994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育雏期、生长期</w:t>
            </w:r>
          </w:p>
        </w:tc>
        <w:tc>
          <w:tcPr>
            <w:tcW w:w="4012" w:type="dxa"/>
            <w:noWrap w:val="0"/>
            <w:tcMar>
              <w:top w:w="15" w:type="dxa"/>
              <w:left w:w="108" w:type="dxa"/>
              <w:bottom w:w="0" w:type="dxa"/>
              <w:right w:w="108" w:type="dxa"/>
            </w:tcMar>
            <w:vAlign w:val="center"/>
          </w:tcPr>
          <w:p w14:paraId="02490A9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6~9</w:t>
            </w:r>
          </w:p>
        </w:tc>
      </w:tr>
      <w:tr w14:paraId="2235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2235" w:type="dxa"/>
            <w:noWrap w:val="0"/>
            <w:tcMar>
              <w:top w:w="15" w:type="dxa"/>
              <w:left w:w="108" w:type="dxa"/>
              <w:bottom w:w="0" w:type="dxa"/>
              <w:right w:w="108" w:type="dxa"/>
            </w:tcMar>
            <w:vAlign w:val="center"/>
          </w:tcPr>
          <w:p w14:paraId="5B09210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饮水流速</w:t>
            </w:r>
          </w:p>
        </w:tc>
        <w:tc>
          <w:tcPr>
            <w:tcW w:w="2814" w:type="dxa"/>
            <w:noWrap w:val="0"/>
            <w:tcMar>
              <w:top w:w="15" w:type="dxa"/>
              <w:left w:w="108" w:type="dxa"/>
              <w:bottom w:w="0" w:type="dxa"/>
              <w:right w:w="108" w:type="dxa"/>
            </w:tcMar>
            <w:vAlign w:val="center"/>
          </w:tcPr>
          <w:p w14:paraId="2C75B21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育雏期、生长期</w:t>
            </w:r>
          </w:p>
        </w:tc>
        <w:tc>
          <w:tcPr>
            <w:tcW w:w="4012" w:type="dxa"/>
            <w:noWrap w:val="0"/>
            <w:tcMar>
              <w:top w:w="15" w:type="dxa"/>
              <w:left w:w="108" w:type="dxa"/>
              <w:bottom w:w="0" w:type="dxa"/>
              <w:right w:w="108" w:type="dxa"/>
            </w:tcMar>
            <w:vAlign w:val="center"/>
          </w:tcPr>
          <w:p w14:paraId="5C73C26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80mL/min</w:t>
            </w:r>
          </w:p>
        </w:tc>
      </w:tr>
      <w:tr w14:paraId="4647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2235" w:type="dxa"/>
            <w:vMerge w:val="restart"/>
            <w:noWrap w:val="0"/>
            <w:tcMar>
              <w:top w:w="15" w:type="dxa"/>
              <w:left w:w="108" w:type="dxa"/>
              <w:bottom w:w="0" w:type="dxa"/>
              <w:right w:w="108" w:type="dxa"/>
            </w:tcMar>
            <w:vAlign w:val="center"/>
          </w:tcPr>
          <w:p w14:paraId="69D5EE3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饮水温度</w:t>
            </w:r>
          </w:p>
        </w:tc>
        <w:tc>
          <w:tcPr>
            <w:tcW w:w="2814" w:type="dxa"/>
            <w:noWrap w:val="0"/>
            <w:tcMar>
              <w:top w:w="15" w:type="dxa"/>
              <w:left w:w="108" w:type="dxa"/>
              <w:bottom w:w="0" w:type="dxa"/>
              <w:right w:w="108" w:type="dxa"/>
            </w:tcMar>
            <w:vAlign w:val="center"/>
          </w:tcPr>
          <w:p w14:paraId="2B07D67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育雏期</w:t>
            </w:r>
          </w:p>
        </w:tc>
        <w:tc>
          <w:tcPr>
            <w:tcW w:w="4012" w:type="dxa"/>
            <w:noWrap w:val="0"/>
            <w:tcMar>
              <w:top w:w="15" w:type="dxa"/>
              <w:left w:w="108" w:type="dxa"/>
              <w:bottom w:w="0" w:type="dxa"/>
              <w:right w:w="108" w:type="dxa"/>
            </w:tcMar>
            <w:vAlign w:val="center"/>
          </w:tcPr>
          <w:p w14:paraId="382AA9D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育雏温度</w:t>
            </w:r>
          </w:p>
        </w:tc>
      </w:tr>
      <w:tr w14:paraId="6B61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2235" w:type="dxa"/>
            <w:vMerge w:val="continue"/>
            <w:noWrap w:val="0"/>
            <w:tcMar>
              <w:top w:w="15" w:type="dxa"/>
              <w:left w:w="108" w:type="dxa"/>
              <w:bottom w:w="0" w:type="dxa"/>
              <w:right w:w="108" w:type="dxa"/>
            </w:tcMar>
            <w:vAlign w:val="center"/>
          </w:tcPr>
          <w:p w14:paraId="30C2A49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814" w:type="dxa"/>
            <w:noWrap w:val="0"/>
            <w:tcMar>
              <w:top w:w="15" w:type="dxa"/>
              <w:left w:w="108" w:type="dxa"/>
              <w:bottom w:w="0" w:type="dxa"/>
              <w:right w:w="108" w:type="dxa"/>
            </w:tcMar>
            <w:vAlign w:val="center"/>
          </w:tcPr>
          <w:p w14:paraId="69F914F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生长期</w:t>
            </w:r>
          </w:p>
        </w:tc>
        <w:tc>
          <w:tcPr>
            <w:tcW w:w="4012" w:type="dxa"/>
            <w:noWrap w:val="0"/>
            <w:tcMar>
              <w:top w:w="15" w:type="dxa"/>
              <w:left w:w="108" w:type="dxa"/>
              <w:bottom w:w="0" w:type="dxa"/>
              <w:right w:w="108" w:type="dxa"/>
            </w:tcMar>
            <w:vAlign w:val="center"/>
          </w:tcPr>
          <w:p w14:paraId="37BE2A4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高温季节≤28℃，低温季节≥18℃</w:t>
            </w:r>
          </w:p>
        </w:tc>
      </w:tr>
      <w:tr w14:paraId="58C3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2235" w:type="dxa"/>
            <w:noWrap w:val="0"/>
            <w:tcMar>
              <w:top w:w="15" w:type="dxa"/>
              <w:left w:w="108" w:type="dxa"/>
              <w:bottom w:w="0" w:type="dxa"/>
              <w:right w:w="108" w:type="dxa"/>
            </w:tcMar>
            <w:vAlign w:val="center"/>
          </w:tcPr>
          <w:p w14:paraId="5F48C89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饮水嘴角度</w:t>
            </w:r>
          </w:p>
        </w:tc>
        <w:tc>
          <w:tcPr>
            <w:tcW w:w="2814" w:type="dxa"/>
            <w:noWrap w:val="0"/>
            <w:tcMar>
              <w:top w:w="15" w:type="dxa"/>
              <w:left w:w="108" w:type="dxa"/>
              <w:bottom w:w="0" w:type="dxa"/>
              <w:right w:w="108" w:type="dxa"/>
            </w:tcMar>
            <w:vAlign w:val="center"/>
          </w:tcPr>
          <w:p w14:paraId="4AD7F52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育雏期、生长期</w:t>
            </w:r>
          </w:p>
        </w:tc>
        <w:tc>
          <w:tcPr>
            <w:tcW w:w="4012" w:type="dxa"/>
            <w:noWrap w:val="0"/>
            <w:tcMar>
              <w:top w:w="15" w:type="dxa"/>
              <w:left w:w="108" w:type="dxa"/>
              <w:bottom w:w="0" w:type="dxa"/>
              <w:right w:w="108" w:type="dxa"/>
            </w:tcMar>
            <w:vAlign w:val="center"/>
          </w:tcPr>
          <w:p w14:paraId="42F012C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30°</w:t>
            </w:r>
          </w:p>
        </w:tc>
      </w:tr>
      <w:tr w14:paraId="5425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235" w:type="dxa"/>
            <w:noWrap w:val="0"/>
            <w:tcMar>
              <w:top w:w="15" w:type="dxa"/>
              <w:left w:w="108" w:type="dxa"/>
              <w:bottom w:w="0" w:type="dxa"/>
              <w:right w:w="108" w:type="dxa"/>
            </w:tcMar>
            <w:vAlign w:val="center"/>
          </w:tcPr>
          <w:p w14:paraId="0747D58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饮水嘴密度</w:t>
            </w:r>
          </w:p>
        </w:tc>
        <w:tc>
          <w:tcPr>
            <w:tcW w:w="2814" w:type="dxa"/>
            <w:noWrap w:val="0"/>
            <w:tcMar>
              <w:top w:w="15" w:type="dxa"/>
              <w:left w:w="108" w:type="dxa"/>
              <w:bottom w:w="0" w:type="dxa"/>
              <w:right w:w="108" w:type="dxa"/>
            </w:tcMar>
            <w:vAlign w:val="center"/>
          </w:tcPr>
          <w:p w14:paraId="01C5E7F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育雏期、生长期</w:t>
            </w:r>
          </w:p>
        </w:tc>
        <w:tc>
          <w:tcPr>
            <w:tcW w:w="4012" w:type="dxa"/>
            <w:noWrap w:val="0"/>
            <w:tcMar>
              <w:top w:w="15" w:type="dxa"/>
              <w:left w:w="108" w:type="dxa"/>
              <w:bottom w:w="0" w:type="dxa"/>
              <w:right w:w="108" w:type="dxa"/>
            </w:tcMar>
            <w:vAlign w:val="center"/>
          </w:tcPr>
          <w:p w14:paraId="16FEE10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 1个/12只</w:t>
            </w:r>
          </w:p>
        </w:tc>
      </w:tr>
      <w:tr w14:paraId="4F2A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235" w:type="dxa"/>
            <w:vMerge w:val="restart"/>
            <w:noWrap w:val="0"/>
            <w:tcMar>
              <w:top w:w="15" w:type="dxa"/>
              <w:left w:w="108" w:type="dxa"/>
              <w:bottom w:w="0" w:type="dxa"/>
              <w:right w:w="108" w:type="dxa"/>
            </w:tcMar>
            <w:vAlign w:val="center"/>
          </w:tcPr>
          <w:p w14:paraId="09E1819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饮水线高度</w:t>
            </w:r>
          </w:p>
        </w:tc>
        <w:tc>
          <w:tcPr>
            <w:tcW w:w="2814" w:type="dxa"/>
            <w:noWrap w:val="0"/>
            <w:tcMar>
              <w:top w:w="15" w:type="dxa"/>
              <w:left w:w="108" w:type="dxa"/>
              <w:bottom w:w="0" w:type="dxa"/>
              <w:right w:w="108" w:type="dxa"/>
            </w:tcMar>
            <w:vAlign w:val="center"/>
          </w:tcPr>
          <w:p w14:paraId="7D44AC3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育雏期</w:t>
            </w:r>
          </w:p>
        </w:tc>
        <w:tc>
          <w:tcPr>
            <w:tcW w:w="4012" w:type="dxa"/>
            <w:noWrap w:val="0"/>
            <w:tcMar>
              <w:top w:w="15" w:type="dxa"/>
              <w:left w:w="108" w:type="dxa"/>
              <w:bottom w:w="0" w:type="dxa"/>
              <w:right w:w="108" w:type="dxa"/>
            </w:tcMar>
            <w:vAlign w:val="center"/>
          </w:tcPr>
          <w:p w14:paraId="5B8AA07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喙的高度</w:t>
            </w:r>
          </w:p>
        </w:tc>
      </w:tr>
      <w:tr w14:paraId="04F2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235" w:type="dxa"/>
            <w:vMerge w:val="continue"/>
            <w:noWrap w:val="0"/>
            <w:tcMar>
              <w:top w:w="15" w:type="dxa"/>
              <w:left w:w="108" w:type="dxa"/>
              <w:bottom w:w="0" w:type="dxa"/>
              <w:right w:w="108" w:type="dxa"/>
            </w:tcMar>
            <w:vAlign w:val="center"/>
          </w:tcPr>
          <w:p w14:paraId="15E867E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814" w:type="dxa"/>
            <w:noWrap w:val="0"/>
            <w:tcMar>
              <w:top w:w="15" w:type="dxa"/>
              <w:left w:w="108" w:type="dxa"/>
              <w:bottom w:w="0" w:type="dxa"/>
              <w:right w:w="108" w:type="dxa"/>
            </w:tcMar>
            <w:vAlign w:val="center"/>
          </w:tcPr>
          <w:p w14:paraId="7976E7F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生长期</w:t>
            </w:r>
          </w:p>
        </w:tc>
        <w:tc>
          <w:tcPr>
            <w:tcW w:w="4012" w:type="dxa"/>
            <w:noWrap w:val="0"/>
            <w:tcMar>
              <w:top w:w="15" w:type="dxa"/>
              <w:left w:w="108" w:type="dxa"/>
              <w:bottom w:w="0" w:type="dxa"/>
              <w:right w:w="108" w:type="dxa"/>
            </w:tcMar>
            <w:vAlign w:val="center"/>
          </w:tcPr>
          <w:p w14:paraId="766936E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喙高以上4~8cm</w:t>
            </w:r>
          </w:p>
        </w:tc>
      </w:tr>
      <w:tr w14:paraId="075C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235" w:type="dxa"/>
            <w:vMerge w:val="restart"/>
            <w:noWrap w:val="0"/>
            <w:tcMar>
              <w:top w:w="15" w:type="dxa"/>
              <w:left w:w="108" w:type="dxa"/>
              <w:bottom w:w="0" w:type="dxa"/>
              <w:right w:w="108" w:type="dxa"/>
            </w:tcMar>
            <w:vAlign w:val="center"/>
          </w:tcPr>
          <w:p w14:paraId="6C81C3F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饮水供给方式</w:t>
            </w:r>
          </w:p>
        </w:tc>
        <w:tc>
          <w:tcPr>
            <w:tcW w:w="2814" w:type="dxa"/>
            <w:noWrap w:val="0"/>
            <w:tcMar>
              <w:top w:w="15" w:type="dxa"/>
              <w:left w:w="108" w:type="dxa"/>
              <w:bottom w:w="0" w:type="dxa"/>
              <w:right w:w="108" w:type="dxa"/>
            </w:tcMar>
            <w:vAlign w:val="center"/>
          </w:tcPr>
          <w:p w14:paraId="52855F0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育雏期</w:t>
            </w:r>
          </w:p>
        </w:tc>
        <w:tc>
          <w:tcPr>
            <w:tcW w:w="4012" w:type="dxa"/>
            <w:noWrap w:val="0"/>
            <w:tcMar>
              <w:top w:w="15" w:type="dxa"/>
              <w:left w:w="108" w:type="dxa"/>
              <w:bottom w:w="0" w:type="dxa"/>
              <w:right w:w="108" w:type="dxa"/>
            </w:tcMar>
            <w:vAlign w:val="center"/>
          </w:tcPr>
          <w:p w14:paraId="5D66165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连续供水</w:t>
            </w:r>
          </w:p>
        </w:tc>
      </w:tr>
      <w:tr w14:paraId="0AB4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235" w:type="dxa"/>
            <w:vMerge w:val="continue"/>
            <w:noWrap w:val="0"/>
            <w:tcMar>
              <w:top w:w="15" w:type="dxa"/>
              <w:left w:w="108" w:type="dxa"/>
              <w:bottom w:w="0" w:type="dxa"/>
              <w:right w:w="108" w:type="dxa"/>
            </w:tcMar>
            <w:vAlign w:val="center"/>
          </w:tcPr>
          <w:p w14:paraId="41F7541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814" w:type="dxa"/>
            <w:noWrap w:val="0"/>
            <w:tcMar>
              <w:top w:w="15" w:type="dxa"/>
              <w:left w:w="108" w:type="dxa"/>
              <w:bottom w:w="0" w:type="dxa"/>
              <w:right w:w="108" w:type="dxa"/>
            </w:tcMar>
            <w:vAlign w:val="center"/>
          </w:tcPr>
          <w:p w14:paraId="622A7A7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生长期</w:t>
            </w:r>
          </w:p>
        </w:tc>
        <w:tc>
          <w:tcPr>
            <w:tcW w:w="4012" w:type="dxa"/>
            <w:noWrap w:val="0"/>
            <w:tcMar>
              <w:top w:w="15" w:type="dxa"/>
              <w:left w:w="108" w:type="dxa"/>
              <w:bottom w:w="0" w:type="dxa"/>
              <w:right w:w="108" w:type="dxa"/>
            </w:tcMar>
            <w:vAlign w:val="center"/>
          </w:tcPr>
          <w:p w14:paraId="7551A79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供水2h：禁水4h</w:t>
            </w:r>
          </w:p>
        </w:tc>
      </w:tr>
    </w:tbl>
    <w:tbl>
      <w:tblPr>
        <w:tblStyle w:val="10"/>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1"/>
      </w:tblGrid>
      <w:tr w14:paraId="67933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243BF409">
            <w:pPr>
              <w:keepNext w:val="0"/>
              <w:keepLines w:val="0"/>
              <w:pageBreakBefore w:val="0"/>
              <w:widowControl w:val="0"/>
              <w:kinsoku/>
              <w:wordWrap/>
              <w:overflowPunct/>
              <w:topLinePunct w:val="0"/>
              <w:autoSpaceDE/>
              <w:autoSpaceDN/>
              <w:bidi w:val="0"/>
              <w:adjustRightInd/>
              <w:spacing w:beforeAutospacing="0" w:afterAutospacing="0" w:line="240" w:lineRule="auto"/>
              <w:ind w:right="0" w:rightChars="0" w:firstLine="0" w:firstLineChars="0"/>
              <w:jc w:val="center"/>
              <w:textAlignment w:val="auto"/>
              <w:rPr>
                <w:rFonts w:hint="eastAsia" w:ascii="方正黑体_GBK" w:hAnsi="方正黑体_GBK" w:eastAsia="方正黑体_GBK" w:cs="方正黑体_GBK"/>
                <w:b w:val="0"/>
                <w:bCs w:val="0"/>
                <w:sz w:val="28"/>
                <w:szCs w:val="28"/>
                <w:vertAlign w:val="baseline"/>
              </w:rPr>
            </w:pPr>
            <w:r>
              <w:rPr>
                <w:rFonts w:hint="eastAsia" w:ascii="方正黑体_GBK" w:hAnsi="方正黑体_GBK" w:eastAsia="方正黑体_GBK" w:cs="方正黑体_GBK"/>
                <w:sz w:val="28"/>
                <w:szCs w:val="28"/>
              </w:rPr>
              <w:drawing>
                <wp:inline distT="0" distB="0" distL="114300" distR="114300">
                  <wp:extent cx="3543300" cy="981075"/>
                  <wp:effectExtent l="0" t="0" r="0" b="9525"/>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26"/>
                          <a:stretch>
                            <a:fillRect/>
                          </a:stretch>
                        </pic:blipFill>
                        <pic:spPr>
                          <a:xfrm>
                            <a:off x="0" y="0"/>
                            <a:ext cx="3543300" cy="981075"/>
                          </a:xfrm>
                          <a:prstGeom prst="rect">
                            <a:avLst/>
                          </a:prstGeom>
                          <a:noFill/>
                          <a:ln>
                            <a:noFill/>
                          </a:ln>
                        </pic:spPr>
                      </pic:pic>
                    </a:graphicData>
                  </a:graphic>
                </wp:inline>
              </w:drawing>
            </w:r>
          </w:p>
        </w:tc>
      </w:tr>
      <w:tr w14:paraId="53BB6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07937525">
            <w:pPr>
              <w:keepNext w:val="0"/>
              <w:keepLines w:val="0"/>
              <w:pageBreakBefore w:val="0"/>
              <w:widowControl w:val="0"/>
              <w:kinsoku/>
              <w:wordWrap/>
              <w:overflowPunct/>
              <w:topLinePunct w:val="0"/>
              <w:autoSpaceDE/>
              <w:autoSpaceDN/>
              <w:bidi w:val="0"/>
              <w:adjustRightInd/>
              <w:spacing w:beforeAutospacing="0" w:afterAutospacing="0" w:line="240" w:lineRule="auto"/>
              <w:ind w:right="0" w:rightChars="0" w:firstLine="0" w:firstLineChars="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b w:val="0"/>
                <w:bCs w:val="0"/>
                <w:sz w:val="28"/>
                <w:szCs w:val="28"/>
              </w:rPr>
              <w:t>图5可调节放置高度、供水时间的水线</w:t>
            </w:r>
          </w:p>
        </w:tc>
      </w:tr>
      <w:tr w14:paraId="022A8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3E817223">
            <w:pPr>
              <w:keepNext w:val="0"/>
              <w:keepLines w:val="0"/>
              <w:pageBreakBefore w:val="0"/>
              <w:widowControl w:val="0"/>
              <w:kinsoku/>
              <w:wordWrap/>
              <w:overflowPunct/>
              <w:topLinePunct w:val="0"/>
              <w:autoSpaceDE/>
              <w:autoSpaceDN/>
              <w:bidi w:val="0"/>
              <w:adjustRightInd/>
              <w:spacing w:beforeAutospacing="0" w:afterAutospacing="0" w:line="240" w:lineRule="auto"/>
              <w:ind w:right="0" w:rightChars="0" w:firstLine="0" w:firstLineChars="0"/>
              <w:jc w:val="center"/>
              <w:textAlignment w:val="auto"/>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sz w:val="28"/>
                <w:szCs w:val="28"/>
              </w:rPr>
              <w:drawing>
                <wp:inline distT="0" distB="0" distL="114300" distR="114300">
                  <wp:extent cx="2028825" cy="1057275"/>
                  <wp:effectExtent l="0" t="0" r="9525" b="9525"/>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27"/>
                          <a:stretch>
                            <a:fillRect/>
                          </a:stretch>
                        </pic:blipFill>
                        <pic:spPr>
                          <a:xfrm>
                            <a:off x="0" y="0"/>
                            <a:ext cx="2028825" cy="1057275"/>
                          </a:xfrm>
                          <a:prstGeom prst="rect">
                            <a:avLst/>
                          </a:prstGeom>
                          <a:noFill/>
                          <a:ln>
                            <a:noFill/>
                          </a:ln>
                        </pic:spPr>
                      </pic:pic>
                    </a:graphicData>
                  </a:graphic>
                </wp:inline>
              </w:drawing>
            </w:r>
          </w:p>
        </w:tc>
      </w:tr>
      <w:tr w14:paraId="73A44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495BA18C">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b w:val="0"/>
                <w:bCs w:val="0"/>
                <w:sz w:val="28"/>
                <w:szCs w:val="28"/>
              </w:rPr>
              <w:t>图6 自动控温水线</w:t>
            </w:r>
          </w:p>
        </w:tc>
      </w:tr>
    </w:tbl>
    <w:p w14:paraId="6EBCE4A7">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（四）肉鹅环境精准管理技术</w:t>
      </w:r>
    </w:p>
    <w:p w14:paraId="60AD281E">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鹅舍环境对鹅生长发育和健康至关重要，该技术系统确定了鹅不同生长阶段饲养密度、温度和光照等养殖环境管理参数以及相关设备（见下表8）。推荐使用可按照既定程序自动控制光照时间、强度和波长的光照控制系统，并配置可根据室内环境情况自动调节门窗开闭的联动门窗。</w:t>
      </w:r>
    </w:p>
    <w:p w14:paraId="26733D5A">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rPr>
        <w:t>表8 鹅环境控制推荐参数</w:t>
      </w:r>
    </w:p>
    <w:tbl>
      <w:tblPr>
        <w:tblStyle w:val="9"/>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71"/>
        <w:gridCol w:w="2607"/>
        <w:gridCol w:w="3716"/>
      </w:tblGrid>
      <w:tr w14:paraId="69FF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2071" w:type="dxa"/>
            <w:noWrap w:val="0"/>
            <w:tcMar>
              <w:top w:w="15" w:type="dxa"/>
              <w:left w:w="108" w:type="dxa"/>
              <w:bottom w:w="0" w:type="dxa"/>
              <w:right w:w="108" w:type="dxa"/>
            </w:tcMar>
            <w:vAlign w:val="center"/>
          </w:tcPr>
          <w:p w14:paraId="5E4366B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项目</w:t>
            </w:r>
          </w:p>
        </w:tc>
        <w:tc>
          <w:tcPr>
            <w:tcW w:w="2607" w:type="dxa"/>
            <w:noWrap w:val="0"/>
            <w:tcMar>
              <w:top w:w="15" w:type="dxa"/>
              <w:left w:w="108" w:type="dxa"/>
              <w:bottom w:w="0" w:type="dxa"/>
              <w:right w:w="108" w:type="dxa"/>
            </w:tcMar>
            <w:vAlign w:val="center"/>
          </w:tcPr>
          <w:p w14:paraId="452601E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日龄/d</w:t>
            </w:r>
          </w:p>
        </w:tc>
        <w:tc>
          <w:tcPr>
            <w:tcW w:w="3716" w:type="dxa"/>
            <w:noWrap w:val="0"/>
            <w:tcMar>
              <w:top w:w="15" w:type="dxa"/>
              <w:left w:w="108" w:type="dxa"/>
              <w:bottom w:w="0" w:type="dxa"/>
              <w:right w:w="108" w:type="dxa"/>
            </w:tcMar>
            <w:vAlign w:val="center"/>
          </w:tcPr>
          <w:p w14:paraId="17E7D98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推荐</w:t>
            </w:r>
          </w:p>
        </w:tc>
      </w:tr>
      <w:tr w14:paraId="1245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2071" w:type="dxa"/>
            <w:vMerge w:val="restart"/>
            <w:noWrap w:val="0"/>
            <w:tcMar>
              <w:top w:w="15" w:type="dxa"/>
              <w:left w:w="108" w:type="dxa"/>
              <w:bottom w:w="0" w:type="dxa"/>
              <w:right w:w="108" w:type="dxa"/>
            </w:tcMar>
            <w:vAlign w:val="center"/>
          </w:tcPr>
          <w:p w14:paraId="4908102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饲养温度</w:t>
            </w:r>
          </w:p>
        </w:tc>
        <w:tc>
          <w:tcPr>
            <w:tcW w:w="2607" w:type="dxa"/>
            <w:noWrap w:val="0"/>
            <w:tcMar>
              <w:top w:w="15" w:type="dxa"/>
              <w:left w:w="108" w:type="dxa"/>
              <w:bottom w:w="0" w:type="dxa"/>
              <w:right w:w="108" w:type="dxa"/>
            </w:tcMar>
            <w:vAlign w:val="center"/>
          </w:tcPr>
          <w:p w14:paraId="4D16F09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w:t>
            </w:r>
          </w:p>
        </w:tc>
        <w:tc>
          <w:tcPr>
            <w:tcW w:w="3716" w:type="dxa"/>
            <w:noWrap w:val="0"/>
            <w:tcMar>
              <w:top w:w="15" w:type="dxa"/>
              <w:left w:w="108" w:type="dxa"/>
              <w:bottom w:w="0" w:type="dxa"/>
              <w:right w:w="108" w:type="dxa"/>
            </w:tcMar>
            <w:vAlign w:val="center"/>
          </w:tcPr>
          <w:p w14:paraId="1AA8F19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29~30℃</w:t>
            </w:r>
          </w:p>
        </w:tc>
      </w:tr>
      <w:tr w14:paraId="513D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2071" w:type="dxa"/>
            <w:vMerge w:val="continue"/>
            <w:noWrap w:val="0"/>
            <w:tcMar>
              <w:top w:w="15" w:type="dxa"/>
              <w:left w:w="108" w:type="dxa"/>
              <w:bottom w:w="0" w:type="dxa"/>
              <w:right w:w="108" w:type="dxa"/>
            </w:tcMar>
            <w:vAlign w:val="center"/>
          </w:tcPr>
          <w:p w14:paraId="6E5DB3C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607" w:type="dxa"/>
            <w:noWrap w:val="0"/>
            <w:tcMar>
              <w:top w:w="15" w:type="dxa"/>
              <w:left w:w="108" w:type="dxa"/>
              <w:bottom w:w="0" w:type="dxa"/>
              <w:right w:w="108" w:type="dxa"/>
            </w:tcMar>
            <w:vAlign w:val="center"/>
          </w:tcPr>
          <w:p w14:paraId="68BC22A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4~7</w:t>
            </w:r>
          </w:p>
        </w:tc>
        <w:tc>
          <w:tcPr>
            <w:tcW w:w="3716" w:type="dxa"/>
            <w:noWrap w:val="0"/>
            <w:tcMar>
              <w:top w:w="15" w:type="dxa"/>
              <w:left w:w="108" w:type="dxa"/>
              <w:bottom w:w="0" w:type="dxa"/>
              <w:right w:w="108" w:type="dxa"/>
            </w:tcMar>
            <w:vAlign w:val="center"/>
          </w:tcPr>
          <w:p w14:paraId="1502C4B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28℃</w:t>
            </w:r>
          </w:p>
        </w:tc>
      </w:tr>
      <w:tr w14:paraId="3ECD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vMerge w:val="continue"/>
            <w:noWrap w:val="0"/>
            <w:tcMar>
              <w:top w:w="15" w:type="dxa"/>
              <w:left w:w="108" w:type="dxa"/>
              <w:bottom w:w="0" w:type="dxa"/>
              <w:right w:w="108" w:type="dxa"/>
            </w:tcMar>
            <w:vAlign w:val="center"/>
          </w:tcPr>
          <w:p w14:paraId="154C9FC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607" w:type="dxa"/>
            <w:noWrap w:val="0"/>
            <w:tcMar>
              <w:top w:w="15" w:type="dxa"/>
              <w:left w:w="108" w:type="dxa"/>
              <w:bottom w:w="0" w:type="dxa"/>
              <w:right w:w="108" w:type="dxa"/>
            </w:tcMar>
            <w:vAlign w:val="center"/>
          </w:tcPr>
          <w:p w14:paraId="4DC117C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8~14</w:t>
            </w:r>
          </w:p>
        </w:tc>
        <w:tc>
          <w:tcPr>
            <w:tcW w:w="3716" w:type="dxa"/>
            <w:noWrap w:val="0"/>
            <w:tcMar>
              <w:top w:w="15" w:type="dxa"/>
              <w:left w:w="108" w:type="dxa"/>
              <w:bottom w:w="0" w:type="dxa"/>
              <w:right w:w="108" w:type="dxa"/>
            </w:tcMar>
            <w:vAlign w:val="center"/>
          </w:tcPr>
          <w:p w14:paraId="2D6FA8B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26~28℃</w:t>
            </w:r>
          </w:p>
        </w:tc>
      </w:tr>
      <w:tr w14:paraId="67DC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2071" w:type="dxa"/>
            <w:vMerge w:val="continue"/>
            <w:noWrap w:val="0"/>
            <w:tcMar>
              <w:top w:w="15" w:type="dxa"/>
              <w:left w:w="108" w:type="dxa"/>
              <w:bottom w:w="0" w:type="dxa"/>
              <w:right w:w="108" w:type="dxa"/>
            </w:tcMar>
            <w:vAlign w:val="center"/>
          </w:tcPr>
          <w:p w14:paraId="3477DE2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607" w:type="dxa"/>
            <w:noWrap w:val="0"/>
            <w:tcMar>
              <w:top w:w="15" w:type="dxa"/>
              <w:left w:w="108" w:type="dxa"/>
              <w:bottom w:w="0" w:type="dxa"/>
              <w:right w:w="108" w:type="dxa"/>
            </w:tcMar>
            <w:vAlign w:val="center"/>
          </w:tcPr>
          <w:p w14:paraId="0399F19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15~28</w:t>
            </w:r>
          </w:p>
        </w:tc>
        <w:tc>
          <w:tcPr>
            <w:tcW w:w="3716" w:type="dxa"/>
            <w:noWrap w:val="0"/>
            <w:tcMar>
              <w:top w:w="15" w:type="dxa"/>
              <w:left w:w="108" w:type="dxa"/>
              <w:bottom w:w="0" w:type="dxa"/>
              <w:right w:w="108" w:type="dxa"/>
            </w:tcMar>
            <w:vAlign w:val="center"/>
          </w:tcPr>
          <w:p w14:paraId="621E018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26℃</w:t>
            </w:r>
          </w:p>
        </w:tc>
      </w:tr>
      <w:tr w14:paraId="6948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2071" w:type="dxa"/>
            <w:vMerge w:val="continue"/>
            <w:noWrap w:val="0"/>
            <w:tcMar>
              <w:top w:w="15" w:type="dxa"/>
              <w:left w:w="108" w:type="dxa"/>
              <w:bottom w:w="0" w:type="dxa"/>
              <w:right w:w="108" w:type="dxa"/>
            </w:tcMar>
            <w:vAlign w:val="center"/>
          </w:tcPr>
          <w:p w14:paraId="7D934C3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607" w:type="dxa"/>
            <w:noWrap w:val="0"/>
            <w:tcMar>
              <w:top w:w="15" w:type="dxa"/>
              <w:left w:w="108" w:type="dxa"/>
              <w:bottom w:w="0" w:type="dxa"/>
              <w:right w:w="108" w:type="dxa"/>
            </w:tcMar>
            <w:vAlign w:val="center"/>
          </w:tcPr>
          <w:p w14:paraId="000C10B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29~49</w:t>
            </w:r>
          </w:p>
        </w:tc>
        <w:tc>
          <w:tcPr>
            <w:tcW w:w="3716" w:type="dxa"/>
            <w:noWrap w:val="0"/>
            <w:tcMar>
              <w:top w:w="15" w:type="dxa"/>
              <w:left w:w="108" w:type="dxa"/>
              <w:bottom w:w="0" w:type="dxa"/>
              <w:right w:w="108" w:type="dxa"/>
            </w:tcMar>
            <w:vAlign w:val="center"/>
          </w:tcPr>
          <w:p w14:paraId="7CACD2E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≤25℃</w:t>
            </w:r>
          </w:p>
        </w:tc>
      </w:tr>
      <w:tr w14:paraId="7FDD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vMerge w:val="continue"/>
            <w:noWrap w:val="0"/>
            <w:tcMar>
              <w:top w:w="15" w:type="dxa"/>
              <w:left w:w="108" w:type="dxa"/>
              <w:bottom w:w="0" w:type="dxa"/>
              <w:right w:w="108" w:type="dxa"/>
            </w:tcMar>
            <w:vAlign w:val="center"/>
          </w:tcPr>
          <w:p w14:paraId="78340D2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607" w:type="dxa"/>
            <w:noWrap w:val="0"/>
            <w:tcMar>
              <w:top w:w="15" w:type="dxa"/>
              <w:left w:w="108" w:type="dxa"/>
              <w:bottom w:w="0" w:type="dxa"/>
              <w:right w:w="108" w:type="dxa"/>
            </w:tcMar>
            <w:vAlign w:val="center"/>
          </w:tcPr>
          <w:p w14:paraId="1E2E555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50~70</w:t>
            </w:r>
          </w:p>
        </w:tc>
        <w:tc>
          <w:tcPr>
            <w:tcW w:w="3716" w:type="dxa"/>
            <w:noWrap w:val="0"/>
            <w:tcMar>
              <w:top w:w="15" w:type="dxa"/>
              <w:left w:w="108" w:type="dxa"/>
              <w:bottom w:w="0" w:type="dxa"/>
              <w:right w:w="108" w:type="dxa"/>
            </w:tcMar>
            <w:vAlign w:val="center"/>
          </w:tcPr>
          <w:p w14:paraId="5EAF99B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室温</w:t>
            </w:r>
          </w:p>
        </w:tc>
      </w:tr>
      <w:tr w14:paraId="274A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vMerge w:val="restart"/>
            <w:noWrap w:val="0"/>
            <w:tcMar>
              <w:top w:w="15" w:type="dxa"/>
              <w:left w:w="108" w:type="dxa"/>
              <w:bottom w:w="0" w:type="dxa"/>
              <w:right w:w="108" w:type="dxa"/>
            </w:tcMar>
            <w:vAlign w:val="center"/>
          </w:tcPr>
          <w:p w14:paraId="1219091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光照时间</w:t>
            </w:r>
          </w:p>
        </w:tc>
        <w:tc>
          <w:tcPr>
            <w:tcW w:w="2607" w:type="dxa"/>
            <w:noWrap w:val="0"/>
            <w:tcMar>
              <w:top w:w="15" w:type="dxa"/>
              <w:left w:w="108" w:type="dxa"/>
              <w:bottom w:w="0" w:type="dxa"/>
              <w:right w:w="108" w:type="dxa"/>
            </w:tcMar>
            <w:vAlign w:val="center"/>
          </w:tcPr>
          <w:p w14:paraId="56AD00B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w:t>
            </w:r>
          </w:p>
        </w:tc>
        <w:tc>
          <w:tcPr>
            <w:tcW w:w="3716" w:type="dxa"/>
            <w:noWrap w:val="0"/>
            <w:tcMar>
              <w:top w:w="15" w:type="dxa"/>
              <w:left w:w="108" w:type="dxa"/>
              <w:bottom w:w="0" w:type="dxa"/>
              <w:right w:w="108" w:type="dxa"/>
            </w:tcMar>
            <w:vAlign w:val="center"/>
          </w:tcPr>
          <w:p w14:paraId="5834F09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24h</w:t>
            </w:r>
          </w:p>
        </w:tc>
      </w:tr>
      <w:tr w14:paraId="207F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vMerge w:val="continue"/>
            <w:noWrap w:val="0"/>
            <w:tcMar>
              <w:top w:w="15" w:type="dxa"/>
              <w:left w:w="108" w:type="dxa"/>
              <w:bottom w:w="0" w:type="dxa"/>
              <w:right w:w="108" w:type="dxa"/>
            </w:tcMar>
            <w:vAlign w:val="center"/>
          </w:tcPr>
          <w:p w14:paraId="4E06C24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607" w:type="dxa"/>
            <w:noWrap w:val="0"/>
            <w:tcMar>
              <w:top w:w="15" w:type="dxa"/>
              <w:left w:w="108" w:type="dxa"/>
              <w:bottom w:w="0" w:type="dxa"/>
              <w:right w:w="108" w:type="dxa"/>
            </w:tcMar>
            <w:vAlign w:val="center"/>
          </w:tcPr>
          <w:p w14:paraId="72D4924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w:t>
            </w:r>
          </w:p>
        </w:tc>
        <w:tc>
          <w:tcPr>
            <w:tcW w:w="3716" w:type="dxa"/>
            <w:noWrap w:val="0"/>
            <w:tcMar>
              <w:top w:w="15" w:type="dxa"/>
              <w:left w:w="108" w:type="dxa"/>
              <w:bottom w:w="0" w:type="dxa"/>
              <w:right w:w="108" w:type="dxa"/>
            </w:tcMar>
            <w:vAlign w:val="center"/>
          </w:tcPr>
          <w:p w14:paraId="07C2787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22h</w:t>
            </w:r>
          </w:p>
        </w:tc>
      </w:tr>
      <w:tr w14:paraId="3DE6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vMerge w:val="continue"/>
            <w:noWrap w:val="0"/>
            <w:tcMar>
              <w:top w:w="15" w:type="dxa"/>
              <w:left w:w="108" w:type="dxa"/>
              <w:bottom w:w="0" w:type="dxa"/>
              <w:right w:w="108" w:type="dxa"/>
            </w:tcMar>
            <w:vAlign w:val="center"/>
          </w:tcPr>
          <w:p w14:paraId="25F614B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607" w:type="dxa"/>
            <w:noWrap w:val="0"/>
            <w:tcMar>
              <w:top w:w="15" w:type="dxa"/>
              <w:left w:w="108" w:type="dxa"/>
              <w:bottom w:w="0" w:type="dxa"/>
              <w:right w:w="108" w:type="dxa"/>
            </w:tcMar>
            <w:vAlign w:val="center"/>
          </w:tcPr>
          <w:p w14:paraId="593F850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w:t>
            </w:r>
          </w:p>
        </w:tc>
        <w:tc>
          <w:tcPr>
            <w:tcW w:w="3716" w:type="dxa"/>
            <w:noWrap w:val="0"/>
            <w:tcMar>
              <w:top w:w="15" w:type="dxa"/>
              <w:left w:w="108" w:type="dxa"/>
              <w:bottom w:w="0" w:type="dxa"/>
              <w:right w:w="108" w:type="dxa"/>
            </w:tcMar>
            <w:vAlign w:val="center"/>
          </w:tcPr>
          <w:p w14:paraId="3A085A0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20h</w:t>
            </w:r>
          </w:p>
        </w:tc>
      </w:tr>
      <w:tr w14:paraId="7B84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vMerge w:val="continue"/>
            <w:noWrap w:val="0"/>
            <w:tcMar>
              <w:top w:w="15" w:type="dxa"/>
              <w:left w:w="108" w:type="dxa"/>
              <w:bottom w:w="0" w:type="dxa"/>
              <w:right w:w="108" w:type="dxa"/>
            </w:tcMar>
            <w:vAlign w:val="center"/>
          </w:tcPr>
          <w:p w14:paraId="221D198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607" w:type="dxa"/>
            <w:noWrap w:val="0"/>
            <w:tcMar>
              <w:top w:w="15" w:type="dxa"/>
              <w:left w:w="108" w:type="dxa"/>
              <w:bottom w:w="0" w:type="dxa"/>
              <w:right w:w="108" w:type="dxa"/>
            </w:tcMar>
            <w:vAlign w:val="center"/>
          </w:tcPr>
          <w:p w14:paraId="7FA87F7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w:t>
            </w:r>
          </w:p>
        </w:tc>
        <w:tc>
          <w:tcPr>
            <w:tcW w:w="3716" w:type="dxa"/>
            <w:noWrap w:val="0"/>
            <w:tcMar>
              <w:top w:w="15" w:type="dxa"/>
              <w:left w:w="108" w:type="dxa"/>
              <w:bottom w:w="0" w:type="dxa"/>
              <w:right w:w="108" w:type="dxa"/>
            </w:tcMar>
            <w:vAlign w:val="center"/>
          </w:tcPr>
          <w:p w14:paraId="71EEAA8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18h</w:t>
            </w:r>
          </w:p>
        </w:tc>
      </w:tr>
      <w:tr w14:paraId="29C4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vMerge w:val="continue"/>
            <w:noWrap w:val="0"/>
            <w:tcMar>
              <w:top w:w="15" w:type="dxa"/>
              <w:left w:w="108" w:type="dxa"/>
              <w:bottom w:w="0" w:type="dxa"/>
              <w:right w:w="108" w:type="dxa"/>
            </w:tcMar>
            <w:vAlign w:val="center"/>
          </w:tcPr>
          <w:p w14:paraId="1588266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607" w:type="dxa"/>
            <w:noWrap w:val="0"/>
            <w:tcMar>
              <w:top w:w="15" w:type="dxa"/>
              <w:left w:w="108" w:type="dxa"/>
              <w:bottom w:w="0" w:type="dxa"/>
              <w:right w:w="108" w:type="dxa"/>
            </w:tcMar>
            <w:vAlign w:val="center"/>
          </w:tcPr>
          <w:p w14:paraId="320EC3B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7~70</w:t>
            </w:r>
          </w:p>
        </w:tc>
        <w:tc>
          <w:tcPr>
            <w:tcW w:w="3716" w:type="dxa"/>
            <w:noWrap w:val="0"/>
            <w:tcMar>
              <w:top w:w="15" w:type="dxa"/>
              <w:left w:w="108" w:type="dxa"/>
              <w:bottom w:w="0" w:type="dxa"/>
              <w:right w:w="108" w:type="dxa"/>
            </w:tcMar>
            <w:vAlign w:val="center"/>
          </w:tcPr>
          <w:p w14:paraId="76FB2BD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16h</w:t>
            </w:r>
          </w:p>
        </w:tc>
      </w:tr>
      <w:tr w14:paraId="6EDF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noWrap w:val="0"/>
            <w:tcMar>
              <w:top w:w="15" w:type="dxa"/>
              <w:left w:w="108" w:type="dxa"/>
              <w:bottom w:w="0" w:type="dxa"/>
              <w:right w:w="108" w:type="dxa"/>
            </w:tcMar>
            <w:vAlign w:val="center"/>
          </w:tcPr>
          <w:p w14:paraId="7D07A6A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光照强度</w:t>
            </w:r>
          </w:p>
        </w:tc>
        <w:tc>
          <w:tcPr>
            <w:tcW w:w="2607" w:type="dxa"/>
            <w:noWrap w:val="0"/>
            <w:tcMar>
              <w:top w:w="15" w:type="dxa"/>
              <w:left w:w="108" w:type="dxa"/>
              <w:bottom w:w="0" w:type="dxa"/>
              <w:right w:w="108" w:type="dxa"/>
            </w:tcMar>
            <w:vAlign w:val="center"/>
          </w:tcPr>
          <w:p w14:paraId="6F127A4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1~70</w:t>
            </w:r>
          </w:p>
        </w:tc>
        <w:tc>
          <w:tcPr>
            <w:tcW w:w="3716" w:type="dxa"/>
            <w:noWrap w:val="0"/>
            <w:tcMar>
              <w:top w:w="15" w:type="dxa"/>
              <w:left w:w="108" w:type="dxa"/>
              <w:bottom w:w="0" w:type="dxa"/>
              <w:right w:w="108" w:type="dxa"/>
            </w:tcMar>
            <w:vAlign w:val="center"/>
          </w:tcPr>
          <w:p w14:paraId="67795BC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20~30lux</w:t>
            </w:r>
          </w:p>
        </w:tc>
      </w:tr>
      <w:tr w14:paraId="4E14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noWrap w:val="0"/>
            <w:tcMar>
              <w:top w:w="15" w:type="dxa"/>
              <w:left w:w="108" w:type="dxa"/>
              <w:bottom w:w="0" w:type="dxa"/>
              <w:right w:w="108" w:type="dxa"/>
            </w:tcMar>
            <w:vAlign w:val="center"/>
          </w:tcPr>
          <w:p w14:paraId="72A90D7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光照方式</w:t>
            </w:r>
          </w:p>
        </w:tc>
        <w:tc>
          <w:tcPr>
            <w:tcW w:w="2607" w:type="dxa"/>
            <w:noWrap w:val="0"/>
            <w:tcMar>
              <w:top w:w="15" w:type="dxa"/>
              <w:left w:w="108" w:type="dxa"/>
              <w:bottom w:w="0" w:type="dxa"/>
              <w:right w:w="108" w:type="dxa"/>
            </w:tcMar>
            <w:vAlign w:val="center"/>
          </w:tcPr>
          <w:p w14:paraId="5505146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1~70</w:t>
            </w:r>
          </w:p>
        </w:tc>
        <w:tc>
          <w:tcPr>
            <w:tcW w:w="3716" w:type="dxa"/>
            <w:noWrap w:val="0"/>
            <w:tcMar>
              <w:top w:w="15" w:type="dxa"/>
              <w:left w:w="108" w:type="dxa"/>
              <w:bottom w:w="0" w:type="dxa"/>
              <w:right w:w="108" w:type="dxa"/>
            </w:tcMar>
            <w:vAlign w:val="center"/>
          </w:tcPr>
          <w:p w14:paraId="7FC9EA0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人工补光+自然光照</w:t>
            </w:r>
          </w:p>
        </w:tc>
      </w:tr>
      <w:tr w14:paraId="502A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vMerge w:val="restart"/>
            <w:noWrap w:val="0"/>
            <w:tcMar>
              <w:top w:w="15" w:type="dxa"/>
              <w:left w:w="108" w:type="dxa"/>
              <w:bottom w:w="0" w:type="dxa"/>
              <w:right w:w="108" w:type="dxa"/>
            </w:tcMar>
            <w:vAlign w:val="center"/>
          </w:tcPr>
          <w:p w14:paraId="7BB0957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饲养密度</w:t>
            </w:r>
          </w:p>
        </w:tc>
        <w:tc>
          <w:tcPr>
            <w:tcW w:w="2607" w:type="dxa"/>
            <w:noWrap w:val="0"/>
            <w:tcMar>
              <w:top w:w="15" w:type="dxa"/>
              <w:left w:w="108" w:type="dxa"/>
              <w:bottom w:w="0" w:type="dxa"/>
              <w:right w:w="108" w:type="dxa"/>
            </w:tcMar>
            <w:vAlign w:val="center"/>
          </w:tcPr>
          <w:p w14:paraId="27D056E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1~14</w:t>
            </w:r>
          </w:p>
        </w:tc>
        <w:tc>
          <w:tcPr>
            <w:tcW w:w="3716" w:type="dxa"/>
            <w:noWrap w:val="0"/>
            <w:tcMar>
              <w:top w:w="15" w:type="dxa"/>
              <w:left w:w="108" w:type="dxa"/>
              <w:bottom w:w="0" w:type="dxa"/>
              <w:right w:w="108" w:type="dxa"/>
            </w:tcMar>
            <w:vAlign w:val="center"/>
          </w:tcPr>
          <w:p w14:paraId="03C7271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20只/m2</w:t>
            </w:r>
          </w:p>
        </w:tc>
      </w:tr>
      <w:tr w14:paraId="2413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vMerge w:val="continue"/>
            <w:noWrap w:val="0"/>
            <w:tcMar>
              <w:top w:w="15" w:type="dxa"/>
              <w:left w:w="108" w:type="dxa"/>
              <w:bottom w:w="0" w:type="dxa"/>
              <w:right w:w="108" w:type="dxa"/>
            </w:tcMar>
            <w:vAlign w:val="center"/>
          </w:tcPr>
          <w:p w14:paraId="404F15F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607" w:type="dxa"/>
            <w:noWrap w:val="0"/>
            <w:tcMar>
              <w:top w:w="15" w:type="dxa"/>
              <w:left w:w="108" w:type="dxa"/>
              <w:bottom w:w="0" w:type="dxa"/>
              <w:right w:w="108" w:type="dxa"/>
            </w:tcMar>
            <w:vAlign w:val="center"/>
          </w:tcPr>
          <w:p w14:paraId="0D80009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15~28</w:t>
            </w:r>
          </w:p>
        </w:tc>
        <w:tc>
          <w:tcPr>
            <w:tcW w:w="3716" w:type="dxa"/>
            <w:noWrap w:val="0"/>
            <w:tcMar>
              <w:top w:w="15" w:type="dxa"/>
              <w:left w:w="108" w:type="dxa"/>
              <w:bottom w:w="0" w:type="dxa"/>
              <w:right w:w="108" w:type="dxa"/>
            </w:tcMar>
            <w:vAlign w:val="center"/>
          </w:tcPr>
          <w:p w14:paraId="663CBE7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8只/m2</w:t>
            </w:r>
          </w:p>
        </w:tc>
      </w:tr>
      <w:tr w14:paraId="79ED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vMerge w:val="continue"/>
            <w:noWrap w:val="0"/>
            <w:tcMar>
              <w:top w:w="15" w:type="dxa"/>
              <w:left w:w="108" w:type="dxa"/>
              <w:bottom w:w="0" w:type="dxa"/>
              <w:right w:w="108" w:type="dxa"/>
            </w:tcMar>
            <w:vAlign w:val="center"/>
          </w:tcPr>
          <w:p w14:paraId="50F0999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607" w:type="dxa"/>
            <w:noWrap w:val="0"/>
            <w:tcMar>
              <w:top w:w="15" w:type="dxa"/>
              <w:left w:w="108" w:type="dxa"/>
              <w:bottom w:w="0" w:type="dxa"/>
              <w:right w:w="108" w:type="dxa"/>
            </w:tcMar>
            <w:vAlign w:val="center"/>
          </w:tcPr>
          <w:p w14:paraId="0CDD893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29~49</w:t>
            </w:r>
          </w:p>
        </w:tc>
        <w:tc>
          <w:tcPr>
            <w:tcW w:w="3716" w:type="dxa"/>
            <w:noWrap w:val="0"/>
            <w:tcMar>
              <w:top w:w="15" w:type="dxa"/>
              <w:left w:w="108" w:type="dxa"/>
              <w:bottom w:w="0" w:type="dxa"/>
              <w:right w:w="108" w:type="dxa"/>
            </w:tcMar>
            <w:vAlign w:val="center"/>
          </w:tcPr>
          <w:p w14:paraId="4B0FAAF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5只/m2</w:t>
            </w:r>
          </w:p>
        </w:tc>
      </w:tr>
      <w:tr w14:paraId="0420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071" w:type="dxa"/>
            <w:vMerge w:val="continue"/>
            <w:noWrap w:val="0"/>
            <w:tcMar>
              <w:top w:w="15" w:type="dxa"/>
              <w:left w:w="108" w:type="dxa"/>
              <w:bottom w:w="0" w:type="dxa"/>
              <w:right w:w="108" w:type="dxa"/>
            </w:tcMar>
            <w:vAlign w:val="center"/>
          </w:tcPr>
          <w:p w14:paraId="59F6D11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p>
        </w:tc>
        <w:tc>
          <w:tcPr>
            <w:tcW w:w="2607" w:type="dxa"/>
            <w:noWrap w:val="0"/>
            <w:tcMar>
              <w:top w:w="15" w:type="dxa"/>
              <w:left w:w="108" w:type="dxa"/>
              <w:bottom w:w="0" w:type="dxa"/>
              <w:right w:w="108" w:type="dxa"/>
            </w:tcMar>
            <w:vAlign w:val="center"/>
          </w:tcPr>
          <w:p w14:paraId="538605D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50~70</w:t>
            </w:r>
          </w:p>
        </w:tc>
        <w:tc>
          <w:tcPr>
            <w:tcW w:w="3716" w:type="dxa"/>
            <w:noWrap w:val="0"/>
            <w:tcMar>
              <w:top w:w="15" w:type="dxa"/>
              <w:left w:w="108" w:type="dxa"/>
              <w:bottom w:w="0" w:type="dxa"/>
              <w:right w:w="108" w:type="dxa"/>
            </w:tcMar>
            <w:vAlign w:val="center"/>
          </w:tcPr>
          <w:p w14:paraId="245C980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3只/m2</w:t>
            </w:r>
          </w:p>
        </w:tc>
      </w:tr>
    </w:tbl>
    <w:p w14:paraId="673804DB">
      <w:pPr>
        <w:pageBreakBefore w:val="0"/>
        <w:wordWrap/>
        <w:overflowPunct/>
        <w:topLinePunct w:val="0"/>
        <w:bidi w:val="0"/>
        <w:spacing w:beforeAutospacing="0" w:afterAutospacing="0" w:line="600" w:lineRule="exact"/>
        <w:ind w:right="0" w:rightChars="0"/>
        <w:rPr>
          <w:rFonts w:hint="eastAsia" w:ascii="方正仿宋_GBK" w:hAnsi="方正仿宋_GBK" w:eastAsia="方正仿宋_GBK" w:cs="方正仿宋_GBK"/>
          <w:b w:val="0"/>
          <w:bCs w:val="0"/>
          <w:sz w:val="32"/>
          <w:szCs w:val="32"/>
        </w:rPr>
      </w:pPr>
    </w:p>
    <w:tbl>
      <w:tblPr>
        <w:tblStyle w:val="10"/>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1"/>
      </w:tblGrid>
      <w:tr w14:paraId="40C5C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20106020">
            <w:pPr>
              <w:keepNext w:val="0"/>
              <w:keepLines w:val="0"/>
              <w:pageBreakBefore w:val="0"/>
              <w:widowControl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sz w:val="28"/>
                <w:szCs w:val="28"/>
                <w:vertAlign w:val="baseline"/>
              </w:rPr>
            </w:pPr>
            <w:r>
              <w:rPr>
                <w:rFonts w:hint="eastAsia" w:ascii="方正黑体_GBK" w:hAnsi="方正黑体_GBK" w:eastAsia="方正黑体_GBK" w:cs="方正黑体_GBK"/>
                <w:sz w:val="28"/>
                <w:szCs w:val="28"/>
              </w:rPr>
              <w:drawing>
                <wp:inline distT="0" distB="0" distL="114300" distR="114300">
                  <wp:extent cx="4638675" cy="1371600"/>
                  <wp:effectExtent l="0" t="0" r="9525" b="0"/>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28"/>
                          <a:stretch>
                            <a:fillRect/>
                          </a:stretch>
                        </pic:blipFill>
                        <pic:spPr>
                          <a:xfrm>
                            <a:off x="0" y="0"/>
                            <a:ext cx="4638675" cy="1371600"/>
                          </a:xfrm>
                          <a:prstGeom prst="rect">
                            <a:avLst/>
                          </a:prstGeom>
                          <a:noFill/>
                          <a:ln>
                            <a:noFill/>
                          </a:ln>
                        </pic:spPr>
                      </pic:pic>
                    </a:graphicData>
                  </a:graphic>
                </wp:inline>
              </w:drawing>
            </w:r>
          </w:p>
        </w:tc>
      </w:tr>
      <w:tr w14:paraId="070A4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1" w:type="dxa"/>
            <w:tcBorders>
              <w:tl2br w:val="nil"/>
              <w:tr2bl w:val="nil"/>
            </w:tcBorders>
            <w:noWrap w:val="0"/>
            <w:vAlign w:val="top"/>
          </w:tcPr>
          <w:p w14:paraId="1589E63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b w:val="0"/>
                <w:bCs w:val="0"/>
                <w:sz w:val="28"/>
                <w:szCs w:val="28"/>
              </w:rPr>
              <w:t>图7 光照控制系统</w:t>
            </w:r>
            <w:r>
              <w:rPr>
                <w:rFonts w:hint="eastAsia" w:ascii="方正黑体_GBK" w:hAnsi="方正黑体_GBK" w:eastAsia="方正黑体_GBK" w:cs="方正黑体_GBK"/>
                <w:b w:val="0"/>
                <w:bCs w:val="0"/>
                <w:sz w:val="28"/>
                <w:szCs w:val="28"/>
                <w:lang w:eastAsia="zh-CN"/>
              </w:rPr>
              <w:t>，</w:t>
            </w:r>
            <w:r>
              <w:rPr>
                <w:rFonts w:hint="eastAsia" w:ascii="方正黑体_GBK" w:hAnsi="方正黑体_GBK" w:eastAsia="方正黑体_GBK" w:cs="方正黑体_GBK"/>
                <w:b w:val="0"/>
                <w:bCs w:val="0"/>
                <w:sz w:val="28"/>
                <w:szCs w:val="28"/>
              </w:rPr>
              <w:t>图8 圈舍联动开闭门窗</w:t>
            </w:r>
          </w:p>
        </w:tc>
      </w:tr>
    </w:tbl>
    <w:p w14:paraId="490893F6">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三、适宜区域</w:t>
      </w:r>
    </w:p>
    <w:p w14:paraId="338EB141">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该技术适宜推广的区域为全国范围。</w:t>
      </w:r>
    </w:p>
    <w:p w14:paraId="648CCFF7">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四、注意事项</w:t>
      </w:r>
    </w:p>
    <w:p w14:paraId="0CD94F15">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（一）鹅饲料中禁止使用抗生素。</w:t>
      </w:r>
    </w:p>
    <w:p w14:paraId="178A23D0">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（二）兽药使用应符合NY/T 5030的要求，根据法律规定和当地疫病流行情况制定免疫程序。</w:t>
      </w:r>
    </w:p>
    <w:p w14:paraId="77C20D29">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（三）鹅场的清洁消毒、鹅舍空置和对外隔离按NY/T 5038执行。</w:t>
      </w:r>
    </w:p>
    <w:p w14:paraId="17A5441B">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（四）废弃物处理按照GB/T 3 6195和NY/T 388标准执行，污水、污物排放应符合GB 18596的要求。</w:t>
      </w:r>
    </w:p>
    <w:p w14:paraId="55223D8F">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（五）饲料饲喂设备的配置需根据各养殖场的养殖规模和养殖模式，选择合适的设备，做好成本控制。</w:t>
      </w:r>
    </w:p>
    <w:p w14:paraId="5A7ABCD7">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（六）鹅易受外界环境刺激而产生应激反应，鹅舍环境参数调整时应遵循“循序渐进”的原则。比如，鹅舍关闭人工光源时，应通过控制系统逐渐亮度。</w:t>
      </w:r>
    </w:p>
    <w:p w14:paraId="0D481E88">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五、技术依托单位</w:t>
      </w:r>
    </w:p>
    <w:p w14:paraId="76F812E8">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（一）重庆市畜牧科学院</w:t>
      </w:r>
    </w:p>
    <w:p w14:paraId="12F0D1CF">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联系地址：重庆市荣昌区昌龙大道51号</w:t>
      </w:r>
    </w:p>
    <w:p w14:paraId="02BC7B94">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邮政编码：402460</w:t>
      </w:r>
    </w:p>
    <w:p w14:paraId="7765FD3D">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 系 人：汪超</w:t>
      </w:r>
    </w:p>
    <w:p w14:paraId="2CB7F512">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联系电话：13618208706</w:t>
      </w:r>
    </w:p>
    <w:p w14:paraId="77D45038">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电子邮箱：wangccq@foxmail.com</w:t>
      </w:r>
    </w:p>
    <w:p w14:paraId="64588992">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（二）重庆市畜牧技术推广总站</w:t>
      </w:r>
    </w:p>
    <w:p w14:paraId="76435305">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联系地址：重庆市渝北区黄山大道东段186号</w:t>
      </w:r>
    </w:p>
    <w:p w14:paraId="70E73686">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邮政编码：401121</w:t>
      </w:r>
    </w:p>
    <w:p w14:paraId="1FE07D73">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 系 人：张科</w:t>
      </w:r>
    </w:p>
    <w:p w14:paraId="57B1867D">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联系电话：15223095671</w:t>
      </w:r>
    </w:p>
    <w:p w14:paraId="3257F8E0">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rtlGutter w:val="0"/>
          <w:docGrid w:type="lines" w:linePitch="579" w:charSpace="0"/>
        </w:sectPr>
      </w:pPr>
      <w:r>
        <w:rPr>
          <w:rFonts w:hint="eastAsia" w:ascii="方正仿宋_GBK" w:hAnsi="方正仿宋_GBK" w:eastAsia="方正仿宋_GBK" w:cs="方正仿宋_GBK"/>
          <w:b w:val="0"/>
          <w:bCs w:val="0"/>
          <w:color w:val="000000"/>
          <w:sz w:val="32"/>
          <w:szCs w:val="32"/>
        </w:rPr>
        <w:t>电子邮箱：619064120@qq.com</w:t>
      </w:r>
    </w:p>
    <w:p w14:paraId="6C0CDCE9">
      <w:pPr>
        <w:pStyle w:val="3"/>
        <w:bidi w:val="0"/>
        <w:rPr>
          <w:rFonts w:hint="eastAsia"/>
        </w:rPr>
      </w:pPr>
      <w:r>
        <w:rPr>
          <w:rFonts w:hint="eastAsia"/>
          <w:lang w:val="en-US" w:eastAsia="zh-CN"/>
        </w:rPr>
        <w:t>6.</w:t>
      </w:r>
      <w:r>
        <w:rPr>
          <w:rFonts w:hint="eastAsia"/>
        </w:rPr>
        <w:t>规模猪场粪污减量和全量化处理装备及技术</w:t>
      </w:r>
    </w:p>
    <w:p w14:paraId="282E3051">
      <w:pPr>
        <w:pageBreakBefore w:val="0"/>
        <w:wordWrap/>
        <w:overflowPunct/>
        <w:topLinePunct w:val="0"/>
        <w:bidi w:val="0"/>
        <w:spacing w:beforeAutospacing="0" w:afterAutospacing="0" w:line="600" w:lineRule="exact"/>
        <w:ind w:left="0" w:leftChars="0" w:right="0" w:rightChars="0" w:firstLine="640" w:firstLineChars="200"/>
        <w:jc w:val="center"/>
        <w:rPr>
          <w:rFonts w:hint="eastAsia" w:ascii="方正仿宋_GBK" w:hAnsi="方正仿宋_GBK" w:eastAsia="方正仿宋_GBK" w:cs="方正仿宋_GBK"/>
          <w:b w:val="0"/>
          <w:bCs w:val="0"/>
          <w:color w:val="000000"/>
          <w:sz w:val="32"/>
          <w:szCs w:val="32"/>
        </w:rPr>
      </w:pPr>
    </w:p>
    <w:p w14:paraId="5B51C5E3">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黑体_GBK" w:cs="方正仿宋_GBK"/>
          <w:b w:val="0"/>
          <w:bCs w:val="0"/>
          <w:color w:val="000000"/>
          <w:sz w:val="32"/>
          <w:szCs w:val="32"/>
          <w:lang w:eastAsia="zh-CN"/>
        </w:rPr>
        <w:t>摘要：</w:t>
      </w:r>
      <w:r>
        <w:rPr>
          <w:rFonts w:hint="eastAsia" w:ascii="方正仿宋_GBK" w:hAnsi="方正仿宋_GBK" w:eastAsia="方正仿宋_GBK" w:cs="方正仿宋_GBK"/>
          <w:b w:val="0"/>
          <w:bCs w:val="0"/>
          <w:color w:val="000000"/>
          <w:sz w:val="32"/>
          <w:szCs w:val="32"/>
        </w:rPr>
        <w:t>针对规模猪场传统设备稳定性差、信息化程度低、粪污总量大、清粪劳动力依赖强及疫病传播风险高的问题，本技术集成开发了节水型智能饮水器、新型铸铁漏缝地板、猪舍自动刮粪系统、场区粪便联动转运装置及清粪信息化管控平台。节水型猪用智能饮水器</w:t>
      </w:r>
      <w:r>
        <w:rPr>
          <w:rFonts w:hint="eastAsia" w:ascii="方正仿宋_GBK" w:hAnsi="方正仿宋_GBK" w:eastAsia="方正仿宋_GBK" w:cs="方正仿宋_GBK"/>
          <w:b w:val="0"/>
          <w:bCs w:val="0"/>
          <w:color w:val="000000"/>
          <w:sz w:val="32"/>
          <w:szCs w:val="32"/>
          <w:lang w:val="en-US" w:eastAsia="zh-CN"/>
        </w:rPr>
        <w:t>较传统饮水器，</w:t>
      </w:r>
      <w:r>
        <w:rPr>
          <w:rFonts w:hint="eastAsia" w:ascii="方正仿宋_GBK" w:hAnsi="方正仿宋_GBK" w:eastAsia="方正仿宋_GBK" w:cs="方正仿宋_GBK"/>
          <w:b w:val="0"/>
          <w:bCs w:val="0"/>
          <w:color w:val="000000"/>
          <w:sz w:val="32"/>
          <w:szCs w:val="32"/>
        </w:rPr>
        <w:t>节水率</w:t>
      </w:r>
      <w:r>
        <w:rPr>
          <w:rFonts w:hint="eastAsia" w:ascii="方正仿宋_GBK" w:hAnsi="方正仿宋_GBK" w:eastAsia="方正仿宋_GBK" w:cs="方正仿宋_GBK"/>
          <w:b w:val="0"/>
          <w:bCs w:val="0"/>
          <w:color w:val="000000"/>
          <w:sz w:val="32"/>
          <w:szCs w:val="32"/>
          <w:lang w:val="en-US" w:eastAsia="zh-CN"/>
        </w:rPr>
        <w:t>提高</w:t>
      </w:r>
      <w:r>
        <w:rPr>
          <w:rFonts w:hint="eastAsia" w:ascii="方正仿宋_GBK" w:hAnsi="方正仿宋_GBK" w:eastAsia="方正仿宋_GBK" w:cs="方正仿宋_GBK"/>
          <w:b w:val="0"/>
          <w:bCs w:val="0"/>
          <w:color w:val="000000"/>
          <w:sz w:val="32"/>
          <w:szCs w:val="32"/>
        </w:rPr>
        <w:t>14.1%</w:t>
      </w:r>
      <w:r>
        <w:rPr>
          <w:rFonts w:hint="eastAsia" w:ascii="方正仿宋_GBK" w:hAnsi="方正仿宋_GBK" w:eastAsia="方正仿宋_GBK" w:cs="方正仿宋_GBK"/>
          <w:b w:val="0"/>
          <w:bCs w:val="0"/>
          <w:color w:val="000000"/>
          <w:sz w:val="32"/>
          <w:szCs w:val="32"/>
          <w:lang w:val="en-US" w:eastAsia="zh-CN"/>
        </w:rPr>
        <w:t>以上；</w:t>
      </w:r>
      <w:r>
        <w:rPr>
          <w:rFonts w:hint="eastAsia" w:ascii="方正仿宋_GBK" w:hAnsi="方正仿宋_GBK" w:eastAsia="方正仿宋_GBK" w:cs="方正仿宋_GBK"/>
          <w:b w:val="0"/>
          <w:bCs w:val="0"/>
          <w:color w:val="000000"/>
          <w:sz w:val="32"/>
          <w:szCs w:val="32"/>
        </w:rPr>
        <w:t>新型漏缝地板漏粪率</w:t>
      </w:r>
      <w:r>
        <w:rPr>
          <w:rFonts w:hint="eastAsia" w:ascii="方正仿宋_GBK" w:hAnsi="方正仿宋_GBK" w:eastAsia="方正仿宋_GBK" w:cs="方正仿宋_GBK"/>
          <w:b w:val="0"/>
          <w:bCs w:val="0"/>
          <w:color w:val="000000"/>
          <w:sz w:val="32"/>
          <w:szCs w:val="32"/>
          <w:lang w:val="en-US" w:eastAsia="zh-CN"/>
        </w:rPr>
        <w:t>达</w:t>
      </w:r>
      <w:r>
        <w:rPr>
          <w:rFonts w:hint="eastAsia" w:ascii="方正仿宋_GBK" w:hAnsi="方正仿宋_GBK" w:eastAsia="方正仿宋_GBK" w:cs="方正仿宋_GBK"/>
          <w:b w:val="0"/>
          <w:bCs w:val="0"/>
          <w:color w:val="000000"/>
          <w:sz w:val="32"/>
          <w:szCs w:val="32"/>
        </w:rPr>
        <w:t>87%，圈内粪便残留下降约31%；自动刮粪与转运系统实现粪沟刮净度</w:t>
      </w:r>
      <w:r>
        <w:rPr>
          <w:rFonts w:hint="eastAsia" w:ascii="方正仿宋_GBK" w:hAnsi="方正仿宋_GBK" w:eastAsia="方正仿宋_GBK" w:cs="方正仿宋_GBK"/>
          <w:b w:val="0"/>
          <w:bCs w:val="0"/>
          <w:color w:val="000000"/>
          <w:sz w:val="32"/>
          <w:szCs w:val="32"/>
          <w:lang w:val="en-US" w:eastAsia="zh-CN"/>
        </w:rPr>
        <w:t>超</w:t>
      </w:r>
      <w:r>
        <w:rPr>
          <w:rFonts w:hint="eastAsia" w:ascii="方正仿宋_GBK" w:hAnsi="方正仿宋_GBK" w:eastAsia="方正仿宋_GBK" w:cs="方正仿宋_GBK"/>
          <w:b w:val="0"/>
          <w:bCs w:val="0"/>
          <w:color w:val="000000"/>
          <w:sz w:val="32"/>
          <w:szCs w:val="32"/>
        </w:rPr>
        <w:t>95%，场区污水量总体降低约18%以上，清粪劳动力需求降低20%以上。2020-2022年</w:t>
      </w:r>
      <w:r>
        <w:rPr>
          <w:rFonts w:hint="eastAsia" w:ascii="方正仿宋_GBK" w:hAnsi="方正仿宋_GBK" w:eastAsia="方正仿宋_GBK" w:cs="方正仿宋_GBK"/>
          <w:b w:val="0"/>
          <w:bCs w:val="0"/>
          <w:color w:val="000000"/>
          <w:sz w:val="32"/>
          <w:szCs w:val="32"/>
          <w:lang w:val="en-US" w:eastAsia="zh-CN"/>
        </w:rPr>
        <w:t>期间，</w:t>
      </w:r>
      <w:r>
        <w:rPr>
          <w:rFonts w:hint="eastAsia" w:ascii="方正仿宋_GBK" w:hAnsi="方正仿宋_GBK" w:eastAsia="方正仿宋_GBK" w:cs="方正仿宋_GBK"/>
          <w:b w:val="0"/>
          <w:bCs w:val="0"/>
          <w:color w:val="000000"/>
          <w:sz w:val="32"/>
          <w:szCs w:val="32"/>
        </w:rPr>
        <w:t>在重庆、四川等地累计装配自动刮粪系统3620套、清洁型猪圈18350套、漏缝地板84000块，累计新增销售约1.4亿元、毛利2345万元</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该技术在推动生猪清洁养殖和可持续发展方面具有重要经济、社会和生态效益</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为推动生猪养殖清洁化、节水降污与“机器换人”提供了</w:t>
      </w:r>
      <w:r>
        <w:rPr>
          <w:rFonts w:hint="eastAsia" w:ascii="方正仿宋_GBK" w:hAnsi="方正仿宋_GBK" w:eastAsia="方正仿宋_GBK" w:cs="方正仿宋_GBK"/>
          <w:b w:val="0"/>
          <w:bCs w:val="0"/>
          <w:color w:val="000000"/>
          <w:sz w:val="32"/>
          <w:szCs w:val="32"/>
          <w:lang w:val="en-US" w:eastAsia="zh-CN"/>
        </w:rPr>
        <w:t>支撑</w:t>
      </w:r>
      <w:r>
        <w:rPr>
          <w:rFonts w:hint="eastAsia" w:ascii="方正仿宋_GBK" w:hAnsi="方正仿宋_GBK" w:eastAsia="方正仿宋_GBK" w:cs="方正仿宋_GBK"/>
          <w:b w:val="0"/>
          <w:bCs w:val="0"/>
          <w:color w:val="000000"/>
          <w:sz w:val="32"/>
          <w:szCs w:val="32"/>
        </w:rPr>
        <w:t>。</w:t>
      </w:r>
    </w:p>
    <w:p w14:paraId="21934022">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一、技术概述</w:t>
      </w:r>
    </w:p>
    <w:p w14:paraId="6CA39D13">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（一）技术基本情况</w:t>
      </w:r>
    </w:p>
    <w:p w14:paraId="3B54B88A">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干清粪和节水型饮水是规模猪场粪污减量化的重要技术措施。针对传统设备稳定性差、信息化程度低、维护难度大等瓶颈问题，研发出节水型猪用智能饮水器，有效降低了猪只饮水过程的饮用水浪费量和粪沟污水产生量，实现了饮水设备的自动清洁，较传统饮水碗节水率达到14.1%以上；创制出猪舍刮粪、场区转运和信息管控平台等智能化清粪系统装备，降低规模化猪场清粪环节的劳动力依赖和粪污总量，推动生猪养殖的“机器换人”进程，粪沟刮净度＞95%，单次刮粪量达500kg，实现“刮粪-运粪-储粪-卸粪”等多环节的一体化自动运行和远程高效管理。</w:t>
      </w:r>
    </w:p>
    <w:p w14:paraId="253C69FC">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（二）技术示范推广情况</w:t>
      </w:r>
    </w:p>
    <w:p w14:paraId="1CA39733">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该技术在重庆、四川等地区的规模化猪场、畜牧养殖设施装备加工制造企业进行了推广应用。2020-2022年，累计推广猪舍自动刮粪系统3620套、清洁型猪圈18350套、猪舍漏缝地板84000块。</w:t>
      </w:r>
    </w:p>
    <w:p w14:paraId="773BE911">
      <w:pPr>
        <w:pageBreakBefore w:val="0"/>
        <w:wordWrap/>
        <w:overflowPunct/>
        <w:topLinePunct w:val="0"/>
        <w:bidi w:val="0"/>
        <w:snapToGrid w:val="0"/>
        <w:spacing w:beforeAutospacing="0" w:afterAutospacing="0" w:line="600" w:lineRule="exact"/>
        <w:ind w:left="0" w:leftChars="0" w:right="0" w:rightChars="0" w:firstLine="560" w:firstLineChars="200"/>
        <w:jc w:val="center"/>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lang w:val="en-US" w:eastAsia="zh-CN"/>
        </w:rPr>
        <w:t xml:space="preserve">表1 </w:t>
      </w:r>
      <w:r>
        <w:rPr>
          <w:rFonts w:hint="eastAsia" w:ascii="方正黑体_GBK" w:hAnsi="方正黑体_GBK" w:eastAsia="方正黑体_GBK" w:cs="方正黑体_GBK"/>
          <w:b w:val="0"/>
          <w:bCs w:val="0"/>
          <w:color w:val="000000"/>
          <w:sz w:val="28"/>
          <w:szCs w:val="28"/>
        </w:rPr>
        <w:t>技术示范推广应用情况汇总表</w:t>
      </w:r>
    </w:p>
    <w:tbl>
      <w:tblPr>
        <w:tblStyle w:val="9"/>
        <w:tblW w:w="9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559"/>
        <w:gridCol w:w="2268"/>
        <w:gridCol w:w="1134"/>
        <w:gridCol w:w="1618"/>
        <w:gridCol w:w="2835"/>
      </w:tblGrid>
      <w:tr w14:paraId="5DBC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tcMar>
              <w:left w:w="57" w:type="dxa"/>
              <w:right w:w="57" w:type="dxa"/>
            </w:tcMar>
            <w:vAlign w:val="center"/>
          </w:tcPr>
          <w:p w14:paraId="349CDFB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序号</w:t>
            </w:r>
          </w:p>
        </w:tc>
        <w:tc>
          <w:tcPr>
            <w:tcW w:w="1559" w:type="dxa"/>
            <w:noWrap w:val="0"/>
            <w:vAlign w:val="center"/>
          </w:tcPr>
          <w:p w14:paraId="3FAC694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应用单位</w:t>
            </w:r>
          </w:p>
        </w:tc>
        <w:tc>
          <w:tcPr>
            <w:tcW w:w="2268" w:type="dxa"/>
            <w:noWrap w:val="0"/>
            <w:vAlign w:val="center"/>
          </w:tcPr>
          <w:p w14:paraId="5644D19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应用技术</w:t>
            </w:r>
          </w:p>
        </w:tc>
        <w:tc>
          <w:tcPr>
            <w:tcW w:w="1134" w:type="dxa"/>
            <w:noWrap w:val="0"/>
            <w:vAlign w:val="center"/>
          </w:tcPr>
          <w:p w14:paraId="508F99C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应用起止时间</w:t>
            </w:r>
          </w:p>
        </w:tc>
        <w:tc>
          <w:tcPr>
            <w:tcW w:w="1618" w:type="dxa"/>
            <w:noWrap w:val="0"/>
            <w:vAlign w:val="center"/>
          </w:tcPr>
          <w:p w14:paraId="48CF758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应用单位联系人/联系电话</w:t>
            </w:r>
          </w:p>
        </w:tc>
        <w:tc>
          <w:tcPr>
            <w:tcW w:w="2835" w:type="dxa"/>
            <w:noWrap w:val="0"/>
            <w:vAlign w:val="center"/>
          </w:tcPr>
          <w:p w14:paraId="6B769FC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产生的经济效益及社会效益</w:t>
            </w:r>
          </w:p>
        </w:tc>
      </w:tr>
      <w:tr w14:paraId="6CD9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2EA57B8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w:t>
            </w:r>
          </w:p>
        </w:tc>
        <w:tc>
          <w:tcPr>
            <w:tcW w:w="1559" w:type="dxa"/>
            <w:noWrap w:val="0"/>
            <w:vAlign w:val="center"/>
          </w:tcPr>
          <w:p w14:paraId="34EBD33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重庆大鸿农牧机械有限公司</w:t>
            </w:r>
          </w:p>
        </w:tc>
        <w:tc>
          <w:tcPr>
            <w:tcW w:w="2268" w:type="dxa"/>
            <w:noWrap w:val="0"/>
            <w:vAlign w:val="center"/>
          </w:tcPr>
          <w:p w14:paraId="3A559F3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猪舍自动刮粪设备及系统</w:t>
            </w:r>
          </w:p>
        </w:tc>
        <w:tc>
          <w:tcPr>
            <w:tcW w:w="1134" w:type="dxa"/>
            <w:noWrap w:val="0"/>
            <w:tcMar>
              <w:left w:w="57" w:type="dxa"/>
              <w:right w:w="57" w:type="dxa"/>
            </w:tcMar>
            <w:vAlign w:val="center"/>
          </w:tcPr>
          <w:p w14:paraId="4B3871C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2016-2022</w:t>
            </w:r>
          </w:p>
        </w:tc>
        <w:tc>
          <w:tcPr>
            <w:tcW w:w="1618" w:type="dxa"/>
            <w:noWrap w:val="0"/>
            <w:vAlign w:val="center"/>
          </w:tcPr>
          <w:p w14:paraId="63DEBC8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蒋惠江</w:t>
            </w:r>
          </w:p>
          <w:p w14:paraId="6799B06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18696655389</w:t>
            </w:r>
          </w:p>
        </w:tc>
        <w:tc>
          <w:tcPr>
            <w:tcW w:w="2835" w:type="dxa"/>
            <w:noWrap w:val="0"/>
            <w:vAlign w:val="center"/>
          </w:tcPr>
          <w:p w14:paraId="738546E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近3年新增销售9380万元、毛利1407万元</w:t>
            </w:r>
          </w:p>
        </w:tc>
      </w:tr>
      <w:tr w14:paraId="3A88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19C2894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w:t>
            </w:r>
          </w:p>
        </w:tc>
        <w:tc>
          <w:tcPr>
            <w:tcW w:w="1559" w:type="dxa"/>
            <w:noWrap w:val="0"/>
            <w:vAlign w:val="center"/>
          </w:tcPr>
          <w:p w14:paraId="5A25D78B">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西安庆安智航通用设备有限公司</w:t>
            </w:r>
          </w:p>
        </w:tc>
        <w:tc>
          <w:tcPr>
            <w:tcW w:w="2268" w:type="dxa"/>
            <w:noWrap w:val="0"/>
            <w:vAlign w:val="center"/>
          </w:tcPr>
          <w:p w14:paraId="62195BA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猪舍节水型、清洁型猪圈</w:t>
            </w:r>
          </w:p>
        </w:tc>
        <w:tc>
          <w:tcPr>
            <w:tcW w:w="1134" w:type="dxa"/>
            <w:noWrap w:val="0"/>
            <w:tcMar>
              <w:left w:w="57" w:type="dxa"/>
              <w:right w:w="57" w:type="dxa"/>
            </w:tcMar>
            <w:vAlign w:val="center"/>
          </w:tcPr>
          <w:p w14:paraId="3C8A9D4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2019-2022</w:t>
            </w:r>
          </w:p>
        </w:tc>
        <w:tc>
          <w:tcPr>
            <w:tcW w:w="1618" w:type="dxa"/>
            <w:noWrap w:val="0"/>
            <w:vAlign w:val="center"/>
          </w:tcPr>
          <w:p w14:paraId="72419F5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申丽</w:t>
            </w:r>
          </w:p>
          <w:p w14:paraId="189F821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15209258091</w:t>
            </w:r>
          </w:p>
        </w:tc>
        <w:tc>
          <w:tcPr>
            <w:tcW w:w="2835" w:type="dxa"/>
            <w:noWrap w:val="0"/>
            <w:vAlign w:val="center"/>
          </w:tcPr>
          <w:p w14:paraId="18DDA36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近3年新增销售3935万元、毛利658万元</w:t>
            </w:r>
          </w:p>
        </w:tc>
      </w:tr>
      <w:tr w14:paraId="31C9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60A2FE9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3</w:t>
            </w:r>
          </w:p>
        </w:tc>
        <w:tc>
          <w:tcPr>
            <w:tcW w:w="1559" w:type="dxa"/>
            <w:noWrap w:val="0"/>
            <w:vAlign w:val="center"/>
          </w:tcPr>
          <w:p w14:paraId="5B28344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江油星乙建设工程有限公司</w:t>
            </w:r>
          </w:p>
        </w:tc>
        <w:tc>
          <w:tcPr>
            <w:tcW w:w="2268" w:type="dxa"/>
            <w:noWrap w:val="0"/>
            <w:vAlign w:val="center"/>
          </w:tcPr>
          <w:p w14:paraId="5A78AEA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猪舍自动刮粪系统</w:t>
            </w:r>
          </w:p>
        </w:tc>
        <w:tc>
          <w:tcPr>
            <w:tcW w:w="1134" w:type="dxa"/>
            <w:noWrap w:val="0"/>
            <w:tcMar>
              <w:left w:w="57" w:type="dxa"/>
              <w:right w:w="57" w:type="dxa"/>
            </w:tcMar>
            <w:vAlign w:val="center"/>
          </w:tcPr>
          <w:p w14:paraId="387F84D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2019-2022</w:t>
            </w:r>
          </w:p>
        </w:tc>
        <w:tc>
          <w:tcPr>
            <w:tcW w:w="1618" w:type="dxa"/>
            <w:noWrap w:val="0"/>
            <w:vAlign w:val="center"/>
          </w:tcPr>
          <w:p w14:paraId="352D519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张塬</w:t>
            </w:r>
          </w:p>
          <w:p w14:paraId="7D1E154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13220287124</w:t>
            </w:r>
          </w:p>
        </w:tc>
        <w:tc>
          <w:tcPr>
            <w:tcW w:w="2835" w:type="dxa"/>
            <w:noWrap w:val="0"/>
            <w:vAlign w:val="center"/>
          </w:tcPr>
          <w:p w14:paraId="16CE951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近3年减少猪圈清洁劳动量23%、降低猪场污水总量18%</w:t>
            </w:r>
          </w:p>
        </w:tc>
      </w:tr>
      <w:tr w14:paraId="3C7A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794F284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4</w:t>
            </w:r>
          </w:p>
        </w:tc>
        <w:tc>
          <w:tcPr>
            <w:tcW w:w="1559" w:type="dxa"/>
            <w:noWrap w:val="0"/>
            <w:vAlign w:val="center"/>
          </w:tcPr>
          <w:p w14:paraId="31307E5E">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重庆雨吉润畜牧有限公司</w:t>
            </w:r>
          </w:p>
        </w:tc>
        <w:tc>
          <w:tcPr>
            <w:tcW w:w="2268" w:type="dxa"/>
            <w:noWrap w:val="0"/>
            <w:vAlign w:val="center"/>
          </w:tcPr>
          <w:p w14:paraId="70DF0768">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猪舍自动刮粪系统</w:t>
            </w:r>
          </w:p>
        </w:tc>
        <w:tc>
          <w:tcPr>
            <w:tcW w:w="1134" w:type="dxa"/>
            <w:noWrap w:val="0"/>
            <w:tcMar>
              <w:left w:w="57" w:type="dxa"/>
              <w:right w:w="57" w:type="dxa"/>
            </w:tcMar>
            <w:vAlign w:val="center"/>
          </w:tcPr>
          <w:p w14:paraId="46430E37">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2019-2022</w:t>
            </w:r>
          </w:p>
        </w:tc>
        <w:tc>
          <w:tcPr>
            <w:tcW w:w="1618" w:type="dxa"/>
            <w:noWrap w:val="0"/>
            <w:vAlign w:val="center"/>
          </w:tcPr>
          <w:p w14:paraId="494260A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王杰</w:t>
            </w:r>
          </w:p>
          <w:p w14:paraId="1D964C2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15696314447</w:t>
            </w:r>
          </w:p>
        </w:tc>
        <w:tc>
          <w:tcPr>
            <w:tcW w:w="2835" w:type="dxa"/>
            <w:noWrap w:val="0"/>
            <w:vAlign w:val="center"/>
          </w:tcPr>
          <w:p w14:paraId="7D88D72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近3年减少猪圈清洁劳动量22%、降低猪场污水总量19%</w:t>
            </w:r>
          </w:p>
        </w:tc>
      </w:tr>
      <w:tr w14:paraId="656F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1DCBA25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5</w:t>
            </w:r>
          </w:p>
        </w:tc>
        <w:tc>
          <w:tcPr>
            <w:tcW w:w="1559" w:type="dxa"/>
            <w:noWrap w:val="0"/>
            <w:vAlign w:val="center"/>
          </w:tcPr>
          <w:p w14:paraId="07A3BDB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宁强汉水天保农业有限公司</w:t>
            </w:r>
          </w:p>
        </w:tc>
        <w:tc>
          <w:tcPr>
            <w:tcW w:w="2268" w:type="dxa"/>
            <w:noWrap w:val="0"/>
            <w:vAlign w:val="center"/>
          </w:tcPr>
          <w:p w14:paraId="71AC9EC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猪舍自动刮粪、清洁型漏缝地板</w:t>
            </w:r>
          </w:p>
        </w:tc>
        <w:tc>
          <w:tcPr>
            <w:tcW w:w="1134" w:type="dxa"/>
            <w:noWrap w:val="0"/>
            <w:tcMar>
              <w:left w:w="57" w:type="dxa"/>
              <w:right w:w="57" w:type="dxa"/>
            </w:tcMar>
            <w:vAlign w:val="center"/>
          </w:tcPr>
          <w:p w14:paraId="32C8623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2019-2022</w:t>
            </w:r>
          </w:p>
        </w:tc>
        <w:tc>
          <w:tcPr>
            <w:tcW w:w="1618" w:type="dxa"/>
            <w:noWrap w:val="0"/>
            <w:vAlign w:val="center"/>
          </w:tcPr>
          <w:p w14:paraId="0BB0496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何超</w:t>
            </w:r>
          </w:p>
          <w:p w14:paraId="19E1385D">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18523842485</w:t>
            </w:r>
          </w:p>
        </w:tc>
        <w:tc>
          <w:tcPr>
            <w:tcW w:w="2835" w:type="dxa"/>
            <w:noWrap w:val="0"/>
            <w:vAlign w:val="center"/>
          </w:tcPr>
          <w:p w14:paraId="5BB4CD1F">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近3年减少猪圈清洁劳动量24%、降低猪场污水总量18%</w:t>
            </w:r>
          </w:p>
        </w:tc>
      </w:tr>
      <w:tr w14:paraId="3D3F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16219514">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6</w:t>
            </w:r>
          </w:p>
        </w:tc>
        <w:tc>
          <w:tcPr>
            <w:tcW w:w="1559" w:type="dxa"/>
            <w:noWrap w:val="0"/>
            <w:vAlign w:val="center"/>
          </w:tcPr>
          <w:p w14:paraId="4A0840C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重庆市合川区态康畜禽养殖有限责任公司</w:t>
            </w:r>
          </w:p>
        </w:tc>
        <w:tc>
          <w:tcPr>
            <w:tcW w:w="2268" w:type="dxa"/>
            <w:noWrap w:val="0"/>
            <w:vAlign w:val="center"/>
          </w:tcPr>
          <w:p w14:paraId="2A1F65E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猪舍自动刮粪系统</w:t>
            </w:r>
          </w:p>
        </w:tc>
        <w:tc>
          <w:tcPr>
            <w:tcW w:w="1134" w:type="dxa"/>
            <w:noWrap w:val="0"/>
            <w:tcMar>
              <w:left w:w="57" w:type="dxa"/>
              <w:right w:w="57" w:type="dxa"/>
            </w:tcMar>
            <w:vAlign w:val="center"/>
          </w:tcPr>
          <w:p w14:paraId="3067911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2019-2022</w:t>
            </w:r>
          </w:p>
        </w:tc>
        <w:tc>
          <w:tcPr>
            <w:tcW w:w="1618" w:type="dxa"/>
            <w:noWrap w:val="0"/>
            <w:vAlign w:val="center"/>
          </w:tcPr>
          <w:p w14:paraId="27B3F52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唐均亮</w:t>
            </w:r>
          </w:p>
          <w:p w14:paraId="563668C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13608338525</w:t>
            </w:r>
          </w:p>
        </w:tc>
        <w:tc>
          <w:tcPr>
            <w:tcW w:w="2835" w:type="dxa"/>
            <w:noWrap w:val="0"/>
            <w:vAlign w:val="center"/>
          </w:tcPr>
          <w:p w14:paraId="27F2CDF3">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近3年减少猪圈清洁劳动量25%、降低猪场污水总量21%</w:t>
            </w:r>
          </w:p>
        </w:tc>
      </w:tr>
      <w:tr w14:paraId="683C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14:paraId="027394F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7</w:t>
            </w:r>
          </w:p>
        </w:tc>
        <w:tc>
          <w:tcPr>
            <w:tcW w:w="1559" w:type="dxa"/>
            <w:noWrap w:val="0"/>
            <w:vAlign w:val="center"/>
          </w:tcPr>
          <w:p w14:paraId="22A322C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垫江县优科畜牧有限公司</w:t>
            </w:r>
          </w:p>
        </w:tc>
        <w:tc>
          <w:tcPr>
            <w:tcW w:w="2268" w:type="dxa"/>
            <w:noWrap w:val="0"/>
            <w:vAlign w:val="center"/>
          </w:tcPr>
          <w:p w14:paraId="7DD84BC1">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猪舍自动刮粪系统</w:t>
            </w:r>
          </w:p>
        </w:tc>
        <w:tc>
          <w:tcPr>
            <w:tcW w:w="1134" w:type="dxa"/>
            <w:noWrap w:val="0"/>
            <w:tcMar>
              <w:left w:w="57" w:type="dxa"/>
              <w:right w:w="57" w:type="dxa"/>
            </w:tcMar>
            <w:vAlign w:val="center"/>
          </w:tcPr>
          <w:p w14:paraId="57BD71F9">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2019-2022</w:t>
            </w:r>
          </w:p>
        </w:tc>
        <w:tc>
          <w:tcPr>
            <w:tcW w:w="1618" w:type="dxa"/>
            <w:noWrap w:val="0"/>
            <w:vAlign w:val="center"/>
          </w:tcPr>
          <w:p w14:paraId="4A63225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陈义华</w:t>
            </w:r>
          </w:p>
          <w:p w14:paraId="0A242CAC">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13436163912</w:t>
            </w:r>
          </w:p>
        </w:tc>
        <w:tc>
          <w:tcPr>
            <w:tcW w:w="2835" w:type="dxa"/>
            <w:noWrap w:val="0"/>
            <w:vAlign w:val="center"/>
          </w:tcPr>
          <w:p w14:paraId="3B01A94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rPr>
              <w:t>近3年减少猪圈清洁劳动量20%、降低猪场污水总量19%</w:t>
            </w:r>
          </w:p>
        </w:tc>
      </w:tr>
    </w:tbl>
    <w:p w14:paraId="2B994573">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lang w:eastAsia="zh-CN"/>
        </w:rPr>
        <w:t>（</w:t>
      </w:r>
      <w:r>
        <w:rPr>
          <w:rFonts w:hint="eastAsia" w:ascii="方正楷体_GBK" w:hAnsi="方正楷体_GBK" w:eastAsia="方正楷体_GBK" w:cs="方正楷体_GBK"/>
          <w:b w:val="0"/>
          <w:bCs w:val="0"/>
          <w:color w:val="000000"/>
          <w:sz w:val="32"/>
          <w:szCs w:val="32"/>
          <w:lang w:val="en-US" w:eastAsia="zh-CN"/>
        </w:rPr>
        <w:t>三</w:t>
      </w:r>
      <w:r>
        <w:rPr>
          <w:rFonts w:hint="eastAsia" w:ascii="方正楷体_GBK" w:hAnsi="方正楷体_GBK" w:eastAsia="方正楷体_GBK" w:cs="方正楷体_GBK"/>
          <w:b w:val="0"/>
          <w:bCs w:val="0"/>
          <w:color w:val="000000"/>
          <w:sz w:val="32"/>
          <w:szCs w:val="32"/>
          <w:lang w:eastAsia="zh-CN"/>
        </w:rPr>
        <w:t>）</w:t>
      </w:r>
      <w:r>
        <w:rPr>
          <w:rFonts w:hint="eastAsia" w:ascii="方正楷体_GBK" w:hAnsi="方正楷体_GBK" w:eastAsia="方正楷体_GBK" w:cs="方正楷体_GBK"/>
          <w:b w:val="0"/>
          <w:bCs w:val="0"/>
          <w:color w:val="000000"/>
          <w:sz w:val="32"/>
          <w:szCs w:val="32"/>
        </w:rPr>
        <w:t>提质增效情况</w:t>
      </w:r>
    </w:p>
    <w:p w14:paraId="305B32DC">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本技术在推广应用期间，累计新增销售1.4亿元，新增毛利2345万元；本技术所包含的节水型饮水器和自动刮粪系统等智能装备，改善了规模猪场圈舍卫生环境状况，减少了猪只饮水和猪圈冲洗过程的污水产生量，降低猪场污水总量18%以上；自动清粪机械装备及信息平台有效减少了猪舍清粪环节的劳动力依赖和人员出入猪舍的频次，降低非洲猪瘟等疫病传播风险，猪舍清粪劳动力量减少20%以上，有效缓解了规模猪场的粪污处理难题，推动了生猪养殖“机器换人”进程，在推动生猪清洁养殖和可持续发展方面具有重要经济、社会和生态效益。</w:t>
      </w:r>
    </w:p>
    <w:p w14:paraId="41CDEC8C">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lang w:eastAsia="zh-CN"/>
        </w:rPr>
        <w:t>（</w:t>
      </w:r>
      <w:r>
        <w:rPr>
          <w:rFonts w:hint="eastAsia" w:ascii="方正楷体_GBK" w:hAnsi="方正楷体_GBK" w:eastAsia="方正楷体_GBK" w:cs="方正楷体_GBK"/>
          <w:b w:val="0"/>
          <w:bCs w:val="0"/>
          <w:color w:val="000000"/>
          <w:sz w:val="32"/>
          <w:szCs w:val="32"/>
          <w:lang w:val="en-US" w:eastAsia="zh-CN"/>
        </w:rPr>
        <w:t>四</w:t>
      </w:r>
      <w:r>
        <w:rPr>
          <w:rFonts w:hint="eastAsia" w:ascii="方正楷体_GBK" w:hAnsi="方正楷体_GBK" w:eastAsia="方正楷体_GBK" w:cs="方正楷体_GBK"/>
          <w:b w:val="0"/>
          <w:bCs w:val="0"/>
          <w:color w:val="000000"/>
          <w:sz w:val="32"/>
          <w:szCs w:val="32"/>
          <w:lang w:eastAsia="zh-CN"/>
        </w:rPr>
        <w:t>）</w:t>
      </w:r>
      <w:r>
        <w:rPr>
          <w:rFonts w:hint="eastAsia" w:ascii="方正楷体_GBK" w:hAnsi="方正楷体_GBK" w:eastAsia="方正楷体_GBK" w:cs="方正楷体_GBK"/>
          <w:b w:val="0"/>
          <w:bCs w:val="0"/>
          <w:color w:val="000000"/>
          <w:sz w:val="32"/>
          <w:szCs w:val="32"/>
        </w:rPr>
        <w:t>技术获奖情况</w:t>
      </w:r>
    </w:p>
    <w:p w14:paraId="79A88270">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lang w:val="en-US" w:eastAsia="zh-CN"/>
        </w:rPr>
        <w:t>该技术荣获2023年度重庆市畜牧科学院科技进步奖</w:t>
      </w:r>
      <w:bookmarkStart w:id="16" w:name="_GoBack"/>
      <w:bookmarkEnd w:id="16"/>
      <w:r>
        <w:rPr>
          <w:rFonts w:hint="eastAsia" w:ascii="方正仿宋_GBK" w:hAnsi="方正仿宋_GBK" w:eastAsia="方正仿宋_GBK" w:cs="方正仿宋_GBK"/>
          <w:b w:val="0"/>
          <w:bCs w:val="0"/>
          <w:color w:val="000000"/>
          <w:sz w:val="32"/>
          <w:szCs w:val="32"/>
          <w:lang w:val="en-US" w:eastAsia="zh-CN"/>
        </w:rPr>
        <w:t>一等奖</w:t>
      </w:r>
      <w:r>
        <w:rPr>
          <w:rFonts w:hint="eastAsia" w:ascii="方正仿宋_GBK" w:hAnsi="方正仿宋_GBK" w:eastAsia="方正仿宋_GBK" w:cs="方正仿宋_GBK"/>
          <w:b w:val="0"/>
          <w:bCs w:val="0"/>
          <w:color w:val="000000"/>
          <w:sz w:val="32"/>
          <w:szCs w:val="32"/>
        </w:rPr>
        <w:t>。</w:t>
      </w:r>
    </w:p>
    <w:p w14:paraId="35597C53">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二、技术要点</w:t>
      </w:r>
    </w:p>
    <w:p w14:paraId="4CF92298">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（一）研发出节水型猪用智能饮水器和新型铸铁漏缝地板，实现猪圈粪污收集过程的减量化控制</w:t>
      </w:r>
    </w:p>
    <w:p w14:paraId="5AAD8E58">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1、研发出节水型猪用智能饮水器，优化了漏缝地板设计与关键参数</w:t>
      </w:r>
    </w:p>
    <w:p w14:paraId="653A8C1C">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研发出具有自清洁功能的节水型饮水碗，有效降低了传统饮水碗日常清理的繁琐工作量和冲洗产生的污水量，基于猪体温度感应研发了智能饮水装置，降低猪只玩水和饮水漏水等进入粪沟产生的污水量，总体节水率17%以上；优化了猪舍铸铁漏缝地板板条宽度、缝隙宽度和缝隙率等关键参数，在不影响猪只正常生长性能的前提下，地板漏粪率超过87%，在同等承载力的条件下猪圈漏缝地板区域的单日粪便残余量降低31%。</w:t>
      </w:r>
    </w:p>
    <w:tbl>
      <w:tblPr>
        <w:tblStyle w:val="10"/>
        <w:tblW w:w="90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1"/>
      </w:tblGrid>
      <w:tr w14:paraId="46C70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Borders>
              <w:tl2br w:val="nil"/>
              <w:tr2bl w:val="nil"/>
            </w:tcBorders>
            <w:noWrap w:val="0"/>
            <w:vAlign w:val="top"/>
          </w:tcPr>
          <w:p w14:paraId="252E5B9D">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hint="eastAsia" w:ascii="方正黑体_GBK" w:hAnsi="方正黑体_GBK" w:eastAsia="方正黑体_GBK" w:cs="方正黑体_GBK"/>
                <w:b w:val="0"/>
                <w:bCs w:val="0"/>
                <w:color w:val="000000"/>
                <w:sz w:val="28"/>
                <w:szCs w:val="28"/>
                <w:vertAlign w:val="baseline"/>
                <w:lang w:val="en-US" w:eastAsia="zh-CN"/>
              </w:rPr>
            </w:pPr>
            <w:r>
              <w:rPr>
                <w:rFonts w:hint="eastAsia" w:ascii="方正黑体_GBK" w:hAnsi="方正黑体_GBK" w:eastAsia="方正黑体_GBK" w:cs="方正黑体_GBK"/>
                <w:sz w:val="28"/>
                <w:szCs w:val="28"/>
              </w:rPr>
              <w:drawing>
                <wp:inline distT="0" distB="0" distL="114300" distR="114300">
                  <wp:extent cx="5524500" cy="1800225"/>
                  <wp:effectExtent l="0" t="0" r="0" b="9525"/>
                  <wp:docPr id="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pic:cNvPicPr>
                            <a:picLocks noChangeAspect="1"/>
                          </pic:cNvPicPr>
                        </pic:nvPicPr>
                        <pic:blipFill>
                          <a:blip r:embed="rId29"/>
                          <a:stretch>
                            <a:fillRect/>
                          </a:stretch>
                        </pic:blipFill>
                        <pic:spPr>
                          <a:xfrm>
                            <a:off x="0" y="0"/>
                            <a:ext cx="5524500" cy="1800225"/>
                          </a:xfrm>
                          <a:prstGeom prst="rect">
                            <a:avLst/>
                          </a:prstGeom>
                          <a:noFill/>
                          <a:ln>
                            <a:noFill/>
                          </a:ln>
                        </pic:spPr>
                      </pic:pic>
                    </a:graphicData>
                  </a:graphic>
                </wp:inline>
              </w:drawing>
            </w:r>
          </w:p>
        </w:tc>
      </w:tr>
      <w:tr w14:paraId="21DE0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Borders>
              <w:tl2br w:val="nil"/>
              <w:tr2bl w:val="nil"/>
            </w:tcBorders>
            <w:noWrap w:val="0"/>
            <w:vAlign w:val="top"/>
          </w:tcPr>
          <w:p w14:paraId="1C555A43">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hint="eastAsia" w:ascii="方正黑体_GBK" w:hAnsi="方正黑体_GBK" w:eastAsia="方正黑体_GBK" w:cs="方正黑体_GBK"/>
                <w:b w:val="0"/>
                <w:bCs w:val="0"/>
                <w:color w:val="000000"/>
                <w:sz w:val="28"/>
                <w:szCs w:val="28"/>
                <w:vertAlign w:val="baseline"/>
                <w:lang w:val="en-US" w:eastAsia="zh-CN"/>
              </w:rPr>
            </w:pPr>
            <w:r>
              <w:rPr>
                <w:rFonts w:hint="eastAsia" w:ascii="方正黑体_GBK" w:hAnsi="方正黑体_GBK" w:eastAsia="方正黑体_GBK" w:cs="方正黑体_GBK"/>
                <w:b w:val="0"/>
                <w:bCs w:val="0"/>
                <w:color w:val="000000"/>
                <w:sz w:val="28"/>
                <w:szCs w:val="28"/>
                <w:lang w:val="en-US" w:eastAsia="zh-CN"/>
              </w:rPr>
              <w:t>图1 猪用节水型智能饮水器（左）和新型漏缝地板清洁效果（右）</w:t>
            </w:r>
          </w:p>
        </w:tc>
      </w:tr>
    </w:tbl>
    <w:p w14:paraId="34D39179">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（二）创制猪舍刮粪、场区转运和信息管控平台等智能化清粪系统装备，降低规模化猪场清粪环节的劳动力依赖和粪污总量，推动生猪养殖的“机器换人”进程</w:t>
      </w:r>
    </w:p>
    <w:p w14:paraId="2CEC9114">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rPr>
        <w:t>1、创制猪舍粪沟自动刮粪系统，实现猪舍粪尿分离式高效清理</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lang w:val="en-US" w:eastAsia="zh-CN"/>
        </w:rPr>
        <w:t>以节水降污的粪尿分离式机械干清粪工艺为主，研发出适用于多种应用场景步进式猪舍粪沟刮粪机；创新设计了曲柄连杆式刮粪机传动机构，优化了材料选型、连接方式和转速，刮粪机运行阻力和能耗分别降低15.6%和41.2%，构建了“曲柄连杆+推杆+转向键”的自动刮粪系统，粪沟刮净度&gt;95%，单次刮粪量达500kg；优化了猪舍刮粪系统关键运行参数，粪便收集量提高32.3%、污水收集量降低3.39%，为场区粪尿分离式自动转运奠定了基础。（数据来源出处：公开发表的论文，不同机械干清粪频次对生长猪舍内环境和粪污排放的影响）</w:t>
      </w:r>
    </w:p>
    <w:tbl>
      <w:tblPr>
        <w:tblStyle w:val="10"/>
        <w:tblW w:w="90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1"/>
      </w:tblGrid>
      <w:tr w14:paraId="2E4A9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Borders>
              <w:tl2br w:val="nil"/>
              <w:tr2bl w:val="nil"/>
            </w:tcBorders>
            <w:noWrap w:val="0"/>
            <w:vAlign w:val="top"/>
          </w:tcPr>
          <w:p w14:paraId="29311172">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vertAlign w:val="baseline"/>
                <w:lang w:val="en-US" w:eastAsia="zh-CN"/>
              </w:rPr>
            </w:pPr>
            <w:r>
              <w:drawing>
                <wp:inline distT="0" distB="0" distL="114300" distR="114300">
                  <wp:extent cx="5614670" cy="1723390"/>
                  <wp:effectExtent l="0" t="0" r="5080" b="1016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30"/>
                          <a:stretch>
                            <a:fillRect/>
                          </a:stretch>
                        </pic:blipFill>
                        <pic:spPr>
                          <a:xfrm>
                            <a:off x="0" y="0"/>
                            <a:ext cx="5614670" cy="1723390"/>
                          </a:xfrm>
                          <a:prstGeom prst="rect">
                            <a:avLst/>
                          </a:prstGeom>
                          <a:noFill/>
                          <a:ln>
                            <a:noFill/>
                          </a:ln>
                        </pic:spPr>
                      </pic:pic>
                    </a:graphicData>
                  </a:graphic>
                </wp:inline>
              </w:drawing>
            </w:r>
          </w:p>
        </w:tc>
      </w:tr>
      <w:tr w14:paraId="235F6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Borders>
              <w:tl2br w:val="nil"/>
              <w:tr2bl w:val="nil"/>
            </w:tcBorders>
            <w:noWrap w:val="0"/>
            <w:vAlign w:val="top"/>
          </w:tcPr>
          <w:p w14:paraId="781C700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vertAlign w:val="baseline"/>
                <w:lang w:val="en-US" w:eastAsia="zh-CN"/>
              </w:rPr>
            </w:pPr>
            <w:r>
              <w:rPr>
                <w:rFonts w:hint="eastAsia" w:ascii="方正黑体_GBK" w:hAnsi="方正黑体_GBK" w:eastAsia="方正黑体_GBK" w:cs="方正黑体_GBK"/>
                <w:b w:val="0"/>
                <w:bCs w:val="0"/>
                <w:color w:val="000000"/>
                <w:sz w:val="28"/>
                <w:szCs w:val="28"/>
                <w:lang w:val="en-US" w:eastAsia="zh-CN"/>
              </w:rPr>
              <w:t>图2 猪舍粪尿分离式自动刮粪系统设计与应用</w:t>
            </w:r>
          </w:p>
        </w:tc>
      </w:tr>
    </w:tbl>
    <w:p w14:paraId="39BD49A0">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2、研发出场区粪便转运系统</w:t>
      </w:r>
    </w:p>
    <w:p w14:paraId="1473D2C9">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研发出猪场粪便自动化联动转运系统，采用“运粪+提粪+卸粪+储粪”模式将不同猪舍粪沟的粪便转运至集中储粪点，运粪车运行速度为10.9m/min，提升速度为3.6m/min，卸粪速度为0.1 rad/s，单次运粪量达700L，具有自动称重、升降、卸粪以及显示电量、运行位置、运粪量等信息化和自动化功能。</w:t>
      </w:r>
    </w:p>
    <w:tbl>
      <w:tblPr>
        <w:tblStyle w:val="10"/>
        <w:tblW w:w="90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1"/>
      </w:tblGrid>
      <w:tr w14:paraId="1E0BC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Borders>
              <w:tl2br w:val="nil"/>
              <w:tr2bl w:val="nil"/>
            </w:tcBorders>
            <w:noWrap w:val="0"/>
            <w:vAlign w:val="top"/>
          </w:tcPr>
          <w:p w14:paraId="5D2353D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vertAlign w:val="baseline"/>
                <w:lang w:val="en-US" w:eastAsia="zh-CN"/>
              </w:rPr>
            </w:pPr>
            <w:r>
              <w:drawing>
                <wp:inline distT="0" distB="0" distL="114300" distR="114300">
                  <wp:extent cx="5612130" cy="1623695"/>
                  <wp:effectExtent l="0" t="0" r="7620" b="14605"/>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31"/>
                          <a:stretch>
                            <a:fillRect/>
                          </a:stretch>
                        </pic:blipFill>
                        <pic:spPr>
                          <a:xfrm>
                            <a:off x="0" y="0"/>
                            <a:ext cx="5612130" cy="1623695"/>
                          </a:xfrm>
                          <a:prstGeom prst="rect">
                            <a:avLst/>
                          </a:prstGeom>
                          <a:noFill/>
                          <a:ln>
                            <a:noFill/>
                          </a:ln>
                        </pic:spPr>
                      </pic:pic>
                    </a:graphicData>
                  </a:graphic>
                </wp:inline>
              </w:drawing>
            </w:r>
          </w:p>
        </w:tc>
      </w:tr>
      <w:tr w14:paraId="57B87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Borders>
              <w:tl2br w:val="nil"/>
              <w:tr2bl w:val="nil"/>
            </w:tcBorders>
            <w:noWrap w:val="0"/>
            <w:vAlign w:val="top"/>
          </w:tcPr>
          <w:p w14:paraId="49E2A9B7">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vertAlign w:val="baseline"/>
                <w:lang w:val="en-US" w:eastAsia="zh-CN"/>
              </w:rPr>
            </w:pPr>
            <w:r>
              <w:rPr>
                <w:rFonts w:hint="eastAsia" w:ascii="方正黑体_GBK" w:hAnsi="方正黑体_GBK" w:eastAsia="方正黑体_GBK" w:cs="方正黑体_GBK"/>
                <w:b w:val="0"/>
                <w:bCs w:val="0"/>
                <w:lang w:val="en-US" w:eastAsia="zh-CN"/>
              </w:rPr>
              <w:t>图2 场区粪便联动转运系统和自动运粪车设计方案及猪场应用</w:t>
            </w:r>
          </w:p>
        </w:tc>
      </w:tr>
    </w:tbl>
    <w:p w14:paraId="40574B56">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仿宋_GBK" w:cs="方正仿宋_GBK"/>
          <w:b w:val="0"/>
          <w:bCs w:val="0"/>
          <w:color w:val="000000"/>
          <w:sz w:val="32"/>
          <w:szCs w:val="32"/>
        </w:rPr>
        <w:t>3、构建了猪场自动清粪信息化管理平台，实现高效远程维护与管控</w:t>
      </w:r>
      <w:r>
        <w:rPr>
          <w:rFonts w:hint="eastAsia" w:ascii="方正仿宋_GBK" w:hAnsi="方正仿宋_GBK" w:eastAsia="方正仿宋_GBK" w:cs="方正仿宋_GBK"/>
          <w:b w:val="0"/>
          <w:bCs w:val="0"/>
          <w:color w:val="000000"/>
          <w:sz w:val="32"/>
          <w:szCs w:val="32"/>
          <w:lang w:eastAsia="zh-CN"/>
        </w:rPr>
        <w:t>。</w:t>
      </w:r>
    </w:p>
    <w:p w14:paraId="385DF0AF">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基于光电传感器配置和物联网等现代信息技术，研发出猪场清粪系统信息平台，具有实时状态、故障报警、控制与调试等5大功能模块，实现了刮粪机、运粪车、提升机等关键环节装备的远程全自动控制、半自动控制和手动调试，通过自动采集分析系统各机构的运行状态及位置信息进行系统故障预警预防，有效提高系统稳定性和维护效率，实现生猪养殖清粪环节“机器换人”的目标。</w:t>
      </w:r>
    </w:p>
    <w:p w14:paraId="623E4C13">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drawing>
          <wp:anchor distT="0" distB="0" distL="114300" distR="114300" simplePos="0" relativeHeight="251659264" behindDoc="0" locked="0" layoutInCell="1" allowOverlap="1">
            <wp:simplePos x="0" y="0"/>
            <wp:positionH relativeFrom="column">
              <wp:posOffset>2935605</wp:posOffset>
            </wp:positionH>
            <wp:positionV relativeFrom="paragraph">
              <wp:posOffset>86995</wp:posOffset>
            </wp:positionV>
            <wp:extent cx="2682875" cy="1727835"/>
            <wp:effectExtent l="0" t="0" r="3175" b="5715"/>
            <wp:wrapNone/>
            <wp:docPr id="51" name="图片 2"/>
            <wp:cNvGraphicFramePr/>
            <a:graphic xmlns:a="http://schemas.openxmlformats.org/drawingml/2006/main">
              <a:graphicData uri="http://schemas.openxmlformats.org/drawingml/2006/picture">
                <pic:pic xmlns:pic="http://schemas.openxmlformats.org/drawingml/2006/picture">
                  <pic:nvPicPr>
                    <pic:cNvPr id="51" name="图片 2"/>
                    <pic:cNvPicPr/>
                  </pic:nvPicPr>
                  <pic:blipFill>
                    <a:blip r:embed="rId32"/>
                    <a:srcRect t="14999" r="610"/>
                    <a:stretch>
                      <a:fillRect/>
                    </a:stretch>
                  </pic:blipFill>
                  <pic:spPr>
                    <a:xfrm>
                      <a:off x="0" y="0"/>
                      <a:ext cx="2682875" cy="1727835"/>
                    </a:xfrm>
                    <a:prstGeom prst="rect">
                      <a:avLst/>
                    </a:prstGeom>
                    <a:noFill/>
                    <a:ln>
                      <a:noFill/>
                    </a:ln>
                  </pic:spPr>
                </pic:pic>
              </a:graphicData>
            </a:graphic>
          </wp:anchor>
        </w:drawing>
      </w:r>
      <w:r>
        <w:rPr>
          <w:rFonts w:hint="eastAsia" w:ascii="方正仿宋_GBK" w:hAnsi="方正仿宋_GBK" w:eastAsia="方正仿宋_GBK" w:cs="方正仿宋_GBK"/>
          <w:b w:val="0"/>
          <w:bCs w:val="0"/>
          <w:color w:val="000000"/>
          <w:sz w:val="32"/>
          <w:szCs w:val="32"/>
        </w:rPr>
        <w:drawing>
          <wp:anchor distT="0" distB="0" distL="114300" distR="114300" simplePos="0" relativeHeight="251660288" behindDoc="0" locked="0" layoutInCell="1" allowOverlap="1">
            <wp:simplePos x="0" y="0"/>
            <wp:positionH relativeFrom="column">
              <wp:posOffset>10795</wp:posOffset>
            </wp:positionH>
            <wp:positionV relativeFrom="paragraph">
              <wp:posOffset>87630</wp:posOffset>
            </wp:positionV>
            <wp:extent cx="2893060" cy="1727835"/>
            <wp:effectExtent l="0" t="0" r="2540" b="5715"/>
            <wp:wrapNone/>
            <wp:docPr id="53" name="图片 3"/>
            <wp:cNvGraphicFramePr/>
            <a:graphic xmlns:a="http://schemas.openxmlformats.org/drawingml/2006/main">
              <a:graphicData uri="http://schemas.openxmlformats.org/drawingml/2006/picture">
                <pic:pic xmlns:pic="http://schemas.openxmlformats.org/drawingml/2006/picture">
                  <pic:nvPicPr>
                    <pic:cNvPr id="53" name="图片 3"/>
                    <pic:cNvPicPr/>
                  </pic:nvPicPr>
                  <pic:blipFill>
                    <a:blip r:embed="rId33"/>
                    <a:srcRect l="3909" t="6201" r="5682" b="987"/>
                    <a:stretch>
                      <a:fillRect/>
                    </a:stretch>
                  </pic:blipFill>
                  <pic:spPr>
                    <a:xfrm>
                      <a:off x="0" y="0"/>
                      <a:ext cx="2893060" cy="1727835"/>
                    </a:xfrm>
                    <a:prstGeom prst="rect">
                      <a:avLst/>
                    </a:prstGeom>
                    <a:noFill/>
                    <a:ln>
                      <a:noFill/>
                    </a:ln>
                  </pic:spPr>
                </pic:pic>
              </a:graphicData>
            </a:graphic>
          </wp:anchor>
        </w:drawing>
      </w:r>
    </w:p>
    <w:p w14:paraId="46FC4E60">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p>
    <w:p w14:paraId="02590228">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p>
    <w:p w14:paraId="5C098E97">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p>
    <w:p w14:paraId="13FED859">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p>
    <w:p w14:paraId="1277B481">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560" w:firstLineChars="200"/>
        <w:jc w:val="center"/>
        <w:textAlignment w:val="auto"/>
        <w:rPr>
          <w:rFonts w:hint="eastAsia" w:ascii="方正黑体_GBK" w:hAnsi="方正黑体_GBK" w:eastAsia="方正黑体_GBK" w:cs="方正黑体_GBK"/>
          <w:b w:val="0"/>
          <w:bCs w:val="0"/>
          <w:color w:val="000000"/>
          <w:sz w:val="28"/>
          <w:szCs w:val="28"/>
          <w:lang w:val="en-US" w:eastAsia="zh-CN"/>
        </w:rPr>
      </w:pPr>
      <w:r>
        <w:rPr>
          <w:rFonts w:hint="eastAsia" w:ascii="方正黑体_GBK" w:hAnsi="方正黑体_GBK" w:eastAsia="方正黑体_GBK" w:cs="方正黑体_GBK"/>
          <w:b w:val="0"/>
          <w:bCs w:val="0"/>
          <w:color w:val="000000"/>
          <w:sz w:val="28"/>
          <w:szCs w:val="28"/>
          <w:lang w:val="en-US" w:eastAsia="zh-CN"/>
        </w:rPr>
        <w:t>图3 猪场自动清粪系统信息平台</w:t>
      </w:r>
    </w:p>
    <w:p w14:paraId="007CAE68">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三、适宜区域</w:t>
      </w:r>
    </w:p>
    <w:p w14:paraId="675D9A6A">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该技术适用于重庆市规模猪场全漏缝地板和局部漏缝地板猪舍。</w:t>
      </w:r>
    </w:p>
    <w:p w14:paraId="25CBE3A0">
      <w:pPr>
        <w:pageBreakBefore w:val="0"/>
        <w:numPr>
          <w:ilvl w:val="0"/>
          <w:numId w:val="0"/>
        </w:numPr>
        <w:wordWrap/>
        <w:overflowPunct/>
        <w:topLinePunct w:val="0"/>
        <w:bidi w:val="0"/>
        <w:snapToGrid w:val="0"/>
        <w:spacing w:beforeAutospacing="0" w:afterAutospacing="0" w:line="600" w:lineRule="exact"/>
        <w:ind w:leftChars="200" w:right="0" w:rightChars="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黑体_GBK" w:cs="方正仿宋_GBK"/>
          <w:b w:val="0"/>
          <w:bCs w:val="0"/>
          <w:color w:val="000000"/>
          <w:sz w:val="32"/>
          <w:szCs w:val="32"/>
          <w:lang w:val="en-US" w:eastAsia="zh-CN"/>
        </w:rPr>
        <w:t>四、注意事项</w:t>
      </w:r>
    </w:p>
    <w:p w14:paraId="668FD7B5">
      <w:pPr>
        <w:keepNext w:val="0"/>
        <w:keepLines w:val="0"/>
        <w:pageBreakBefore w:val="0"/>
        <w:widowControl w:val="0"/>
        <w:kinsoku/>
        <w:wordWrap/>
        <w:overflowPunct/>
        <w:topLinePunct w:val="0"/>
        <w:autoSpaceDE/>
        <w:autoSpaceDN/>
        <w:bidi w:val="0"/>
        <w:adjustRightInd/>
        <w:snapToGrid w:val="0"/>
        <w:spacing w:beforeAutospacing="0" w:afterAutospacing="0" w:line="600" w:lineRule="exact"/>
        <w:ind w:left="0" w:leftChars="0" w:right="0" w:rightChars="0" w:firstLine="640" w:firstLineChars="200"/>
        <w:jc w:val="left"/>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猪场自动清粪信息化管理平台的成本问题。</w:t>
      </w:r>
    </w:p>
    <w:p w14:paraId="379DEB04">
      <w:pPr>
        <w:pageBreakBefore w:val="0"/>
        <w:numPr>
          <w:ilvl w:val="0"/>
          <w:numId w:val="0"/>
        </w:numPr>
        <w:wordWrap/>
        <w:overflowPunct/>
        <w:topLinePunct w:val="0"/>
        <w:bidi w:val="0"/>
        <w:snapToGrid w:val="0"/>
        <w:spacing w:beforeAutospacing="0" w:afterAutospacing="0" w:line="600" w:lineRule="exact"/>
        <w:ind w:leftChars="200" w:right="0" w:rightChars="0"/>
        <w:rPr>
          <w:rFonts w:hint="eastAsia" w:ascii="方正仿宋_GBK" w:hAnsi="方正仿宋_GBK" w:eastAsia="方正仿宋_GBK" w:cs="方正仿宋_GBK"/>
          <w:b w:val="0"/>
          <w:bCs w:val="0"/>
          <w:color w:val="000000"/>
          <w:sz w:val="32"/>
          <w:szCs w:val="32"/>
          <w:highlight w:val="none"/>
        </w:rPr>
      </w:pPr>
      <w:r>
        <w:rPr>
          <w:rFonts w:hint="eastAsia" w:ascii="方正仿宋_GBK" w:hAnsi="方正仿宋_GBK" w:eastAsia="方正黑体_GBK" w:cs="方正仿宋_GBK"/>
          <w:b w:val="0"/>
          <w:bCs w:val="0"/>
          <w:color w:val="000000"/>
          <w:sz w:val="32"/>
          <w:szCs w:val="32"/>
          <w:highlight w:val="none"/>
          <w:lang w:val="en-US" w:eastAsia="zh-CN"/>
        </w:rPr>
        <w:t>五、技术依托单位</w:t>
      </w:r>
    </w:p>
    <w:p w14:paraId="19AD50BD">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lang w:eastAsia="zh-CN"/>
        </w:rPr>
        <w:t>（一）</w:t>
      </w:r>
      <w:r>
        <w:rPr>
          <w:rFonts w:hint="eastAsia" w:ascii="方正楷体_GBK" w:hAnsi="方正楷体_GBK" w:eastAsia="方正楷体_GBK" w:cs="方正楷体_GBK"/>
          <w:b w:val="0"/>
          <w:bCs w:val="0"/>
          <w:color w:val="000000"/>
          <w:sz w:val="32"/>
          <w:szCs w:val="32"/>
        </w:rPr>
        <w:t>重庆市畜牧科学院</w:t>
      </w:r>
    </w:p>
    <w:p w14:paraId="3592A9B9">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联系地址：重庆市荣昌区昌州街道昌龙大道51号</w:t>
      </w:r>
    </w:p>
    <w:p w14:paraId="4BEBB289">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邮政编码：402460</w:t>
      </w:r>
    </w:p>
    <w:p w14:paraId="60EEB365">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 系 人：王浩</w:t>
      </w:r>
    </w:p>
    <w:p w14:paraId="3523E38B">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联系电话：18323396992</w:t>
      </w:r>
    </w:p>
    <w:p w14:paraId="0A82FBBA">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电子邮箱：</w:t>
      </w:r>
      <w:r>
        <w:rPr>
          <w:rFonts w:hint="eastAsia" w:ascii="方正仿宋_GBK" w:hAnsi="方正仿宋_GBK" w:eastAsia="方正仿宋_GBK" w:cs="方正仿宋_GBK"/>
          <w:b w:val="0"/>
          <w:bCs w:val="0"/>
          <w:color w:val="000000"/>
          <w:sz w:val="32"/>
          <w:szCs w:val="32"/>
          <w:lang w:val="en-US" w:eastAsia="zh-CN"/>
        </w:rPr>
        <w:fldChar w:fldCharType="begin"/>
      </w:r>
      <w:r>
        <w:rPr>
          <w:rFonts w:hint="eastAsia" w:ascii="方正仿宋_GBK" w:hAnsi="方正仿宋_GBK" w:eastAsia="方正仿宋_GBK" w:cs="方正仿宋_GBK"/>
          <w:b w:val="0"/>
          <w:bCs w:val="0"/>
          <w:color w:val="000000"/>
          <w:sz w:val="32"/>
          <w:szCs w:val="32"/>
          <w:lang w:val="en-US" w:eastAsia="zh-CN"/>
        </w:rPr>
        <w:instrText xml:space="preserve"> HYPERLINK "mailto:wanghaocau@163.com" </w:instrText>
      </w:r>
      <w:r>
        <w:rPr>
          <w:rFonts w:hint="eastAsia" w:ascii="方正仿宋_GBK" w:hAnsi="方正仿宋_GBK" w:eastAsia="方正仿宋_GBK" w:cs="方正仿宋_GBK"/>
          <w:b w:val="0"/>
          <w:bCs w:val="0"/>
          <w:color w:val="000000"/>
          <w:sz w:val="32"/>
          <w:szCs w:val="32"/>
          <w:lang w:val="en-US" w:eastAsia="zh-CN"/>
        </w:rPr>
        <w:fldChar w:fldCharType="separate"/>
      </w:r>
      <w:r>
        <w:rPr>
          <w:rFonts w:hint="eastAsia" w:ascii="方正仿宋_GBK" w:hAnsi="方正仿宋_GBK" w:eastAsia="方正仿宋_GBK" w:cs="方正仿宋_GBK"/>
          <w:b w:val="0"/>
          <w:bCs w:val="0"/>
          <w:color w:val="000000"/>
          <w:sz w:val="32"/>
          <w:szCs w:val="32"/>
          <w:lang w:val="en-US" w:eastAsia="zh-CN"/>
        </w:rPr>
        <w:t>wanghaocau@163.com</w:t>
      </w:r>
      <w:r>
        <w:rPr>
          <w:rFonts w:hint="eastAsia" w:ascii="方正仿宋_GBK" w:hAnsi="方正仿宋_GBK" w:eastAsia="方正仿宋_GBK" w:cs="方正仿宋_GBK"/>
          <w:b w:val="0"/>
          <w:bCs w:val="0"/>
          <w:color w:val="000000"/>
          <w:sz w:val="32"/>
          <w:szCs w:val="32"/>
          <w:lang w:val="en-US" w:eastAsia="zh-CN"/>
        </w:rPr>
        <w:fldChar w:fldCharType="end"/>
      </w:r>
    </w:p>
    <w:p w14:paraId="13D9DA1F">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w:t>
      </w:r>
      <w:r>
        <w:rPr>
          <w:rFonts w:hint="eastAsia" w:ascii="方正楷体_GBK" w:hAnsi="方正楷体_GBK" w:eastAsia="方正楷体_GBK" w:cs="方正楷体_GBK"/>
          <w:b w:val="0"/>
          <w:bCs w:val="0"/>
          <w:color w:val="000000"/>
          <w:sz w:val="32"/>
          <w:szCs w:val="32"/>
          <w:lang w:val="en-US" w:eastAsia="zh-CN"/>
        </w:rPr>
        <w:t>二</w:t>
      </w:r>
      <w:r>
        <w:rPr>
          <w:rFonts w:hint="eastAsia" w:ascii="方正楷体_GBK" w:hAnsi="方正楷体_GBK" w:eastAsia="方正楷体_GBK" w:cs="方正楷体_GBK"/>
          <w:b w:val="0"/>
          <w:bCs w:val="0"/>
          <w:color w:val="000000"/>
          <w:sz w:val="32"/>
          <w:szCs w:val="32"/>
          <w:lang w:eastAsia="zh-CN"/>
        </w:rPr>
        <w:t>）重庆市畜牧技术推广总站</w:t>
      </w:r>
    </w:p>
    <w:p w14:paraId="52D68029">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联系地址：重庆市两江新区黄山大道东段186号</w:t>
      </w:r>
    </w:p>
    <w:p w14:paraId="189C74E8">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邮政编码：401121</w:t>
      </w:r>
    </w:p>
    <w:p w14:paraId="5633BAB1">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 系 人：程尚</w:t>
      </w:r>
    </w:p>
    <w:p w14:paraId="1279038C">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联系电话：023-89133856、15909326898</w:t>
      </w:r>
    </w:p>
    <w:p w14:paraId="617970A3">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电子邮箱：chengshang3@126.com</w:t>
      </w:r>
    </w:p>
    <w:p w14:paraId="54CC1123">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w:t>
      </w:r>
      <w:r>
        <w:rPr>
          <w:rFonts w:hint="eastAsia" w:ascii="方正楷体_GBK" w:hAnsi="方正楷体_GBK" w:eastAsia="方正楷体_GBK" w:cs="方正楷体_GBK"/>
          <w:b w:val="0"/>
          <w:bCs w:val="0"/>
          <w:color w:val="000000"/>
          <w:sz w:val="32"/>
          <w:szCs w:val="32"/>
          <w:lang w:val="en-US" w:eastAsia="zh-CN"/>
        </w:rPr>
        <w:t>三</w:t>
      </w:r>
      <w:r>
        <w:rPr>
          <w:rFonts w:hint="eastAsia" w:ascii="方正楷体_GBK" w:hAnsi="方正楷体_GBK" w:eastAsia="方正楷体_GBK" w:cs="方正楷体_GBK"/>
          <w:b w:val="0"/>
          <w:bCs w:val="0"/>
          <w:color w:val="000000"/>
          <w:sz w:val="32"/>
          <w:szCs w:val="32"/>
          <w:lang w:eastAsia="zh-CN"/>
        </w:rPr>
        <w:t>）重庆大学</w:t>
      </w:r>
    </w:p>
    <w:p w14:paraId="7D78A693">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联系地址：重庆市沙坪坝区沙北街83号环境学院340室</w:t>
      </w:r>
    </w:p>
    <w:p w14:paraId="4F4EC6D3">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邮政编码：400045</w:t>
      </w:r>
    </w:p>
    <w:p w14:paraId="7108EFFB">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 系 人：古励</w:t>
      </w:r>
    </w:p>
    <w:p w14:paraId="510F3442">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联系电话：023-65120029、13896132757</w:t>
      </w:r>
    </w:p>
    <w:p w14:paraId="6F38C87D">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电子邮箱：guli@cqu.edu.cn</w:t>
      </w:r>
    </w:p>
    <w:p w14:paraId="0742034B">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w:t>
      </w:r>
      <w:r>
        <w:rPr>
          <w:rFonts w:hint="eastAsia" w:ascii="方正楷体_GBK" w:hAnsi="方正楷体_GBK" w:eastAsia="方正楷体_GBK" w:cs="方正楷体_GBK"/>
          <w:b w:val="0"/>
          <w:bCs w:val="0"/>
          <w:color w:val="000000"/>
          <w:sz w:val="32"/>
          <w:szCs w:val="32"/>
          <w:lang w:val="en-US" w:eastAsia="zh-CN"/>
        </w:rPr>
        <w:t>四</w:t>
      </w:r>
      <w:r>
        <w:rPr>
          <w:rFonts w:hint="eastAsia" w:ascii="方正楷体_GBK" w:hAnsi="方正楷体_GBK" w:eastAsia="方正楷体_GBK" w:cs="方正楷体_GBK"/>
          <w:b w:val="0"/>
          <w:bCs w:val="0"/>
          <w:color w:val="000000"/>
          <w:sz w:val="32"/>
          <w:szCs w:val="32"/>
          <w:lang w:eastAsia="zh-CN"/>
        </w:rPr>
        <w:t>）西南大学</w:t>
      </w:r>
    </w:p>
    <w:p w14:paraId="6B87F648">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联系地址：重庆市北碚区天生路2号</w:t>
      </w:r>
    </w:p>
    <w:p w14:paraId="577759E6">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邮政编码：400715</w:t>
      </w:r>
    </w:p>
    <w:p w14:paraId="335538EA">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 系 人：肖然</w:t>
      </w:r>
    </w:p>
    <w:p w14:paraId="3EB1356F">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联系电话：18990681839</w:t>
      </w:r>
    </w:p>
    <w:p w14:paraId="0234DE02">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电子邮箱：</w:t>
      </w:r>
      <w:r>
        <w:rPr>
          <w:rFonts w:hint="eastAsia" w:ascii="方正仿宋_GBK" w:hAnsi="方正仿宋_GBK" w:eastAsia="方正仿宋_GBK" w:cs="方正仿宋_GBK"/>
          <w:b w:val="0"/>
          <w:bCs w:val="0"/>
          <w:color w:val="000000"/>
          <w:sz w:val="32"/>
          <w:szCs w:val="32"/>
          <w:lang w:val="en-US" w:eastAsia="zh-CN"/>
        </w:rPr>
        <w:fldChar w:fldCharType="begin"/>
      </w:r>
      <w:r>
        <w:rPr>
          <w:rFonts w:hint="eastAsia" w:ascii="方正仿宋_GBK" w:hAnsi="方正仿宋_GBK" w:eastAsia="方正仿宋_GBK" w:cs="方正仿宋_GBK"/>
          <w:b w:val="0"/>
          <w:bCs w:val="0"/>
          <w:color w:val="000000"/>
          <w:sz w:val="32"/>
          <w:szCs w:val="32"/>
          <w:lang w:val="en-US" w:eastAsia="zh-CN"/>
        </w:rPr>
        <w:instrText xml:space="preserve"> HYPERLINK "mailto:xiaoran0012@swu.edu.cn" </w:instrText>
      </w:r>
      <w:r>
        <w:rPr>
          <w:rFonts w:hint="eastAsia" w:ascii="方正仿宋_GBK" w:hAnsi="方正仿宋_GBK" w:eastAsia="方正仿宋_GBK" w:cs="方正仿宋_GBK"/>
          <w:b w:val="0"/>
          <w:bCs w:val="0"/>
          <w:color w:val="000000"/>
          <w:sz w:val="32"/>
          <w:szCs w:val="32"/>
          <w:lang w:val="en-US" w:eastAsia="zh-CN"/>
        </w:rPr>
        <w:fldChar w:fldCharType="separate"/>
      </w:r>
      <w:r>
        <w:rPr>
          <w:rFonts w:hint="eastAsia" w:ascii="方正仿宋_GBK" w:hAnsi="方正仿宋_GBK" w:eastAsia="方正仿宋_GBK" w:cs="方正仿宋_GBK"/>
          <w:b w:val="0"/>
          <w:bCs w:val="0"/>
          <w:color w:val="000000"/>
          <w:sz w:val="32"/>
          <w:szCs w:val="32"/>
          <w:lang w:val="en-US" w:eastAsia="zh-CN"/>
        </w:rPr>
        <w:t>xiaoran0012@swu.edu.cn</w:t>
      </w:r>
      <w:r>
        <w:rPr>
          <w:rFonts w:hint="eastAsia" w:ascii="方正仿宋_GBK" w:hAnsi="方正仿宋_GBK" w:eastAsia="方正仿宋_GBK" w:cs="方正仿宋_GBK"/>
          <w:b w:val="0"/>
          <w:bCs w:val="0"/>
          <w:color w:val="000000"/>
          <w:sz w:val="32"/>
          <w:szCs w:val="32"/>
          <w:lang w:val="en-US" w:eastAsia="zh-CN"/>
        </w:rPr>
        <w:fldChar w:fldCharType="end"/>
      </w:r>
    </w:p>
    <w:p w14:paraId="0653F0C0">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w:t>
      </w:r>
      <w:r>
        <w:rPr>
          <w:rFonts w:hint="eastAsia" w:ascii="方正仿宋_GBK" w:hAnsi="方正仿宋_GBK" w:eastAsia="方正仿宋_GBK" w:cs="方正仿宋_GBK"/>
          <w:b w:val="0"/>
          <w:bCs w:val="0"/>
          <w:color w:val="000000"/>
          <w:sz w:val="32"/>
          <w:szCs w:val="32"/>
          <w:lang w:val="en-US" w:eastAsia="zh-CN"/>
        </w:rPr>
        <w:t>联系地址：重庆市南岸区学府大道66号河海学院310室</w:t>
      </w:r>
    </w:p>
    <w:p w14:paraId="4C2772B9">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邮政编码：400074</w:t>
      </w:r>
    </w:p>
    <w:p w14:paraId="1C474E49">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 系 人：潘伟亮</w:t>
      </w:r>
    </w:p>
    <w:p w14:paraId="65D0260D">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联系电话：023-62652714、15223412604</w:t>
      </w:r>
    </w:p>
    <w:p w14:paraId="2B0B5EBC">
      <w:pPr>
        <w:pStyle w:val="3"/>
        <w:bidi w:val="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电子邮箱：</w:t>
      </w:r>
      <w:r>
        <w:rPr>
          <w:rFonts w:hint="eastAsia" w:ascii="方正仿宋_GBK" w:hAnsi="方正仿宋_GBK" w:eastAsia="方正仿宋_GBK" w:cs="方正仿宋_GBK"/>
          <w:b w:val="0"/>
          <w:bCs w:val="0"/>
          <w:color w:val="000000"/>
          <w:sz w:val="32"/>
          <w:szCs w:val="32"/>
          <w:lang w:val="en-US" w:eastAsia="zh-CN"/>
        </w:rPr>
        <w:fldChar w:fldCharType="begin"/>
      </w:r>
      <w:r>
        <w:rPr>
          <w:rFonts w:hint="eastAsia" w:ascii="方正仿宋_GBK" w:hAnsi="方正仿宋_GBK" w:eastAsia="方正仿宋_GBK" w:cs="方正仿宋_GBK"/>
          <w:b w:val="0"/>
          <w:bCs w:val="0"/>
          <w:color w:val="000000"/>
          <w:sz w:val="32"/>
          <w:szCs w:val="32"/>
          <w:lang w:val="en-US" w:eastAsia="zh-CN"/>
        </w:rPr>
        <w:instrText xml:space="preserve"> HYPERLINK "mailto:panweiliang@cqjtu.ed" </w:instrText>
      </w:r>
      <w:r>
        <w:rPr>
          <w:rFonts w:hint="eastAsia" w:ascii="方正仿宋_GBK" w:hAnsi="方正仿宋_GBK" w:eastAsia="方正仿宋_GBK" w:cs="方正仿宋_GBK"/>
          <w:b w:val="0"/>
          <w:bCs w:val="0"/>
          <w:color w:val="000000"/>
          <w:sz w:val="32"/>
          <w:szCs w:val="32"/>
          <w:lang w:val="en-US" w:eastAsia="zh-CN"/>
        </w:rPr>
        <w:fldChar w:fldCharType="separate"/>
      </w:r>
      <w:r>
        <w:rPr>
          <w:rStyle w:val="12"/>
          <w:rFonts w:hint="eastAsia" w:ascii="方正仿宋_GBK" w:hAnsi="方正仿宋_GBK" w:eastAsia="方正仿宋_GBK" w:cs="方正仿宋_GBK"/>
          <w:b w:val="0"/>
          <w:bCs w:val="0"/>
          <w:color w:val="000000"/>
          <w:sz w:val="32"/>
          <w:szCs w:val="32"/>
          <w:lang w:val="en-US" w:eastAsia="zh-CN"/>
        </w:rPr>
        <w:t>panweiliang@cqjtu.ed</w:t>
      </w:r>
      <w:r>
        <w:rPr>
          <w:rFonts w:hint="eastAsia" w:ascii="方正仿宋_GBK" w:hAnsi="方正仿宋_GBK" w:eastAsia="方正仿宋_GBK" w:cs="方正仿宋_GBK"/>
          <w:b w:val="0"/>
          <w:bCs w:val="0"/>
          <w:color w:val="000000"/>
          <w:sz w:val="32"/>
          <w:szCs w:val="32"/>
          <w:lang w:val="en-US" w:eastAsia="zh-CN"/>
        </w:rPr>
        <w:fldChar w:fldCharType="end"/>
      </w:r>
    </w:p>
    <w:p w14:paraId="4E4BA4AC">
      <w:pPr>
        <w:rPr>
          <w:rFonts w:hint="default"/>
          <w:lang w:val="en-US" w:eastAsia="zh-CN"/>
        </w:rPr>
      </w:pPr>
    </w:p>
    <w:p w14:paraId="719FA0C8">
      <w:pPr>
        <w:pStyle w:val="2"/>
        <w:rPr>
          <w:rFonts w:hint="default"/>
          <w:lang w:val="en-US" w:eastAsia="zh-CN"/>
        </w:rPr>
      </w:pPr>
    </w:p>
    <w:p w14:paraId="0D08950E">
      <w:pPr>
        <w:rPr>
          <w:rFonts w:hint="default"/>
          <w:lang w:val="en-US" w:eastAsia="zh-CN"/>
        </w:rPr>
      </w:pPr>
    </w:p>
    <w:p w14:paraId="75B7932B">
      <w:pPr>
        <w:pStyle w:val="3"/>
        <w:bidi w:val="0"/>
        <w:rPr>
          <w:rFonts w:hint="eastAsia"/>
        </w:rPr>
      </w:pPr>
      <w:r>
        <w:rPr>
          <w:rFonts w:hint="eastAsia"/>
          <w:lang w:val="en-US" w:eastAsia="zh-CN"/>
        </w:rPr>
        <w:t>7.</w:t>
      </w:r>
      <w:r>
        <w:rPr>
          <w:rFonts w:hint="eastAsia"/>
        </w:rPr>
        <w:t>肉兔高效繁殖与批次化生产管理技术</w:t>
      </w:r>
    </w:p>
    <w:p w14:paraId="3CEAB332">
      <w:pPr>
        <w:pageBreakBefore w:val="0"/>
        <w:wordWrap/>
        <w:overflowPunct/>
        <w:topLinePunct w:val="0"/>
        <w:bidi w:val="0"/>
        <w:spacing w:beforeAutospacing="0" w:afterAutospacing="0" w:line="600" w:lineRule="exact"/>
        <w:ind w:left="0" w:leftChars="0" w:right="0" w:rightChars="0" w:firstLine="640" w:firstLineChars="200"/>
        <w:jc w:val="center"/>
        <w:rPr>
          <w:rFonts w:hint="eastAsia" w:ascii="方正仿宋_GBK" w:hAnsi="方正仿宋_GBK" w:eastAsia="方正仿宋_GBK" w:cs="方正仿宋_GBK"/>
          <w:b w:val="0"/>
          <w:bCs w:val="0"/>
          <w:color w:val="000000"/>
          <w:sz w:val="32"/>
          <w:szCs w:val="32"/>
        </w:rPr>
      </w:pPr>
    </w:p>
    <w:p w14:paraId="679D313B">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摘要：</w:t>
      </w:r>
      <w:r>
        <w:rPr>
          <w:rFonts w:hint="eastAsia" w:ascii="方正仿宋_GBK" w:hAnsi="方正仿宋_GBK" w:eastAsia="方正仿宋_GBK" w:cs="方正仿宋_GBK"/>
          <w:b w:val="0"/>
          <w:bCs w:val="0"/>
          <w:color w:val="000000"/>
          <w:sz w:val="32"/>
          <w:szCs w:val="32"/>
        </w:rPr>
        <w:t>随着养兔业向规模化、工厂化快速发展，传统生产方式已无法适应家兔产业发展需求</w:t>
      </w:r>
      <w:r>
        <w:rPr>
          <w:rFonts w:hint="eastAsia" w:ascii="方正仿宋_GBK" w:hAnsi="方正仿宋_GBK" w:eastAsia="方正仿宋_GBK" w:cs="方正仿宋_GBK"/>
          <w:b w:val="0"/>
          <w:bCs w:val="0"/>
          <w:color w:val="000000"/>
          <w:sz w:val="32"/>
          <w:szCs w:val="32"/>
          <w:lang w:eastAsia="zh-CN"/>
        </w:rPr>
        <w:t>，批次化生产模式和技术需求越来越迫切。相对于传统连续生产模式，批次化生产科学采用以光照同期发情处理以及人工授精操作为核心，确定光照时间和强度等相关参数，实现对母兔发情、配种、分娩同步化，真正实现“全进全出”，阻断疫病在不同批次兔群间和同批次不同生产阶段间的传播，提高兔群健康水平。通过同期发情技术进行批次化生产，可使年胎次由</w:t>
      </w:r>
      <w:r>
        <w:rPr>
          <w:rFonts w:hint="eastAsia" w:ascii="方正仿宋_GBK" w:hAnsi="方正仿宋_GBK" w:eastAsia="方正仿宋_GBK" w:cs="方正仿宋_GBK"/>
          <w:b w:val="0"/>
          <w:bCs w:val="0"/>
          <w:color w:val="000000"/>
          <w:sz w:val="32"/>
          <w:szCs w:val="32"/>
          <w:lang w:val="en-US" w:eastAsia="zh-CN"/>
        </w:rPr>
        <w:t>5-6胎</w:t>
      </w:r>
      <w:r>
        <w:rPr>
          <w:rFonts w:hint="eastAsia" w:ascii="方正仿宋_GBK" w:hAnsi="方正仿宋_GBK" w:eastAsia="方正仿宋_GBK" w:cs="方正仿宋_GBK"/>
          <w:b w:val="0"/>
          <w:bCs w:val="0"/>
          <w:color w:val="000000"/>
          <w:sz w:val="32"/>
          <w:szCs w:val="32"/>
          <w:lang w:eastAsia="zh-CN"/>
        </w:rPr>
        <w:t>提升至7-8胎；结合人工授精技术，公兔利用率从传统1:8-10可提升至1:30-50，降低种兔成本；通过批次化生产提升肉兔育肥期整齐度，提高仔兔成活率及养殖效率；同时大大提升人工效率；提高商品兔整齐度及饲料使用效率。技术方案已在重庆奉节、铜梁、渝北和四川自贡、乐山、宜宾、成都等地得到示范推广，其批次化生产效果得到了广大养殖户的认可。</w:t>
      </w:r>
    </w:p>
    <w:p w14:paraId="5BCBBA20">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一、技术概述</w:t>
      </w:r>
    </w:p>
    <w:p w14:paraId="04BAF494">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楷体_GBK" w:cs="方正仿宋_GBK"/>
          <w:b w:val="0"/>
          <w:bCs w:val="0"/>
          <w:color w:val="000000"/>
          <w:sz w:val="32"/>
          <w:szCs w:val="32"/>
          <w:lang w:eastAsia="zh-CN"/>
        </w:rPr>
        <w:t>（一）背景情况</w:t>
      </w:r>
    </w:p>
    <w:p w14:paraId="139DE217">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川渝地区是我国最大的肉兔生产区和消费区，年兔肉生产量占全国的60%，年兔肉消费量长期占据我国兔肉消费总量的一半以上，在我国兔产业中占有举足轻重的作用。近年来，随着养兔业向规模化、工厂化快速发展，批次化生产模式和技术需求越来越迫切。特别是2020年2型兔瘟在川渝地区发现后，随着散养户的退出和规模兔场的扩张，传统生产方式已无法适应家兔产业发展需求。川渝地区夏季潮湿闷热，母兔热应激总体强度大，持续时间长，再加上各类病原微生物、饲料霉菌毒素污染风险大，兔舍环境调控设施差等原因，往往导致初产母兔延迟发情、不发情或隐性发情，经产母兔高胎次受胎率低下。为顺利实现母兔批次化生产，提高川渝地区肉兔产业竞争力，必须形成具有本地区特色、符合其养兔生产实际的批次化生产模式。</w:t>
      </w:r>
    </w:p>
    <w:p w14:paraId="7FE96BE6">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家兔的生殖功能受中枢神经系统、下丘脑—垂体—性腺轴的严格调控。相对于传统连续生产模式，批次化生产科学采用以光照同期发情处理操作为核心，确定光照时间和强度等相关参数，实现对母兔发情、配种、分娩同步化，真正实现“全进全出”，阻断疫病在不同批次兔群间和同批次不同生产阶段间的传播，提高兔群健康水平；同时，由于配种分娩集中度的显著提升，可提高各批次兔只个体大小、生理状态、营养需要、健康水平等的一致性，为精准饲养、高效免疫和日常管理提供方便，提高饲料转化效率和管理效率，减少兔舍、兽药及疫苗等浪费，降低生产成本；提高母兔利用率和兔群周转率，提升生产成绩和资源周转效率。</w:t>
      </w:r>
    </w:p>
    <w:p w14:paraId="27E3FD74">
      <w:pPr>
        <w:pageBreakBefore w:val="0"/>
        <w:numPr>
          <w:ilvl w:val="0"/>
          <w:numId w:val="0"/>
        </w:numPr>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楷体_GBK" w:cs="方正仿宋_GBK"/>
          <w:b w:val="0"/>
          <w:bCs w:val="0"/>
          <w:color w:val="000000"/>
          <w:sz w:val="32"/>
          <w:szCs w:val="32"/>
          <w:lang w:eastAsia="zh-CN"/>
        </w:rPr>
        <w:t>（二）推广应用情况</w:t>
      </w:r>
    </w:p>
    <w:p w14:paraId="77F1ACF4">
      <w:pPr>
        <w:pageBreakBefore w:val="0"/>
        <w:numPr>
          <w:ilvl w:val="0"/>
          <w:numId w:val="0"/>
        </w:numPr>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技术方案已在重庆</w:t>
      </w:r>
      <w:r>
        <w:rPr>
          <w:rFonts w:hint="eastAsia" w:ascii="方正仿宋_GBK" w:hAnsi="方正仿宋_GBK" w:eastAsia="方正仿宋_GBK" w:cs="方正仿宋_GBK"/>
          <w:b w:val="0"/>
          <w:bCs w:val="0"/>
          <w:color w:val="000000"/>
          <w:sz w:val="32"/>
          <w:szCs w:val="32"/>
          <w:lang w:eastAsia="zh-CN"/>
        </w:rPr>
        <w:t>奉节、</w:t>
      </w:r>
      <w:r>
        <w:rPr>
          <w:rFonts w:hint="eastAsia" w:ascii="方正仿宋_GBK" w:hAnsi="方正仿宋_GBK" w:eastAsia="方正仿宋_GBK" w:cs="方正仿宋_GBK"/>
          <w:b w:val="0"/>
          <w:bCs w:val="0"/>
          <w:color w:val="000000"/>
          <w:sz w:val="32"/>
          <w:szCs w:val="32"/>
        </w:rPr>
        <w:t>合川、铜梁</w:t>
      </w:r>
      <w:r>
        <w:rPr>
          <w:rFonts w:hint="eastAsia" w:ascii="方正仿宋_GBK" w:hAnsi="方正仿宋_GBK" w:eastAsia="方正仿宋_GBK" w:cs="方正仿宋_GBK"/>
          <w:b w:val="0"/>
          <w:bCs w:val="0"/>
          <w:color w:val="000000"/>
          <w:sz w:val="32"/>
          <w:szCs w:val="32"/>
          <w:lang w:eastAsia="zh-CN"/>
        </w:rPr>
        <w:t>和</w:t>
      </w:r>
      <w:r>
        <w:rPr>
          <w:rFonts w:hint="eastAsia" w:ascii="方正仿宋_GBK" w:hAnsi="方正仿宋_GBK" w:eastAsia="方正仿宋_GBK" w:cs="方正仿宋_GBK"/>
          <w:b w:val="0"/>
          <w:bCs w:val="0"/>
          <w:color w:val="000000"/>
          <w:sz w:val="32"/>
          <w:szCs w:val="32"/>
        </w:rPr>
        <w:t>四川自贡、乐山、宜宾、成都等地得到示范推广，其批次化生产效果得到了广大养殖户的认可。</w:t>
      </w:r>
    </w:p>
    <w:p w14:paraId="636F851F">
      <w:pPr>
        <w:pageBreakBefore w:val="0"/>
        <w:numPr>
          <w:ilvl w:val="0"/>
          <w:numId w:val="0"/>
        </w:numPr>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楷体_GBK" w:cs="方正仿宋_GBK"/>
          <w:b w:val="0"/>
          <w:bCs w:val="0"/>
          <w:color w:val="000000"/>
          <w:sz w:val="32"/>
          <w:szCs w:val="32"/>
          <w:lang w:eastAsia="zh-CN"/>
        </w:rPr>
        <w:t>（三）技术效果</w:t>
      </w:r>
    </w:p>
    <w:p w14:paraId="05143598">
      <w:pPr>
        <w:pageBreakBefore w:val="0"/>
        <w:numPr>
          <w:ilvl w:val="0"/>
          <w:numId w:val="0"/>
        </w:numPr>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传统养殖中，母兔发情不规律，年胎次仅5-6胎；通过同期发情技术进行批次化生产，可使年胎次提升至7-8胎，结合人工授精技术，公兔利用率从传统1:8-10可提升至1:30-50，降低种兔成本。通过批次化生产提升肉兔育肥期整齐度，通过精准分群（按日龄、体重分群）和阶段化饲料配方，提高仔兔成活率及养殖效率。传统饲养一人可管理200-300只母兔，通过批次化生产集中配种及生产，一人可管理500只母兔，大大提升人工效率。批次化管理控制出栏日龄（70-80天）和体重（2.5-3.0kg），避免传统养殖中“大小不一、过肥或过瘦”问题，提高商品兔整齐度及饲料使用效率。</w:t>
      </w:r>
    </w:p>
    <w:p w14:paraId="4C498EB5">
      <w:pPr>
        <w:pageBreakBefore w:val="0"/>
        <w:numPr>
          <w:ilvl w:val="0"/>
          <w:numId w:val="0"/>
        </w:numPr>
        <w:wordWrap/>
        <w:overflowPunct/>
        <w:topLinePunct w:val="0"/>
        <w:bidi w:val="0"/>
        <w:adjustRightInd/>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楷体_GBK" w:cs="方正仿宋_GBK"/>
          <w:b w:val="0"/>
          <w:bCs w:val="0"/>
          <w:color w:val="000000"/>
          <w:sz w:val="32"/>
          <w:szCs w:val="32"/>
          <w:lang w:eastAsia="zh-CN"/>
        </w:rPr>
        <w:t>（四）入选和获奖情况</w:t>
      </w:r>
    </w:p>
    <w:p w14:paraId="3FB351E3">
      <w:pPr>
        <w:pageBreakBefore w:val="0"/>
        <w:numPr>
          <w:ilvl w:val="0"/>
          <w:numId w:val="0"/>
        </w:numPr>
        <w:wordWrap/>
        <w:overflowPunct/>
        <w:topLinePunct w:val="0"/>
        <w:bidi w:val="0"/>
        <w:adjustRightInd/>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仿宋_GBK" w:cs="方正仿宋_GBK"/>
          <w:b w:val="0"/>
          <w:bCs w:val="0"/>
          <w:color w:val="000000"/>
          <w:sz w:val="32"/>
          <w:szCs w:val="32"/>
          <w:lang w:eastAsia="zh-CN"/>
        </w:rPr>
        <w:t>无</w:t>
      </w:r>
    </w:p>
    <w:p w14:paraId="2A7BC1C5">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二、技术要点</w:t>
      </w:r>
    </w:p>
    <w:p w14:paraId="14E431D0">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（一）生产规划</w:t>
      </w:r>
    </w:p>
    <w:p w14:paraId="7F28F1A6">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1</w:t>
      </w:r>
      <w:r>
        <w:rPr>
          <w:rFonts w:hint="eastAsia" w:ascii="方正仿宋_GBK" w:hAnsi="方正仿宋_GBK" w:eastAsia="方正仿宋_GBK" w:cs="方正仿宋_GBK"/>
          <w:b w:val="0"/>
          <w:bCs w:val="0"/>
          <w:color w:val="000000"/>
          <w:sz w:val="32"/>
          <w:szCs w:val="32"/>
          <w:lang w:val="en-US" w:eastAsia="zh-CN"/>
        </w:rPr>
        <w:t>.</w:t>
      </w:r>
      <w:r>
        <w:rPr>
          <w:rFonts w:hint="eastAsia" w:ascii="方正仿宋_GBK" w:hAnsi="方正仿宋_GBK" w:eastAsia="方正仿宋_GBK" w:cs="方正仿宋_GBK"/>
          <w:b w:val="0"/>
          <w:bCs w:val="0"/>
          <w:color w:val="000000"/>
          <w:sz w:val="32"/>
          <w:szCs w:val="32"/>
        </w:rPr>
        <w:t>繁殖周期模式</w:t>
      </w:r>
    </w:p>
    <w:p w14:paraId="673F1272">
      <w:pPr>
        <w:pageBreakBefore w:val="0"/>
        <w:wordWrap/>
        <w:overflowPunct/>
        <w:topLinePunct w:val="0"/>
        <w:bidi w:val="0"/>
        <w:snapToGrid w:val="0"/>
        <w:spacing w:beforeAutospacing="0" w:afterAutospacing="0" w:line="600" w:lineRule="exact"/>
        <w:ind w:left="0" w:leftChars="0" w:right="0" w:rightChars="0" w:firstLine="0" w:firstLineChars="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42d或49d繁殖周期模式基本参数见表1。</w:t>
      </w:r>
    </w:p>
    <w:p w14:paraId="7B160F96">
      <w:pPr>
        <w:pageBreakBefore w:val="0"/>
        <w:wordWrap/>
        <w:overflowPunct/>
        <w:topLinePunct w:val="0"/>
        <w:bidi w:val="0"/>
        <w:snapToGrid w:val="0"/>
        <w:spacing w:beforeAutospacing="0" w:afterAutospacing="0" w:line="600" w:lineRule="exact"/>
        <w:ind w:left="0" w:leftChars="0" w:right="0" w:rightChars="0" w:firstLine="560" w:firstLineChars="200"/>
        <w:jc w:val="center"/>
        <w:rPr>
          <w:rFonts w:hint="eastAsia" w:ascii="方正仿宋_GBK" w:hAnsi="方正仿宋_GBK" w:eastAsia="方正仿宋_GBK" w:cs="方正仿宋_GBK"/>
          <w:b w:val="0"/>
          <w:bCs w:val="0"/>
          <w:color w:val="000000"/>
          <w:sz w:val="32"/>
          <w:szCs w:val="32"/>
        </w:rPr>
      </w:pPr>
      <w:r>
        <w:rPr>
          <w:rFonts w:hint="eastAsia" w:ascii="方正黑体_GBK" w:hAnsi="方正黑体_GBK" w:eastAsia="方正黑体_GBK" w:cs="方正黑体_GBK"/>
          <w:b w:val="0"/>
          <w:bCs w:val="0"/>
          <w:color w:val="000000"/>
          <w:sz w:val="28"/>
          <w:szCs w:val="28"/>
        </w:rPr>
        <w:t>表1</w:t>
      </w:r>
      <w:r>
        <w:rPr>
          <w:rFonts w:hint="eastAsia" w:ascii="方正黑体_GBK" w:hAnsi="方正黑体_GBK" w:eastAsia="方正黑体_GBK" w:cs="方正黑体_GBK"/>
          <w:b w:val="0"/>
          <w:bCs w:val="0"/>
          <w:color w:val="000000"/>
          <w:sz w:val="28"/>
          <w:szCs w:val="28"/>
          <w:lang w:val="en-US" w:eastAsia="zh-CN"/>
        </w:rPr>
        <w:t>.</w:t>
      </w:r>
      <w:r>
        <w:rPr>
          <w:rFonts w:hint="eastAsia" w:ascii="方正黑体_GBK" w:hAnsi="方正黑体_GBK" w:eastAsia="方正黑体_GBK" w:cs="方正黑体_GBK"/>
          <w:b w:val="0"/>
          <w:bCs w:val="0"/>
          <w:color w:val="000000"/>
          <w:sz w:val="28"/>
          <w:szCs w:val="28"/>
        </w:rPr>
        <w:t>母兔批次生产繁殖周期模式的基本参数</w:t>
      </w:r>
    </w:p>
    <w:tbl>
      <w:tblPr>
        <w:tblStyle w:val="10"/>
        <w:tblW w:w="85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0" w:type="dxa"/>
          <w:bottom w:w="0" w:type="dxa"/>
          <w:right w:w="100" w:type="dxa"/>
        </w:tblCellMar>
      </w:tblPr>
      <w:tblGrid>
        <w:gridCol w:w="2988"/>
        <w:gridCol w:w="2990"/>
        <w:gridCol w:w="2564"/>
      </w:tblGrid>
      <w:tr w14:paraId="5C0FE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blHeader/>
          <w:jc w:val="center"/>
        </w:trPr>
        <w:tc>
          <w:tcPr>
            <w:tcW w:w="2988" w:type="dxa"/>
            <w:tcBorders>
              <w:bottom w:val="single" w:color="auto" w:sz="8" w:space="0"/>
            </w:tcBorders>
            <w:noWrap w:val="0"/>
            <w:vAlign w:val="center"/>
          </w:tcPr>
          <w:p w14:paraId="639379D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lang w:val="en-US" w:eastAsia="zh-CN"/>
              </w:rPr>
              <w:t>项目</w:t>
            </w:r>
          </w:p>
        </w:tc>
        <w:tc>
          <w:tcPr>
            <w:tcW w:w="2990" w:type="dxa"/>
            <w:tcBorders>
              <w:bottom w:val="single" w:color="auto" w:sz="8" w:space="0"/>
            </w:tcBorders>
            <w:noWrap w:val="0"/>
            <w:vAlign w:val="center"/>
          </w:tcPr>
          <w:p w14:paraId="267240B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lang w:val="en-US" w:eastAsia="zh-CN"/>
              </w:rPr>
              <w:t>繁殖周期/d</w:t>
            </w:r>
          </w:p>
        </w:tc>
        <w:tc>
          <w:tcPr>
            <w:tcW w:w="2564" w:type="dxa"/>
            <w:tcBorders>
              <w:bottom w:val="single" w:color="auto" w:sz="8" w:space="0"/>
            </w:tcBorders>
            <w:noWrap w:val="0"/>
            <w:vAlign w:val="center"/>
          </w:tcPr>
          <w:p w14:paraId="353EAA76">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lang w:val="en-US" w:eastAsia="zh-CN"/>
              </w:rPr>
              <w:t>产后输精时间/d</w:t>
            </w:r>
          </w:p>
        </w:tc>
      </w:tr>
      <w:tr w14:paraId="125A9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988" w:type="dxa"/>
            <w:tcBorders>
              <w:top w:val="single" w:color="auto" w:sz="8" w:space="0"/>
            </w:tcBorders>
            <w:noWrap w:val="0"/>
            <w:vAlign w:val="center"/>
          </w:tcPr>
          <w:p w14:paraId="0DB9C37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lang w:val="en-US" w:eastAsia="zh-CN"/>
              </w:rPr>
              <w:t>42 d繁殖周期模式</w:t>
            </w:r>
          </w:p>
        </w:tc>
        <w:tc>
          <w:tcPr>
            <w:tcW w:w="2990" w:type="dxa"/>
            <w:tcBorders>
              <w:top w:val="single" w:color="auto" w:sz="8" w:space="0"/>
            </w:tcBorders>
            <w:noWrap w:val="0"/>
            <w:vAlign w:val="center"/>
          </w:tcPr>
          <w:p w14:paraId="5935E6F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lang w:val="en-US" w:eastAsia="zh-CN"/>
              </w:rPr>
            </w:pPr>
            <w:r>
              <w:rPr>
                <w:rFonts w:hint="eastAsia" w:ascii="方正仿宋_GBK" w:hAnsi="方正仿宋_GBK" w:eastAsia="方正仿宋_GBK" w:cs="方正仿宋_GBK"/>
                <w:b w:val="0"/>
                <w:bCs w:val="0"/>
                <w:sz w:val="21"/>
                <w:szCs w:val="21"/>
                <w:lang w:val="en-US" w:eastAsia="zh-CN"/>
              </w:rPr>
              <w:t>42</w:t>
            </w:r>
          </w:p>
        </w:tc>
        <w:tc>
          <w:tcPr>
            <w:tcW w:w="2564" w:type="dxa"/>
            <w:tcBorders>
              <w:top w:val="single" w:color="auto" w:sz="8" w:space="0"/>
            </w:tcBorders>
            <w:noWrap w:val="0"/>
            <w:vAlign w:val="center"/>
          </w:tcPr>
          <w:p w14:paraId="07F0C49A">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lang w:val="en-US" w:eastAsia="zh-CN"/>
              </w:rPr>
            </w:pPr>
            <w:r>
              <w:rPr>
                <w:rFonts w:hint="eastAsia" w:ascii="方正仿宋_GBK" w:hAnsi="方正仿宋_GBK" w:eastAsia="方正仿宋_GBK" w:cs="方正仿宋_GBK"/>
                <w:b w:val="0"/>
                <w:bCs w:val="0"/>
                <w:sz w:val="21"/>
                <w:szCs w:val="21"/>
                <w:lang w:val="en-US" w:eastAsia="zh-CN"/>
              </w:rPr>
              <w:t>11</w:t>
            </w:r>
          </w:p>
        </w:tc>
      </w:tr>
      <w:tr w14:paraId="23AA4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jc w:val="center"/>
        </w:trPr>
        <w:tc>
          <w:tcPr>
            <w:tcW w:w="2988" w:type="dxa"/>
            <w:noWrap w:val="0"/>
            <w:vAlign w:val="center"/>
          </w:tcPr>
          <w:p w14:paraId="215BDC90">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rPr>
            </w:pPr>
            <w:r>
              <w:rPr>
                <w:rFonts w:hint="eastAsia" w:ascii="方正仿宋_GBK" w:hAnsi="方正仿宋_GBK" w:eastAsia="方正仿宋_GBK" w:cs="方正仿宋_GBK"/>
                <w:b w:val="0"/>
                <w:bCs w:val="0"/>
                <w:sz w:val="21"/>
                <w:szCs w:val="21"/>
                <w:lang w:val="en-US" w:eastAsia="zh-CN"/>
              </w:rPr>
              <w:t>49 d繁殖周期模式</w:t>
            </w:r>
          </w:p>
        </w:tc>
        <w:tc>
          <w:tcPr>
            <w:tcW w:w="2990" w:type="dxa"/>
            <w:noWrap w:val="0"/>
            <w:vAlign w:val="center"/>
          </w:tcPr>
          <w:p w14:paraId="2A627EF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lang w:val="en-US" w:eastAsia="zh-CN"/>
              </w:rPr>
            </w:pPr>
            <w:r>
              <w:rPr>
                <w:rFonts w:hint="eastAsia" w:ascii="方正仿宋_GBK" w:hAnsi="方正仿宋_GBK" w:eastAsia="方正仿宋_GBK" w:cs="方正仿宋_GBK"/>
                <w:b w:val="0"/>
                <w:bCs w:val="0"/>
                <w:sz w:val="21"/>
                <w:szCs w:val="21"/>
                <w:lang w:val="en-US" w:eastAsia="zh-CN"/>
              </w:rPr>
              <w:t>49</w:t>
            </w:r>
          </w:p>
        </w:tc>
        <w:tc>
          <w:tcPr>
            <w:tcW w:w="2564" w:type="dxa"/>
            <w:noWrap w:val="0"/>
            <w:vAlign w:val="center"/>
          </w:tcPr>
          <w:p w14:paraId="088D9DD2">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lang w:val="en-US" w:eastAsia="zh-CN"/>
              </w:rPr>
            </w:pPr>
            <w:r>
              <w:rPr>
                <w:rFonts w:hint="eastAsia" w:ascii="方正仿宋_GBK" w:hAnsi="方正仿宋_GBK" w:eastAsia="方正仿宋_GBK" w:cs="方正仿宋_GBK"/>
                <w:b w:val="0"/>
                <w:bCs w:val="0"/>
                <w:sz w:val="21"/>
                <w:szCs w:val="21"/>
                <w:lang w:val="en-US" w:eastAsia="zh-CN"/>
              </w:rPr>
              <w:t>18</w:t>
            </w:r>
          </w:p>
        </w:tc>
      </w:tr>
      <w:tr w14:paraId="082D63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0" w:type="dxa"/>
            <w:bottom w:w="0" w:type="dxa"/>
            <w:right w:w="100" w:type="dxa"/>
          </w:tblCellMar>
        </w:tblPrEx>
        <w:trPr>
          <w:trHeight w:val="174" w:hRule="atLeast"/>
          <w:jc w:val="center"/>
        </w:trPr>
        <w:tc>
          <w:tcPr>
            <w:tcW w:w="8542" w:type="dxa"/>
            <w:gridSpan w:val="3"/>
            <w:tcBorders>
              <w:top w:val="single" w:color="auto" w:sz="8" w:space="0"/>
            </w:tcBorders>
            <w:noWrap w:val="0"/>
            <w:vAlign w:val="center"/>
          </w:tcPr>
          <w:p w14:paraId="1E55A035">
            <w:pPr>
              <w:keepNext w:val="0"/>
              <w:keepLines w:val="0"/>
              <w:pageBreakBefore w:val="0"/>
              <w:widowControl/>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rPr>
                <w:rFonts w:hint="eastAsia" w:ascii="方正仿宋_GBK" w:hAnsi="方正仿宋_GBK" w:eastAsia="方正仿宋_GBK" w:cs="方正仿宋_GBK"/>
                <w:b w:val="0"/>
                <w:bCs w:val="0"/>
                <w:sz w:val="21"/>
                <w:szCs w:val="21"/>
                <w:lang w:val="en-US" w:eastAsia="zh-CN"/>
              </w:rPr>
            </w:pPr>
            <w:r>
              <w:rPr>
                <w:rFonts w:hint="eastAsia" w:ascii="方正仿宋_GBK" w:hAnsi="方正仿宋_GBK" w:eastAsia="方正仿宋_GBK" w:cs="方正仿宋_GBK"/>
                <w:b w:val="0"/>
                <w:bCs w:val="0"/>
                <w:sz w:val="21"/>
                <w:szCs w:val="21"/>
                <w:lang w:val="en-US" w:eastAsia="zh-CN"/>
              </w:rPr>
              <w:t>注：母兔繁殖生产周期为母兔妊娠期（31 d）与产后（11 d或18 d）的加和。</w:t>
            </w:r>
          </w:p>
        </w:tc>
      </w:tr>
    </w:tbl>
    <w:p w14:paraId="599E2867">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2</w:t>
      </w:r>
      <w:r>
        <w:rPr>
          <w:rFonts w:hint="eastAsia" w:ascii="方正仿宋_GBK" w:hAnsi="方正仿宋_GBK" w:eastAsia="方正仿宋_GBK" w:cs="方正仿宋_GBK"/>
          <w:b w:val="0"/>
          <w:bCs w:val="0"/>
          <w:color w:val="000000"/>
          <w:sz w:val="32"/>
          <w:szCs w:val="32"/>
          <w:lang w:val="en-US" w:eastAsia="zh-CN"/>
        </w:rPr>
        <w:t>.</w:t>
      </w:r>
      <w:r>
        <w:rPr>
          <w:rFonts w:hint="eastAsia" w:ascii="方正仿宋_GBK" w:hAnsi="方正仿宋_GBK" w:eastAsia="方正仿宋_GBK" w:cs="方正仿宋_GBK"/>
          <w:b w:val="0"/>
          <w:bCs w:val="0"/>
          <w:color w:val="000000"/>
          <w:sz w:val="32"/>
          <w:szCs w:val="32"/>
        </w:rPr>
        <w:t>批次参配母兔组成</w:t>
      </w:r>
    </w:p>
    <w:p w14:paraId="4EF6D292">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批次参配母兔包括经产母兔、初产母兔和经配未孕母兔，依据批次分娩母兔目标数和兔场繁殖指标水平确定批次参配母兔数。</w:t>
      </w:r>
    </w:p>
    <w:p w14:paraId="2BACD77C">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3</w:t>
      </w:r>
      <w:r>
        <w:rPr>
          <w:rFonts w:hint="eastAsia" w:ascii="方正仿宋_GBK" w:hAnsi="方正仿宋_GBK" w:eastAsia="方正仿宋_GBK" w:cs="方正仿宋_GBK"/>
          <w:b w:val="0"/>
          <w:bCs w:val="0"/>
          <w:color w:val="000000"/>
          <w:sz w:val="32"/>
          <w:szCs w:val="32"/>
          <w:lang w:val="en-US" w:eastAsia="zh-CN"/>
        </w:rPr>
        <w:t>.</w:t>
      </w:r>
      <w:r>
        <w:rPr>
          <w:rFonts w:hint="eastAsia" w:ascii="方正仿宋_GBK" w:hAnsi="方正仿宋_GBK" w:eastAsia="方正仿宋_GBK" w:cs="方正仿宋_GBK"/>
          <w:b w:val="0"/>
          <w:bCs w:val="0"/>
          <w:color w:val="000000"/>
          <w:sz w:val="32"/>
          <w:szCs w:val="32"/>
        </w:rPr>
        <w:t>兔舍周转</w:t>
      </w:r>
    </w:p>
    <w:p w14:paraId="6E2B68E4">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后备母兔提前15d转入兔舍适应环境，准备光照诱导发情。妊娠母兔哺乳35d后，将其转移到另一兔舍进入下一批次生产；幼兔留在原兔舍，70d统一出栏。彻底清洗、消毒兔舍，空置7d（42d繁殖周期）或14d（49d繁殖周期），转入下一批次妊娠母兔。</w:t>
      </w:r>
    </w:p>
    <w:p w14:paraId="150CACFE">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（二）定时输精</w:t>
      </w:r>
    </w:p>
    <w:p w14:paraId="587170AB">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1</w:t>
      </w:r>
      <w:r>
        <w:rPr>
          <w:rFonts w:hint="eastAsia" w:ascii="方正仿宋_GBK" w:hAnsi="方正仿宋_GBK" w:eastAsia="方正仿宋_GBK" w:cs="方正仿宋_GBK"/>
          <w:b w:val="0"/>
          <w:bCs w:val="0"/>
          <w:color w:val="000000"/>
          <w:sz w:val="32"/>
          <w:szCs w:val="32"/>
          <w:lang w:val="en-US" w:eastAsia="zh-CN"/>
        </w:rPr>
        <w:t>.</w:t>
      </w:r>
      <w:r>
        <w:rPr>
          <w:rFonts w:hint="eastAsia" w:ascii="方正仿宋_GBK" w:hAnsi="方正仿宋_GBK" w:eastAsia="方正仿宋_GBK" w:cs="方正仿宋_GBK"/>
          <w:b w:val="0"/>
          <w:bCs w:val="0"/>
          <w:color w:val="000000"/>
          <w:sz w:val="32"/>
          <w:szCs w:val="32"/>
        </w:rPr>
        <w:t>初产母兔</w:t>
      </w:r>
    </w:p>
    <w:p w14:paraId="113B8A2C">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1</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同期发情</w:t>
      </w:r>
    </w:p>
    <w:p w14:paraId="33C7E2F4">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当后备母兔体重达成年体重75%时，采取光照和饲喂控制诱导同期发情</w:t>
      </w:r>
      <w:r>
        <w:rPr>
          <w:rFonts w:hint="eastAsia" w:ascii="方正仿宋_GBK" w:hAnsi="方正仿宋_GBK" w:eastAsia="方正仿宋_GBK" w:cs="方正仿宋_GBK"/>
          <w:b w:val="0"/>
          <w:bCs w:val="0"/>
          <w:color w:val="000000"/>
          <w:sz w:val="32"/>
          <w:szCs w:val="32"/>
          <w:lang w:eastAsia="zh-CN"/>
        </w:rPr>
        <w:t>后</w:t>
      </w:r>
      <w:r>
        <w:rPr>
          <w:rFonts w:hint="eastAsia" w:ascii="方正仿宋_GBK" w:hAnsi="方正仿宋_GBK" w:eastAsia="方正仿宋_GBK" w:cs="方正仿宋_GBK"/>
          <w:b w:val="0"/>
          <w:bCs w:val="0"/>
          <w:color w:val="000000"/>
          <w:sz w:val="32"/>
          <w:szCs w:val="32"/>
        </w:rPr>
        <w:t>，可开始</w:t>
      </w:r>
      <w:r>
        <w:rPr>
          <w:rFonts w:hint="eastAsia" w:ascii="方正仿宋_GBK" w:hAnsi="方正仿宋_GBK" w:eastAsia="方正仿宋_GBK" w:cs="方正仿宋_GBK"/>
          <w:b w:val="0"/>
          <w:bCs w:val="0"/>
          <w:color w:val="000000"/>
          <w:sz w:val="32"/>
          <w:szCs w:val="32"/>
          <w:lang w:eastAsia="zh-CN"/>
        </w:rPr>
        <w:t>人工授精</w:t>
      </w:r>
      <w:r>
        <w:rPr>
          <w:rFonts w:hint="eastAsia" w:ascii="方正仿宋_GBK" w:hAnsi="方正仿宋_GBK" w:eastAsia="方正仿宋_GBK" w:cs="方正仿宋_GBK"/>
          <w:b w:val="0"/>
          <w:bCs w:val="0"/>
          <w:color w:val="000000"/>
          <w:sz w:val="32"/>
          <w:szCs w:val="32"/>
        </w:rPr>
        <w:t>。初产母兔人工授精前6d开始光照诱导同期发情。光源选择220</w:t>
      </w:r>
      <w:r>
        <w:rPr>
          <w:rFonts w:hint="eastAsia" w:ascii="方正仿宋_GBK" w:hAnsi="方正仿宋_GBK" w:eastAsia="方正仿宋_GBK" w:cs="方正仿宋_GBK"/>
          <w:b w:val="0"/>
          <w:bCs w:val="0"/>
          <w:color w:val="000000"/>
          <w:sz w:val="32"/>
          <w:szCs w:val="32"/>
          <w:lang w:val="en-US" w:eastAsia="zh-CN"/>
        </w:rPr>
        <w:t>V</w:t>
      </w:r>
      <w:r>
        <w:rPr>
          <w:rFonts w:hint="eastAsia" w:ascii="方正仿宋_GBK" w:hAnsi="方正仿宋_GBK" w:eastAsia="方正仿宋_GBK" w:cs="方正仿宋_GBK"/>
          <w:b w:val="0"/>
          <w:bCs w:val="0"/>
          <w:color w:val="000000"/>
          <w:sz w:val="32"/>
          <w:szCs w:val="32"/>
        </w:rPr>
        <w:t>的LED灯或灯带，安装于笼架边缘，母兔采食位处，笼内光照强度60lux～90lux，每天的光照时间由12h（7:00～19:00）提高到16h（7:00～23:00），16h光照持续到人工授精后11d，随后恢复12h光照。在光照诱导发情的第1d起，将饲喂模式由限制饲喂转为自由采食。</w:t>
      </w:r>
    </w:p>
    <w:p w14:paraId="56A0AAB7">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2</w:t>
      </w:r>
      <w:r>
        <w:rPr>
          <w:rFonts w:hint="eastAsia" w:ascii="方正仿宋_GBK" w:hAnsi="方正仿宋_GBK" w:eastAsia="方正仿宋_GBK" w:cs="方正仿宋_GBK"/>
          <w:b w:val="0"/>
          <w:bCs w:val="0"/>
          <w:color w:val="000000"/>
          <w:sz w:val="32"/>
          <w:szCs w:val="32"/>
          <w:lang w:val="en-US" w:eastAsia="zh-CN"/>
        </w:rPr>
        <w:t>.</w:t>
      </w:r>
      <w:r>
        <w:rPr>
          <w:rFonts w:hint="eastAsia" w:ascii="方正仿宋_GBK" w:hAnsi="方正仿宋_GBK" w:eastAsia="方正仿宋_GBK" w:cs="方正仿宋_GBK"/>
          <w:b w:val="0"/>
          <w:bCs w:val="0"/>
          <w:color w:val="000000"/>
          <w:sz w:val="32"/>
          <w:szCs w:val="32"/>
        </w:rPr>
        <w:t>经产母兔</w:t>
      </w:r>
    </w:p>
    <w:p w14:paraId="30E154EF">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同批次产仔后第5d（42d繁殖周期）或第12d（49d繁殖周期）开始光照诱导同期发情，同时实施饲喂和哺乳控制。光照诱导同期发情</w:t>
      </w:r>
      <w:r>
        <w:rPr>
          <w:rFonts w:hint="eastAsia" w:ascii="方正仿宋_GBK" w:hAnsi="方正仿宋_GBK" w:eastAsia="方正仿宋_GBK" w:cs="方正仿宋_GBK"/>
          <w:b w:val="0"/>
          <w:bCs w:val="0"/>
          <w:color w:val="000000"/>
          <w:sz w:val="32"/>
          <w:szCs w:val="32"/>
          <w:lang w:eastAsia="zh-CN"/>
        </w:rPr>
        <w:t>操作方法与</w:t>
      </w:r>
      <w:r>
        <w:rPr>
          <w:rFonts w:hint="eastAsia" w:ascii="方正仿宋_GBK" w:hAnsi="方正仿宋_GBK" w:eastAsia="方正仿宋_GBK" w:cs="方正仿宋_GBK"/>
          <w:b w:val="0"/>
          <w:bCs w:val="0"/>
          <w:color w:val="000000"/>
          <w:sz w:val="32"/>
          <w:szCs w:val="32"/>
        </w:rPr>
        <w:t>初产母兔</w:t>
      </w:r>
      <w:r>
        <w:rPr>
          <w:rFonts w:hint="eastAsia" w:ascii="方正仿宋_GBK" w:hAnsi="方正仿宋_GBK" w:eastAsia="方正仿宋_GBK" w:cs="方正仿宋_GBK"/>
          <w:b w:val="0"/>
          <w:bCs w:val="0"/>
          <w:color w:val="000000"/>
          <w:sz w:val="32"/>
          <w:szCs w:val="32"/>
          <w:lang w:eastAsia="zh-CN"/>
        </w:rPr>
        <w:t>一致，</w:t>
      </w:r>
      <w:r>
        <w:rPr>
          <w:rFonts w:hint="eastAsia" w:ascii="方正仿宋_GBK" w:hAnsi="方正仿宋_GBK" w:eastAsia="方正仿宋_GBK" w:cs="方正仿宋_GBK"/>
          <w:b w:val="0"/>
          <w:bCs w:val="0"/>
          <w:color w:val="000000"/>
          <w:sz w:val="32"/>
          <w:szCs w:val="32"/>
        </w:rPr>
        <w:t>母兔自由采食，保证母兔和仔兔获得足够营养</w:t>
      </w:r>
      <w:r>
        <w:rPr>
          <w:rFonts w:hint="eastAsia" w:ascii="方正仿宋_GBK" w:hAnsi="方正仿宋_GBK" w:eastAsia="方正仿宋_GBK" w:cs="方正仿宋_GBK"/>
          <w:b w:val="0"/>
          <w:bCs w:val="0"/>
          <w:color w:val="000000"/>
          <w:sz w:val="32"/>
          <w:szCs w:val="32"/>
          <w:lang w:eastAsia="zh-CN"/>
        </w:rPr>
        <w:t>，同时</w:t>
      </w:r>
      <w:r>
        <w:rPr>
          <w:rFonts w:hint="eastAsia" w:ascii="方正仿宋_GBK" w:hAnsi="方正仿宋_GBK" w:eastAsia="方正仿宋_GBK" w:cs="方正仿宋_GBK"/>
          <w:b w:val="0"/>
          <w:bCs w:val="0"/>
          <w:color w:val="000000"/>
          <w:sz w:val="32"/>
          <w:szCs w:val="32"/>
        </w:rPr>
        <w:t>人工授精之前36h～48h将母兔和仔兔隔离，停止哺乳，人工授精后正常哺乳。</w:t>
      </w:r>
      <w:r>
        <w:rPr>
          <w:rFonts w:hint="eastAsia" w:ascii="方正仿宋_GBK" w:hAnsi="方正仿宋_GBK" w:eastAsia="方正仿宋_GBK" w:cs="方正仿宋_GBK"/>
          <w:b w:val="0"/>
          <w:bCs w:val="0"/>
          <w:color w:val="000000"/>
          <w:sz w:val="32"/>
          <w:szCs w:val="32"/>
          <w:lang w:eastAsia="zh-CN"/>
        </w:rPr>
        <w:t>在</w:t>
      </w:r>
      <w:r>
        <w:rPr>
          <w:rFonts w:hint="eastAsia" w:ascii="方正仿宋_GBK" w:hAnsi="方正仿宋_GBK" w:eastAsia="方正仿宋_GBK" w:cs="方正仿宋_GBK"/>
          <w:b w:val="0"/>
          <w:bCs w:val="0"/>
          <w:color w:val="000000"/>
          <w:sz w:val="32"/>
          <w:szCs w:val="32"/>
        </w:rPr>
        <w:t>产后11d或产后18d进行</w:t>
      </w:r>
      <w:r>
        <w:rPr>
          <w:rFonts w:hint="eastAsia" w:ascii="方正仿宋_GBK" w:hAnsi="方正仿宋_GBK" w:eastAsia="方正仿宋_GBK" w:cs="方正仿宋_GBK"/>
          <w:b w:val="0"/>
          <w:bCs w:val="0"/>
          <w:color w:val="000000"/>
          <w:sz w:val="32"/>
          <w:szCs w:val="32"/>
          <w:lang w:eastAsia="zh-CN"/>
        </w:rPr>
        <w:t>人工授精</w:t>
      </w:r>
      <w:r>
        <w:rPr>
          <w:rFonts w:hint="eastAsia" w:ascii="方正仿宋_GBK" w:hAnsi="方正仿宋_GBK" w:eastAsia="方正仿宋_GBK" w:cs="方正仿宋_GBK"/>
          <w:b w:val="0"/>
          <w:bCs w:val="0"/>
          <w:color w:val="000000"/>
          <w:sz w:val="32"/>
          <w:szCs w:val="32"/>
        </w:rPr>
        <w:t>。</w:t>
      </w:r>
    </w:p>
    <w:p w14:paraId="6E045D1C">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lang w:val="en-US" w:eastAsia="zh-CN"/>
        </w:rPr>
        <w:t>3.</w:t>
      </w:r>
      <w:r>
        <w:rPr>
          <w:rFonts w:hint="eastAsia" w:ascii="方正仿宋_GBK" w:hAnsi="方正仿宋_GBK" w:eastAsia="方正仿宋_GBK" w:cs="方正仿宋_GBK"/>
          <w:b w:val="0"/>
          <w:bCs w:val="0"/>
          <w:color w:val="000000"/>
          <w:sz w:val="32"/>
          <w:szCs w:val="32"/>
        </w:rPr>
        <w:t>经配未孕母兔</w:t>
      </w:r>
    </w:p>
    <w:p w14:paraId="506491B0">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结合生产批次计划，确定具体发情时间，开始光照诱导同期发情，实施饲喂控制。光照诱导同期发情操作方法与初产母兔一致，在人工授精的前6d开始，由限制饲喂转为自由采食。</w:t>
      </w:r>
    </w:p>
    <w:p w14:paraId="24FD1A62">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（三）妊娠检查</w:t>
      </w:r>
    </w:p>
    <w:p w14:paraId="6BE0E8F4">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配种后10d～14d，使用摸胎法进行妊娠检查。对于不带哺乳仔兔的未妊娠母兔，</w:t>
      </w:r>
      <w:r>
        <w:rPr>
          <w:rFonts w:hint="eastAsia" w:ascii="方正仿宋_GBK" w:hAnsi="方正仿宋_GBK" w:eastAsia="方正仿宋_GBK" w:cs="方正仿宋_GBK"/>
          <w:b w:val="0"/>
          <w:bCs w:val="0"/>
          <w:color w:val="000000"/>
          <w:sz w:val="32"/>
          <w:szCs w:val="32"/>
          <w:lang w:eastAsia="zh-CN"/>
        </w:rPr>
        <w:t>需</w:t>
      </w:r>
      <w:r>
        <w:rPr>
          <w:rFonts w:hint="eastAsia" w:ascii="方正仿宋_GBK" w:hAnsi="方正仿宋_GBK" w:eastAsia="方正仿宋_GBK" w:cs="方正仿宋_GBK"/>
          <w:b w:val="0"/>
          <w:bCs w:val="0"/>
          <w:color w:val="000000"/>
          <w:sz w:val="32"/>
          <w:szCs w:val="32"/>
        </w:rPr>
        <w:t>结合生产批次计划，确定</w:t>
      </w:r>
      <w:r>
        <w:rPr>
          <w:rFonts w:hint="eastAsia" w:ascii="方正仿宋_GBK" w:hAnsi="方正仿宋_GBK" w:eastAsia="方正仿宋_GBK" w:cs="方正仿宋_GBK"/>
          <w:b w:val="0"/>
          <w:bCs w:val="0"/>
          <w:color w:val="000000"/>
          <w:sz w:val="32"/>
          <w:szCs w:val="32"/>
          <w:lang w:eastAsia="zh-CN"/>
        </w:rPr>
        <w:t>下一批次</w:t>
      </w:r>
      <w:r>
        <w:rPr>
          <w:rFonts w:hint="eastAsia" w:ascii="方正仿宋_GBK" w:hAnsi="方正仿宋_GBK" w:eastAsia="方正仿宋_GBK" w:cs="方正仿宋_GBK"/>
          <w:b w:val="0"/>
          <w:bCs w:val="0"/>
          <w:color w:val="000000"/>
          <w:sz w:val="32"/>
          <w:szCs w:val="32"/>
        </w:rPr>
        <w:t>发情时间，</w:t>
      </w:r>
      <w:r>
        <w:rPr>
          <w:rFonts w:hint="eastAsia" w:ascii="方正仿宋_GBK" w:hAnsi="方正仿宋_GBK" w:eastAsia="方正仿宋_GBK" w:cs="方正仿宋_GBK"/>
          <w:b w:val="0"/>
          <w:bCs w:val="0"/>
          <w:color w:val="000000"/>
          <w:sz w:val="32"/>
          <w:szCs w:val="32"/>
          <w:lang w:eastAsia="zh-CN"/>
        </w:rPr>
        <w:t>进行</w:t>
      </w:r>
      <w:r>
        <w:rPr>
          <w:rFonts w:hint="eastAsia" w:ascii="方正仿宋_GBK" w:hAnsi="方正仿宋_GBK" w:eastAsia="方正仿宋_GBK" w:cs="方正仿宋_GBK"/>
          <w:b w:val="0"/>
          <w:bCs w:val="0"/>
          <w:color w:val="000000"/>
          <w:sz w:val="32"/>
          <w:szCs w:val="32"/>
        </w:rPr>
        <w:t>光照诱导同期发情，实施饲喂控制。</w:t>
      </w:r>
    </w:p>
    <w:p w14:paraId="0320F037">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（四）分娩管理</w:t>
      </w:r>
    </w:p>
    <w:p w14:paraId="1745643B">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在产仔前1d～2d，将垫好垫料的产仔箱放入母兔笼，观察母兔的临产征兆，发现异常及时催产处理。</w:t>
      </w:r>
    </w:p>
    <w:p w14:paraId="3C110D18">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（五）同期断奶及转群</w:t>
      </w:r>
    </w:p>
    <w:p w14:paraId="388E893D">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仔兔35d断奶，断奶后幼兔留在原兔舍育肥，适度分群；将妊娠母兔转移到另一兔舍进入下一批次生产。</w:t>
      </w:r>
    </w:p>
    <w:p w14:paraId="48B767C8">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（六）同期出栏及兔舍消毒</w:t>
      </w:r>
    </w:p>
    <w:p w14:paraId="3FCEB2C1">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商品兔70d出栏，出栏后兔舍空舍7d或14d，进行全面彻底消毒，7d或14d后，妊娠母兔转入，进行下一批次生产。</w:t>
      </w:r>
    </w:p>
    <w:p w14:paraId="126AA4F1">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（七）批次淘汰母兔</w:t>
      </w:r>
    </w:p>
    <w:p w14:paraId="4E974FFD">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仔兔断奶后，淘汰病、弱、繁殖障碍、胎次偏高、产仔数少、仔兔成活率低、连续两次配种后未受孕、流产或有食仔癖的母兔。</w:t>
      </w:r>
    </w:p>
    <w:p w14:paraId="560858F5">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（八）档案管理</w:t>
      </w:r>
    </w:p>
    <w:p w14:paraId="5DB68503">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包括但不限于记录母兔耳号、发情情况、输精时间、公兔耳号、配种员、产仔日期等信息。</w:t>
      </w:r>
    </w:p>
    <w:p w14:paraId="4FC1DB3F">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val="en-US" w:eastAsia="zh-CN"/>
        </w:rPr>
      </w:pPr>
      <w:r>
        <w:rPr>
          <w:rFonts w:hint="eastAsia" w:ascii="方正楷体_GBK" w:hAnsi="方正楷体_GBK" w:eastAsia="方正楷体_GBK" w:cs="方正楷体_GBK"/>
          <w:b w:val="0"/>
          <w:bCs w:val="0"/>
          <w:color w:val="000000"/>
          <w:sz w:val="32"/>
          <w:szCs w:val="32"/>
          <w:lang w:val="en-US" w:eastAsia="zh-CN"/>
        </w:rPr>
        <w:t>（九）生产流程</w:t>
      </w:r>
    </w:p>
    <w:p w14:paraId="026AC149">
      <w:pPr>
        <w:pageBreakBefore w:val="0"/>
        <w:numPr>
          <w:ilvl w:val="0"/>
          <w:numId w:val="0"/>
        </w:numPr>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母兔批次化生产流程见图1。</w:t>
      </w:r>
    </w:p>
    <w:p w14:paraId="6BBD13F3">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drawing>
          <wp:inline distT="0" distB="0" distL="114300" distR="114300">
            <wp:extent cx="3851275" cy="3282950"/>
            <wp:effectExtent l="0" t="0" r="15875" b="12700"/>
            <wp:docPr id="54" name="图片 2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6" descr="图片1"/>
                    <pic:cNvPicPr>
                      <a:picLocks noChangeAspect="1"/>
                    </pic:cNvPicPr>
                  </pic:nvPicPr>
                  <pic:blipFill>
                    <a:blip r:embed="rId34"/>
                    <a:stretch>
                      <a:fillRect/>
                    </a:stretch>
                  </pic:blipFill>
                  <pic:spPr>
                    <a:xfrm>
                      <a:off x="0" y="0"/>
                      <a:ext cx="3851275" cy="3282950"/>
                    </a:xfrm>
                    <a:prstGeom prst="rect">
                      <a:avLst/>
                    </a:prstGeom>
                    <a:noFill/>
                    <a:ln>
                      <a:noFill/>
                    </a:ln>
                  </pic:spPr>
                </pic:pic>
              </a:graphicData>
            </a:graphic>
          </wp:inline>
        </w:drawing>
      </w:r>
    </w:p>
    <w:p w14:paraId="13A9570E">
      <w:pPr>
        <w:pageBreakBefore w:val="0"/>
        <w:numPr>
          <w:ilvl w:val="0"/>
          <w:numId w:val="0"/>
        </w:numPr>
        <w:wordWrap/>
        <w:overflowPunct/>
        <w:topLinePunct w:val="0"/>
        <w:bidi w:val="0"/>
        <w:snapToGrid w:val="0"/>
        <w:spacing w:beforeAutospacing="0" w:afterAutospacing="0" w:line="600" w:lineRule="exact"/>
        <w:ind w:left="0" w:leftChars="0" w:right="0" w:rightChars="0" w:firstLine="560" w:firstLineChars="200"/>
        <w:jc w:val="center"/>
        <w:rPr>
          <w:rFonts w:hint="eastAsia" w:ascii="方正黑体_GBK" w:hAnsi="方正黑体_GBK" w:eastAsia="方正黑体_GBK" w:cs="方正黑体_GBK"/>
          <w:b w:val="0"/>
          <w:bCs w:val="0"/>
          <w:color w:val="000000"/>
          <w:sz w:val="28"/>
          <w:szCs w:val="28"/>
          <w:lang w:val="en-US" w:eastAsia="zh-CN"/>
        </w:rPr>
      </w:pPr>
      <w:r>
        <w:rPr>
          <w:rFonts w:hint="eastAsia" w:ascii="方正黑体_GBK" w:hAnsi="方正黑体_GBK" w:eastAsia="方正黑体_GBK" w:cs="方正黑体_GBK"/>
          <w:b w:val="0"/>
          <w:bCs w:val="0"/>
          <w:color w:val="000000"/>
          <w:sz w:val="28"/>
          <w:szCs w:val="28"/>
          <w:lang w:val="en-US" w:eastAsia="zh-CN"/>
        </w:rPr>
        <w:t>图1.母兔批次化生产流程</w:t>
      </w:r>
    </w:p>
    <w:p w14:paraId="1C8BC348">
      <w:pPr>
        <w:pageBreakBefore w:val="0"/>
        <w:numPr>
          <w:ilvl w:val="0"/>
          <w:numId w:val="0"/>
        </w:numPr>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p>
    <w:p w14:paraId="28B3B1B0">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三、适宜区域</w:t>
      </w:r>
    </w:p>
    <w:p w14:paraId="133C9B22">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仿宋_GBK" w:cs="方正仿宋_GBK"/>
          <w:b w:val="0"/>
          <w:bCs w:val="0"/>
          <w:color w:val="000000"/>
          <w:sz w:val="32"/>
          <w:szCs w:val="32"/>
          <w:lang w:eastAsia="zh-CN"/>
        </w:rPr>
        <w:t>本技术适用于川渝地区</w:t>
      </w:r>
      <w:r>
        <w:rPr>
          <w:rFonts w:hint="eastAsia" w:ascii="方正仿宋_GBK" w:hAnsi="方正仿宋_GBK" w:eastAsia="方正仿宋_GBK" w:cs="方正仿宋_GBK"/>
          <w:b w:val="0"/>
          <w:bCs w:val="0"/>
          <w:color w:val="000000"/>
          <w:sz w:val="32"/>
          <w:szCs w:val="32"/>
        </w:rPr>
        <w:t>规模兔场的母兔批次化生产</w:t>
      </w:r>
      <w:r>
        <w:rPr>
          <w:rFonts w:hint="eastAsia" w:ascii="方正仿宋_GBK" w:hAnsi="方正仿宋_GBK" w:eastAsia="方正仿宋_GBK" w:cs="方正仿宋_GBK"/>
          <w:b w:val="0"/>
          <w:bCs w:val="0"/>
          <w:color w:val="000000"/>
          <w:sz w:val="32"/>
          <w:szCs w:val="32"/>
          <w:lang w:eastAsia="zh-CN"/>
        </w:rPr>
        <w:t>。</w:t>
      </w:r>
    </w:p>
    <w:p w14:paraId="4C51FD62">
      <w:pPr>
        <w:pageBreakBefore w:val="0"/>
        <w:numPr>
          <w:ilvl w:val="0"/>
          <w:numId w:val="0"/>
        </w:numPr>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黑体_GBK" w:cs="方正仿宋_GBK"/>
          <w:b w:val="0"/>
          <w:bCs w:val="0"/>
          <w:color w:val="000000"/>
          <w:sz w:val="32"/>
          <w:szCs w:val="32"/>
          <w:lang w:eastAsia="zh-CN"/>
        </w:rPr>
        <w:t>四、注意事项</w:t>
      </w:r>
    </w:p>
    <w:p w14:paraId="3A0BE02E">
      <w:pPr>
        <w:pageBreakBefore w:val="0"/>
        <w:numPr>
          <w:ilvl w:val="0"/>
          <w:numId w:val="0"/>
        </w:numPr>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1.川渝地区高温高湿，需注意人工授精时间（避开夏季正午高温，选择早晚操作），并强化笼舍通风降温（如加装水帘、风扇），防止母兔热应激导致发情率、受胎率下降。</w:t>
      </w:r>
    </w:p>
    <w:p w14:paraId="41B04EDF">
      <w:pPr>
        <w:pageBreakBefore w:val="0"/>
        <w:numPr>
          <w:ilvl w:val="0"/>
          <w:numId w:val="0"/>
        </w:numPr>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2.人工授精、同期发情、批次化流程管控需要养殖户系统学习相关知识及技能，需强化核心技术实操培训。</w:t>
      </w:r>
    </w:p>
    <w:p w14:paraId="674E44AF">
      <w:pPr>
        <w:pageBreakBefore w:val="0"/>
        <w:numPr>
          <w:ilvl w:val="0"/>
          <w:numId w:val="0"/>
        </w:numPr>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3.批次化生产依赖标准化笼舍、环境控制、粪污处理等硬件，若设施配套不完善，不但会影响养殖效益，还可能增加养殖风险。</w:t>
      </w:r>
    </w:p>
    <w:p w14:paraId="7E0BDE7D">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五、技术依托单位</w:t>
      </w:r>
    </w:p>
    <w:p w14:paraId="79956D62">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lang w:eastAsia="zh-CN"/>
        </w:rPr>
        <w:t>（一）重庆市畜牧技术推广总站</w:t>
      </w:r>
    </w:p>
    <w:p w14:paraId="5CBA2CEB">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联系地址：重庆市两江新区黄山大道东段186号</w:t>
      </w:r>
    </w:p>
    <w:p w14:paraId="2CCA825D">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邮政编码：401121</w:t>
      </w:r>
    </w:p>
    <w:p w14:paraId="6BDDCB09">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 系 人：张晶</w:t>
      </w:r>
    </w:p>
    <w:p w14:paraId="25629367">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联系电话：18623005792</w:t>
      </w:r>
    </w:p>
    <w:p w14:paraId="3549C948">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电子邮箱：284864228@qq.com</w:t>
      </w:r>
    </w:p>
    <w:p w14:paraId="0E5B9672">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lang w:eastAsia="zh-CN"/>
        </w:rPr>
      </w:pPr>
      <w:r>
        <w:rPr>
          <w:rFonts w:hint="eastAsia" w:ascii="方正楷体_GBK" w:hAnsi="方正楷体_GBK" w:eastAsia="方正楷体_GBK" w:cs="方正楷体_GBK"/>
          <w:b w:val="0"/>
          <w:bCs w:val="0"/>
          <w:color w:val="000000"/>
          <w:sz w:val="32"/>
          <w:szCs w:val="32"/>
          <w:lang w:eastAsia="zh-CN"/>
        </w:rPr>
        <w:t>（二）四川省畜牧科学研究院</w:t>
      </w:r>
    </w:p>
    <w:p w14:paraId="12F92774">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联系地址：四川省成都锦江区牛沙路7号</w:t>
      </w:r>
    </w:p>
    <w:p w14:paraId="015CA77B">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rPr>
        <w:t>邮政编码：</w:t>
      </w:r>
      <w:r>
        <w:rPr>
          <w:rFonts w:hint="eastAsia" w:ascii="方正仿宋_GBK" w:hAnsi="方正仿宋_GBK" w:eastAsia="方正仿宋_GBK" w:cs="方正仿宋_GBK"/>
          <w:b w:val="0"/>
          <w:bCs w:val="0"/>
          <w:color w:val="000000"/>
          <w:sz w:val="32"/>
          <w:szCs w:val="32"/>
          <w:lang w:val="en-US" w:eastAsia="zh-CN"/>
        </w:rPr>
        <w:t>610066</w:t>
      </w:r>
    </w:p>
    <w:p w14:paraId="6511FB88">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 系 人：郭志强</w:t>
      </w:r>
    </w:p>
    <w:p w14:paraId="7494D22D">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联系电话：15208306144</w:t>
      </w:r>
    </w:p>
    <w:p w14:paraId="67167740">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电子邮箱：87738975@q</w:t>
      </w:r>
      <w:r>
        <w:rPr>
          <w:rFonts w:hint="eastAsia" w:ascii="方正仿宋_GBK" w:hAnsi="方正仿宋_GBK" w:eastAsia="方正仿宋_GBK" w:cs="方正仿宋_GBK"/>
          <w:b w:val="0"/>
          <w:bCs w:val="0"/>
          <w:color w:val="000000"/>
          <w:sz w:val="32"/>
          <w:szCs w:val="32"/>
          <w:lang w:val="en-US" w:eastAsia="zh-CN"/>
        </w:rPr>
        <w:t>q</w:t>
      </w:r>
      <w:r>
        <w:rPr>
          <w:rFonts w:hint="eastAsia" w:ascii="方正仿宋_GBK" w:hAnsi="方正仿宋_GBK" w:eastAsia="方正仿宋_GBK" w:cs="方正仿宋_GBK"/>
          <w:b w:val="0"/>
          <w:bCs w:val="0"/>
          <w:color w:val="000000"/>
          <w:sz w:val="32"/>
          <w:szCs w:val="32"/>
        </w:rPr>
        <w:t>.com</w:t>
      </w:r>
    </w:p>
    <w:p w14:paraId="7FF598B5">
      <w:pPr>
        <w:pageBreakBefore w:val="0"/>
        <w:wordWrap/>
        <w:overflowPunct/>
        <w:topLinePunct w:val="0"/>
        <w:bidi w:val="0"/>
        <w:adjustRightInd/>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p>
    <w:p w14:paraId="75A6120E">
      <w:pPr>
        <w:pStyle w:val="2"/>
        <w:rPr>
          <w:rFonts w:hint="eastAsia" w:ascii="方正仿宋_GBK" w:hAnsi="方正仿宋_GBK" w:eastAsia="方正仿宋_GBK" w:cs="方正仿宋_GBK"/>
          <w:b w:val="0"/>
          <w:bCs w:val="0"/>
          <w:color w:val="000000"/>
          <w:sz w:val="32"/>
          <w:szCs w:val="32"/>
        </w:rPr>
      </w:pPr>
    </w:p>
    <w:p w14:paraId="5CF26177">
      <w:pPr>
        <w:rPr>
          <w:rFonts w:hint="eastAsia" w:ascii="方正仿宋_GBK" w:hAnsi="方正仿宋_GBK" w:eastAsia="方正仿宋_GBK" w:cs="方正仿宋_GBK"/>
          <w:b w:val="0"/>
          <w:bCs w:val="0"/>
          <w:color w:val="000000"/>
          <w:sz w:val="32"/>
          <w:szCs w:val="32"/>
        </w:rPr>
      </w:pPr>
    </w:p>
    <w:p w14:paraId="67BF1A71">
      <w:pPr>
        <w:pStyle w:val="2"/>
        <w:rPr>
          <w:rFonts w:hint="eastAsia" w:ascii="方正仿宋_GBK" w:hAnsi="方正仿宋_GBK" w:eastAsia="方正仿宋_GBK" w:cs="方正仿宋_GBK"/>
          <w:b w:val="0"/>
          <w:bCs w:val="0"/>
          <w:color w:val="000000"/>
          <w:sz w:val="32"/>
          <w:szCs w:val="32"/>
        </w:rPr>
      </w:pPr>
    </w:p>
    <w:p w14:paraId="406CE810">
      <w:pPr>
        <w:rPr>
          <w:rFonts w:hint="eastAsia" w:ascii="方正仿宋_GBK" w:hAnsi="方正仿宋_GBK" w:eastAsia="方正仿宋_GBK" w:cs="方正仿宋_GBK"/>
          <w:b w:val="0"/>
          <w:bCs w:val="0"/>
          <w:color w:val="000000"/>
          <w:sz w:val="32"/>
          <w:szCs w:val="32"/>
        </w:rPr>
      </w:pPr>
    </w:p>
    <w:p w14:paraId="23B515B6">
      <w:pPr>
        <w:pStyle w:val="3"/>
        <w:bidi w:val="0"/>
        <w:jc w:val="center"/>
        <w:rPr>
          <w:rFonts w:hint="eastAsia"/>
        </w:rPr>
      </w:pPr>
      <w:r>
        <w:rPr>
          <w:rFonts w:hint="eastAsia" w:ascii="Times New Roman" w:hAnsi="Times New Roman" w:eastAsia="方正小标宋_GBK" w:cs="Times New Roman"/>
          <w:b w:val="0"/>
          <w:bCs/>
          <w:color w:val="auto"/>
          <w:kern w:val="44"/>
          <w:sz w:val="44"/>
          <w:szCs w:val="44"/>
          <w:lang w:val="en-US" w:eastAsia="zh-CN" w:bidi="ar-SA"/>
        </w:rPr>
        <w:t>8.</w:t>
      </w:r>
      <w:r>
        <w:rPr>
          <w:rFonts w:hint="eastAsia"/>
        </w:rPr>
        <w:t>丘陵山区水产生态种养循环技术</w:t>
      </w:r>
    </w:p>
    <w:p w14:paraId="38DB66C1">
      <w:pPr>
        <w:pageBreakBefore w:val="0"/>
        <w:wordWrap/>
        <w:overflowPunct/>
        <w:topLinePunct w:val="0"/>
        <w:bidi w:val="0"/>
        <w:spacing w:beforeAutospacing="0" w:afterAutospacing="0" w:line="600" w:lineRule="exact"/>
        <w:ind w:left="0" w:leftChars="0" w:right="0" w:rightChars="0" w:firstLine="640" w:firstLineChars="200"/>
        <w:jc w:val="center"/>
        <w:rPr>
          <w:rFonts w:hint="eastAsia" w:ascii="方正仿宋_GBK" w:hAnsi="方正仿宋_GBK" w:eastAsia="方正仿宋_GBK" w:cs="方正仿宋_GBK"/>
          <w:b w:val="0"/>
          <w:bCs w:val="0"/>
          <w:color w:val="000000"/>
          <w:sz w:val="32"/>
          <w:szCs w:val="32"/>
        </w:rPr>
      </w:pPr>
    </w:p>
    <w:p w14:paraId="2EDAB0C8">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kern w:val="0"/>
          <w:sz w:val="32"/>
          <w:szCs w:val="32"/>
        </w:rPr>
      </w:pPr>
      <w:r>
        <w:rPr>
          <w:rFonts w:hint="eastAsia" w:ascii="方正仿宋_GBK" w:hAnsi="方正仿宋_GBK" w:eastAsia="方正黑体_GBK" w:cs="方正仿宋_GBK"/>
          <w:b w:val="0"/>
          <w:bCs w:val="0"/>
          <w:color w:val="000000"/>
          <w:sz w:val="32"/>
          <w:szCs w:val="32"/>
          <w:lang w:eastAsia="zh-CN"/>
        </w:rPr>
        <w:t>摘要：</w:t>
      </w:r>
      <w:bookmarkStart w:id="10" w:name="OLE_LINK50"/>
      <w:bookmarkStart w:id="11" w:name="OLE_LINK49"/>
      <w:bookmarkStart w:id="12" w:name="OLE_LINK51"/>
      <w:r>
        <w:rPr>
          <w:rFonts w:hint="eastAsia" w:ascii="方正仿宋_GBK" w:hAnsi="方正仿宋_GBK" w:eastAsia="方正仿宋_GBK" w:cs="方正仿宋_GBK"/>
          <w:b w:val="0"/>
          <w:bCs w:val="0"/>
          <w:kern w:val="0"/>
          <w:sz w:val="32"/>
          <w:szCs w:val="32"/>
        </w:rPr>
        <w:t>该技术基于鱼菜共生机制，耦合工程化技术，种养一体化，实现养殖节能减排、资源循环利用和养殖安全高效。厘清了丘陵山区水产生态种养循环机制，构建鱼菜共生、尾水资源化和工厂化为核心的生态种养循环技术体系，集成池塘鱼菜共生、智慧工厂化鱼菜共生等8项主推模式，7次入选全国农业主推技术，获评部典型模式2项，获中华神农科技一等奖、全球卓越工程师大赛优秀成果转化奖和市长质量贡献奖等4项，授权专利43项、制定地标9项、专著9部，食品认证10个，受到央视《新闻联播》等媒体高强度报道。构建“创新联盟+科技攻关团队+推广机构+生产经营主体”产学研推用一体化协同推广机制，建立了需求征集、定向研发、中试示范、菜单式推广的工作模式，技术产业无缝对接。三年推广393.9万亩，总产值832亿元，新增产值130.84亿元，减排6.7亿吨、节水70%，病害下降20%，认证食品10个，效益提升114.3%，拓宽近40万亩水面，纳入中央和重庆市委1号文件，支撑中央环保督察整改销号，综合效益十分显著。</w:t>
      </w:r>
      <w:bookmarkEnd w:id="10"/>
      <w:bookmarkEnd w:id="11"/>
      <w:bookmarkEnd w:id="12"/>
    </w:p>
    <w:p w14:paraId="6E94390C">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一、技术概述</w:t>
      </w:r>
    </w:p>
    <w:p w14:paraId="28EEBDFE">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（一）背景情况</w:t>
      </w:r>
    </w:p>
    <w:p w14:paraId="06CE6C67">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一是国家生态战略驱动。作为长江经济带生态屏障核心区，重庆肩负着“共抓大保护、不搞大开发”的国家使命。随着长江十年禁渔政策深入实施，优质水产品安全稳定供给压力逐步转移到池塘和工程化养殖上来，然而，高强度开发、资源过度利用和尾水无序排放引起养殖面源污染、病害多发、水产品质量安全隐患及养殖效益低等突出问题。2024年全市水产养殖面积达129.4万亩，年产量61.2万吨，但传统高密度养殖导致单位面积氮磷排放强度达7.8kg/亩·年，超出水体自净能力3倍以上。</w:t>
      </w:r>
    </w:p>
    <w:p w14:paraId="0461F7EB">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二是产业转型阵痛。根据2020年全市水产养殖场全面普查结果显示，主产区池塘养殖模式水利用率不足30%，饵料系数达1.8-2.5，较生态养殖高40%；病害发生率年均18%，导致抗生素使用量超安全标准2.3倍。根据《第二次全国污染源普查公报》，中国水产养殖水污染年排放量分别为氨氮2.23万吨，总氮9.91万吨，总磷1.61万吨。三峡库区34.5%的养殖区出现季节性藻华，威胁人畜饮用水源安全。</w:t>
      </w:r>
    </w:p>
    <w:p w14:paraId="6807226F">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三是中央生态环保督察倒逼。经党中央、国务院批准，2020年5月9日，中央第四生态环境保护督察组反馈《重庆市中央生态环境保护督察报告》中第36项问题明确支出：重庆水产养殖尾水直排现象普遍，2018年，重庆市水产养殖面积83024公顷，其中配套建有尾水处理设施的只有1505公顷，仅占总养殖面积的1.8%，每年大约10770万吨尾水未经处理直接外排。重庆市委市政府组建《重庆市中央生态环境保护督察报告》整改方案中，明确全面推动重庆市水产养殖尾水治理，2025年实现养殖尾水有效治理。</w:t>
      </w:r>
    </w:p>
    <w:p w14:paraId="7E0869DA">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（二）推广应用情况</w:t>
      </w:r>
    </w:p>
    <w:p w14:paraId="3A9E66B3">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D0D0D"/>
          <w:sz w:val="32"/>
          <w:szCs w:val="32"/>
        </w:rPr>
        <w:t>近三年在重庆市梁平、长寿、潼南、璧山、巴南等37个区县进行了卓有成效的推广。在全市建立示范区63个，195个以生态种养技术为核心的全国五大行动骨干基地，并辐射到广东、四川、湖北、云南等十多个省市，辐射全国累计推广面积393.9万亩，在一带一路国家尼泊尔建设示范基地6个。该技术对南方乃至全国生态渔业发展都具有较大的引领作用。</w:t>
      </w:r>
    </w:p>
    <w:p w14:paraId="4C5A574D">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（三）技术效果</w:t>
      </w:r>
    </w:p>
    <w:p w14:paraId="69D75E83">
      <w:pPr>
        <w:pageBreakBefore w:val="0"/>
        <w:widowControl/>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D0D0D"/>
          <w:sz w:val="32"/>
          <w:szCs w:val="32"/>
        </w:rPr>
      </w:pPr>
      <w:r>
        <w:rPr>
          <w:rFonts w:hint="eastAsia" w:ascii="方正仿宋_GBK" w:hAnsi="方正仿宋_GBK" w:eastAsia="方正仿宋_GBK" w:cs="方正仿宋_GBK"/>
          <w:b w:val="0"/>
          <w:bCs w:val="0"/>
          <w:color w:val="0D0D0D"/>
          <w:sz w:val="32"/>
          <w:szCs w:val="32"/>
        </w:rPr>
        <w:t>1.经济效益</w:t>
      </w:r>
    </w:p>
    <w:p w14:paraId="5CF7853B">
      <w:pPr>
        <w:pageBreakBefore w:val="0"/>
        <w:widowControl/>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D0D0D"/>
          <w:sz w:val="32"/>
          <w:szCs w:val="32"/>
        </w:rPr>
      </w:pPr>
      <w:r>
        <w:rPr>
          <w:rFonts w:hint="eastAsia" w:ascii="方正仿宋_GBK" w:hAnsi="方正仿宋_GBK" w:eastAsia="方正仿宋_GBK" w:cs="方正仿宋_GBK"/>
          <w:b w:val="0"/>
          <w:bCs w:val="0"/>
          <w:color w:val="0D0D0D"/>
          <w:sz w:val="32"/>
          <w:szCs w:val="32"/>
        </w:rPr>
        <w:t>2022-2024年，成果全国推广应用393.9万亩（重庆地区推广面积50.6万亩），累计总产值达832亿元，新增产值130.84亿元，总经济效益52.31亿元，年经济效益17.44亿元，推广投资年均纯利润率为3.51元/元。亩均节支215.6元（饲料82.54元，水电38.38元，渔药94.7元），总截止8.49亿元。水产品平均单产1348.4kg/亩，较未应用该技术同类池塘平均增幅达到13.49%，新增水产品7.17万吨，蔬菜产量261.2kg/亩，新增蔬菜8.52万吨，亩新增产值3321.7元,其中蔬菜亩新增产值914.20元，水产品新增产值2405.5元，亩新增利润为2111.76元。提高氮、磷利用率13.5%和 6.4%，总消纳氮磷4.01万吨，病发率降低 20%以上，认证绿色或有机食品10个，效益提升114.3%，水质修复效率提高10%-20%，鱼类生长速度提高10%以上，推动了渔业的绿色养殖模式升级和产业生产方式转型，为水产养殖产业可持续发展提供了一条有效途径，为乡村振兴提供了良好的技术支撑。</w:t>
      </w:r>
    </w:p>
    <w:p w14:paraId="510C1BAB">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水产生态种养循环技术应用后，饲料、肥料、用水等投入成本降低。生态种养产品（如有机鱼、绿色蔬菜）符合消费者对健康食品的需求，市场价格高于传统产品。认证的多个绿色产品，如生态有机鱼较普通同种普通鱼类经济效益提高20%-30%，提升产品附加值。通过强化型生物膜脱氮工艺、水环境调控设施工艺、提高物质利用的微生态减排调控等技术集成，显著提高了池塘水环境及尾水综合治理能力，提升了水、地等自然资源和饲料等投入品的利用效率，推动产业升级。该技术模式的应用在发挥基础净水功能的同时，兼具景观化，可以借势发展发展休闲渔业、生态旅游、科普教育等第三产业，形成“生产-加工-服务”一体化模式，延伸产业链条。</w:t>
      </w:r>
    </w:p>
    <w:p w14:paraId="54530331">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2.生态效益</w:t>
      </w:r>
    </w:p>
    <w:p w14:paraId="3BD8607A">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bookmarkStart w:id="13" w:name="OLE_LINK31"/>
      <w:r>
        <w:rPr>
          <w:rFonts w:hint="eastAsia" w:ascii="方正仿宋_GBK" w:hAnsi="方正仿宋_GBK" w:eastAsia="方正仿宋_GBK" w:cs="方正仿宋_GBK"/>
          <w:b w:val="0"/>
          <w:bCs w:val="0"/>
          <w:color w:val="000000"/>
          <w:sz w:val="32"/>
          <w:szCs w:val="32"/>
        </w:rPr>
        <w:t>（1）提高资源循环利用效率。通过收集粪便、残饵等养殖废弃物，将其作为有机肥用于种植业，降低农药化肥使用量，能有效地降低池塘水体中氮、磷水平，总氮（TN）去除率最高达70%以上，总磷（TP）去除率最高可达80%以上；水上种植副产品，如秸秆、菜叶可作为饲料或基质，减少资源浪费。</w:t>
      </w:r>
    </w:p>
    <w:p w14:paraId="101BDA1C">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（2）推进农业面源污染防控。创新丘陵山区尾水综合治理技术，应用养殖场3.51万户，亩均减排1200吨，累计减排6.7亿吨，相当于满负荷运转中型污水处理厂146年污水处理能力，针对中央环保督察提出问题，研发 7 种尾水治理模式，核心技术入选全国农业主推技术和《地方水产养殖业水污染物排放控制标准制订技术导则》行标推荐治理模式，初步解决了尾水直排“卡脖子”难题。入选全国农业生态环境保护典型模式和重庆生态环境保护督察整改典型案例，为全国面源污染防控提供了参考样本，支撑中央环保督察问题整改销号，入选重庆环保督察整改典型案例，并实现了可复制可推广。</w:t>
      </w:r>
    </w:p>
    <w:p w14:paraId="15087D37">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（3）保育养殖水体环境。全国消纳N、P元素吨(每千克空心菜中氮含量3.52g，磷含量0.38g，总消纳氮磷 (3.52g+0.38g)/1000g×261.2kg×1吨/1000(kg·亩)×3939000亩)=40082.24吨）。将治理与效益紧密结合起来，对水产养殖绿色发展、治理养殖面源污染和保育养殖水域生态环境具有较大推动作用。</w:t>
      </w:r>
      <w:bookmarkEnd w:id="13"/>
    </w:p>
    <w:p w14:paraId="0DF42240">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3.社会效益</w:t>
      </w:r>
    </w:p>
    <w:p w14:paraId="14C3E912">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bookmarkStart w:id="14" w:name="OLE_LINK33"/>
      <w:bookmarkStart w:id="15" w:name="OLE_LINK34"/>
      <w:r>
        <w:rPr>
          <w:rFonts w:hint="eastAsia" w:ascii="方正仿宋_GBK" w:hAnsi="方正仿宋_GBK" w:eastAsia="方正仿宋_GBK" w:cs="方正仿宋_GBK"/>
          <w:b w:val="0"/>
          <w:bCs w:val="0"/>
          <w:color w:val="000000"/>
          <w:sz w:val="32"/>
          <w:szCs w:val="32"/>
        </w:rPr>
        <w:t>（1）助力国家粮食安全。开辟了粮蔬新的生长空间，按亩均10%种植面积计，相当于增加了约39.4万亩粮蔬种植耕地。鱼稻共生经现场测产，水稻千粒重21.6g，穗粒数267个，测产水稻含水量20.5%，按标准含水量13.5%扣除水分含量，亩产水稻623kg/亩，全国可有25.4万吨稻谷增产空间。</w:t>
      </w:r>
    </w:p>
    <w:p w14:paraId="58944B0C">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（2）推动产业转型升级。构建丘陵山区水产生态种养循环技术体系，实现鱼类生长速度提高10%以上，病害发生率降低 20%以上，节约饲料成本1.7%以上，亩增产水产品12%以上，节水70%以上，认证10个绿色有机产品，实现了养殖环境治理和渔业增产增效协同发展，促进了产业转型升级，为全国水产绿色发展探明了一条可行发展路径。</w:t>
      </w:r>
    </w:p>
    <w:p w14:paraId="091E0779">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3）推进乡村振兴和国际减贫。以生态化、景观化、休闲化三化协调发展为重点，推动产业融合发展，实现养殖水环境保育和人居环境改善，通过差异化定位、文化赋能，探索鱼菜共生和乡村旅游、休闲基地、观光餐饮有机融合，打造万盛区凉风村国家级最美乡村和南川区向家沟村“稻香渔歌”田园综合体市级十大最美乡村，梁平川西渔村3A级旅游景区，形成生态种养全产业链条。助推2万户渔民脱贫，打造巫溪红池坝镇和丰都县三建乡两个深度贫困到乡村振兴示范乡镇典型模式。作为落实习近平特使重庆市委袁家军书记访尼活力乡村项目主要援助技术落地尼泊尔，促进南亚地区减贫。</w:t>
      </w:r>
    </w:p>
    <w:bookmarkEnd w:id="14"/>
    <w:bookmarkEnd w:id="15"/>
    <w:p w14:paraId="40FBFFA6">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（四）入选和获奖情况</w:t>
      </w:r>
    </w:p>
    <w:p w14:paraId="43706EC0">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核心技术9次全国农业主推技术，为我国池塘养殖节能减排绿色发展提供了重要的技术支撑，获2023年全球卓越工程师大赛十佳优秀成果转化奖，丘陵山地养殖尾水资源化利用技术获2024年全球卓越工程师优秀成果转化奖，鱼菜共生综合种养技术规范获2025年重庆市市长质量奖（标准创新贡献奖），在全国得到大规模推广应用，并作为重庆市落实市委主要领导访尼建设活力乡村项目主要援助技术落地尼泊尔，原国务院副总理胡春华在2021年全国畜牧渔业工作会期间视频连线梁平鱼菜共生和尾水治理应用示范基地，指出该技术在全国水产绿色健康养殖领域有巨大的技术引领作用。中共中央国务院将“推广种养循环技术”纳入2024年中央一号文件，推动持续打好农业农村污染治理攻坚战。列入2025年重庆市委“一号文件”，提出大力推广鱼菜共生等绿色健康养殖模式，“市委一号文件”任务分解明确由本项目完成单位承担转化推广任务，创新集成的7种尾水治理模式编入《重庆市水产养殖尾水治理模式指南》，技术入选全国农业生态环境保护和重点品种安全典型模式，并纳入重庆生态环境保护督察整改典型案例，人民日报、中央电视台等国家级媒体多次专题报道。</w:t>
      </w:r>
    </w:p>
    <w:p w14:paraId="6B16FBD0">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二、技术要点</w:t>
      </w:r>
    </w:p>
    <w:p w14:paraId="65A0C31C">
      <w:pPr>
        <w:pageBreakBefore w:val="0"/>
        <w:widowControl/>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1.池塘鱼菜共生综合种养技术。聚焦池塘鱼菜互促共生和水质原位修复难题，集成“浮床制作工艺-水培种植-水质原位修复”丘陵山区池塘鱼菜共生综合种养技术体系：发明漂浮式PVC/竹子、固定式及集装箱式标准化框体等浮床制作工艺，创新双层网片鱼类摄食阻断工艺，实现鱼菜和谐共生；筛选空心菜、狐尾藻、水稻等30余种无土栽培植物，明确浮床覆盖率与水质净化、鱼类生长的动态平衡关系，以10%覆盖率为佳，7.5%浮床示范对</w:t>
      </w:r>
      <w:r>
        <w:rPr>
          <w:rFonts w:hint="default" w:ascii="Times New Roman" w:hAnsi="Times New Roman" w:eastAsia="方正仿宋_GBK" w:cs="Times New Roman"/>
          <w:b w:val="0"/>
          <w:bCs w:val="0"/>
          <w:color w:val="000000"/>
          <w:sz w:val="32"/>
          <w:szCs w:val="32"/>
        </w:rPr>
        <w:t>NH₄⁺-N、NO₃⁻-N、TN</w:t>
      </w:r>
      <w:r>
        <w:rPr>
          <w:rFonts w:hint="eastAsia" w:ascii="方正仿宋_GBK" w:hAnsi="方正仿宋_GBK" w:eastAsia="方正仿宋_GBK" w:cs="方正仿宋_GBK"/>
          <w:b w:val="0"/>
          <w:bCs w:val="0"/>
          <w:color w:val="000000"/>
          <w:sz w:val="32"/>
          <w:szCs w:val="32"/>
        </w:rPr>
        <w:t>去除率分别达</w:t>
      </w:r>
      <w:r>
        <w:rPr>
          <w:rFonts w:hint="default" w:ascii="Times New Roman" w:hAnsi="Times New Roman" w:eastAsia="方正仿宋_GBK" w:cs="Times New Roman"/>
          <w:b w:val="0"/>
          <w:bCs w:val="0"/>
          <w:color w:val="000000"/>
          <w:sz w:val="32"/>
          <w:szCs w:val="32"/>
        </w:rPr>
        <w:t>41.7%、25.2%、24.7%，PO₄³⁻-P、TP</w:t>
      </w:r>
      <w:r>
        <w:rPr>
          <w:rFonts w:hint="eastAsia" w:ascii="方正仿宋_GBK" w:hAnsi="方正仿宋_GBK" w:eastAsia="方正仿宋_GBK" w:cs="方正仿宋_GBK"/>
          <w:b w:val="0"/>
          <w:bCs w:val="0"/>
          <w:color w:val="000000"/>
          <w:sz w:val="32"/>
          <w:szCs w:val="32"/>
        </w:rPr>
        <w:t>下降</w:t>
      </w:r>
      <w:r>
        <w:rPr>
          <w:rFonts w:hint="default" w:ascii="Times New Roman" w:hAnsi="Times New Roman" w:eastAsia="方正仿宋_GBK" w:cs="Times New Roman"/>
          <w:b w:val="0"/>
          <w:bCs w:val="0"/>
          <w:color w:val="000000"/>
          <w:sz w:val="32"/>
          <w:szCs w:val="32"/>
        </w:rPr>
        <w:t>75.3%、49.7%</w:t>
      </w:r>
      <w:r>
        <w:rPr>
          <w:rFonts w:hint="eastAsia" w:ascii="方正仿宋_GBK" w:hAnsi="方正仿宋_GBK" w:eastAsia="方正仿宋_GBK" w:cs="方正仿宋_GBK"/>
          <w:b w:val="0"/>
          <w:bCs w:val="0"/>
          <w:color w:val="000000"/>
          <w:sz w:val="32"/>
          <w:szCs w:val="32"/>
        </w:rPr>
        <w:t>。</w:t>
      </w:r>
    </w:p>
    <w:p w14:paraId="03B2443A">
      <w:pPr>
        <w:pageBreakBefore w:val="0"/>
        <w:widowControl/>
        <w:wordWrap/>
        <w:overflowPunct/>
        <w:topLinePunct w:val="0"/>
        <w:bidi w:val="0"/>
        <w:spacing w:beforeAutospacing="0" w:afterAutospacing="0" w:line="600" w:lineRule="exact"/>
        <w:ind w:left="0" w:leftChars="0" w:right="0" w:rightChars="0" w:firstLine="560" w:firstLineChars="200"/>
        <w:jc w:val="center"/>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rPr>
        <w:drawing>
          <wp:anchor distT="0" distB="0" distL="114300" distR="114300" simplePos="0" relativeHeight="251661312" behindDoc="0" locked="0" layoutInCell="1" allowOverlap="1">
            <wp:simplePos x="0" y="0"/>
            <wp:positionH relativeFrom="margin">
              <wp:align>center</wp:align>
            </wp:positionH>
            <wp:positionV relativeFrom="paragraph">
              <wp:posOffset>31750</wp:posOffset>
            </wp:positionV>
            <wp:extent cx="4046855" cy="2277745"/>
            <wp:effectExtent l="0" t="0" r="10795" b="8255"/>
            <wp:wrapTopAndBottom/>
            <wp:docPr id="59" name="图片 1" descr="D:\廖浩宇工作资料\素材\图片\2023总站宣传画册\图片资料\2.池塘“鱼-水生植物”生态循环技术\大足鱼菜共生示范基地（市水产总站联合重庆电视台新农村频道拍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D:\廖浩宇工作资料\素材\图片\2023总站宣传画册\图片资料\2.池塘“鱼-水生植物”生态循环技术\大足鱼菜共生示范基地（市水产总站联合重庆电视台新农村频道拍摄）.jpg"/>
                    <pic:cNvPicPr>
                      <a:picLocks noChangeAspect="1"/>
                    </pic:cNvPicPr>
                  </pic:nvPicPr>
                  <pic:blipFill>
                    <a:blip r:embed="rId35"/>
                    <a:stretch>
                      <a:fillRect/>
                    </a:stretch>
                  </pic:blipFill>
                  <pic:spPr>
                    <a:xfrm>
                      <a:off x="0" y="0"/>
                      <a:ext cx="4046855" cy="2277745"/>
                    </a:xfrm>
                    <a:prstGeom prst="rect">
                      <a:avLst/>
                    </a:prstGeom>
                    <a:noFill/>
                    <a:ln>
                      <a:noFill/>
                    </a:ln>
                  </pic:spPr>
                </pic:pic>
              </a:graphicData>
            </a:graphic>
          </wp:anchor>
        </w:drawing>
      </w:r>
      <w:r>
        <w:rPr>
          <w:rFonts w:hint="eastAsia" w:ascii="方正黑体_GBK" w:hAnsi="方正黑体_GBK" w:eastAsia="方正黑体_GBK" w:cs="方正黑体_GBK"/>
          <w:b w:val="0"/>
          <w:bCs w:val="0"/>
          <w:color w:val="000000"/>
          <w:sz w:val="28"/>
          <w:szCs w:val="28"/>
          <w:lang w:val="en-US" w:eastAsia="zh-CN"/>
        </w:rPr>
        <w:t xml:space="preserve">图1 </w:t>
      </w:r>
      <w:r>
        <w:rPr>
          <w:rFonts w:hint="eastAsia" w:ascii="方正黑体_GBK" w:hAnsi="方正黑体_GBK" w:eastAsia="方正黑体_GBK" w:cs="方正黑体_GBK"/>
          <w:b w:val="0"/>
          <w:bCs w:val="0"/>
          <w:color w:val="000000"/>
          <w:sz w:val="28"/>
          <w:szCs w:val="28"/>
        </w:rPr>
        <w:t>池塘鱼菜共生技术</w:t>
      </w:r>
    </w:p>
    <w:p w14:paraId="07FA4DF5">
      <w:pPr>
        <w:pageBreakBefore w:val="0"/>
        <w:widowControl/>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sz w:val="32"/>
          <w:szCs w:val="32"/>
        </w:rPr>
        <w:drawing>
          <wp:anchor distT="0" distB="0" distL="114300" distR="114300" simplePos="0" relativeHeight="251662336" behindDoc="0" locked="0" layoutInCell="1" allowOverlap="1">
            <wp:simplePos x="0" y="0"/>
            <wp:positionH relativeFrom="page">
              <wp:align>center</wp:align>
            </wp:positionH>
            <wp:positionV relativeFrom="paragraph">
              <wp:posOffset>2357755</wp:posOffset>
            </wp:positionV>
            <wp:extent cx="3482340" cy="2621915"/>
            <wp:effectExtent l="0" t="0" r="3810" b="6985"/>
            <wp:wrapTopAndBottom/>
            <wp:docPr id="57" name="图片 20" descr="附件1-3：市农科院鱼菜共生AI工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descr="附件1-3：市农科院鱼菜共生AI工厂"/>
                    <pic:cNvPicPr>
                      <a:picLocks noChangeAspect="1"/>
                    </pic:cNvPicPr>
                  </pic:nvPicPr>
                  <pic:blipFill>
                    <a:blip r:embed="rId36"/>
                    <a:stretch>
                      <a:fillRect/>
                    </a:stretch>
                  </pic:blipFill>
                  <pic:spPr>
                    <a:xfrm>
                      <a:off x="0" y="0"/>
                      <a:ext cx="3482340" cy="2621915"/>
                    </a:xfrm>
                    <a:prstGeom prst="rect">
                      <a:avLst/>
                    </a:prstGeom>
                    <a:noFill/>
                    <a:ln>
                      <a:noFill/>
                    </a:ln>
                  </pic:spPr>
                </pic:pic>
              </a:graphicData>
            </a:graphic>
          </wp:anchor>
        </w:drawing>
      </w:r>
      <w:r>
        <w:rPr>
          <w:rFonts w:hint="eastAsia" w:ascii="方正仿宋_GBK" w:hAnsi="方正仿宋_GBK" w:eastAsia="方正仿宋_GBK" w:cs="方正仿宋_GBK"/>
          <w:b w:val="0"/>
          <w:bCs w:val="0"/>
          <w:color w:val="000000"/>
          <w:sz w:val="32"/>
          <w:szCs w:val="32"/>
        </w:rPr>
        <w:t>2.工厂化鱼菜共生循环种养技术。创新工厂化鱼菜共生循环种养技术，构建尾水梯级双循环系统：养鱼水循环通过物理过滤、生物降解及紫外杀菌，降低悬浮物、氨氮和亚硝酸盐浓度，保障养鱼水质；鱼粪水循环经微滤机、浓缩机两级预处理后，再经“厌氧+好氧+生物滤池”三级生化处理转化为水溶性肥料，经蔬菜、藻类梯级利用后回流鱼池。</w:t>
      </w:r>
    </w:p>
    <w:p w14:paraId="722E6C82">
      <w:pPr>
        <w:pageBreakBefore w:val="0"/>
        <w:widowControl/>
        <w:wordWrap/>
        <w:overflowPunct/>
        <w:topLinePunct w:val="0"/>
        <w:bidi w:val="0"/>
        <w:spacing w:beforeAutospacing="0" w:afterAutospacing="0" w:line="600" w:lineRule="exact"/>
        <w:ind w:left="0" w:leftChars="0" w:right="0" w:rightChars="0" w:firstLine="560" w:firstLineChars="200"/>
        <w:jc w:val="center"/>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lang w:val="en-US" w:eastAsia="zh-CN"/>
        </w:rPr>
        <w:t xml:space="preserve">图2 </w:t>
      </w:r>
      <w:r>
        <w:rPr>
          <w:rFonts w:hint="eastAsia" w:ascii="方正黑体_GBK" w:hAnsi="方正黑体_GBK" w:eastAsia="方正黑体_GBK" w:cs="方正黑体_GBK"/>
          <w:b w:val="0"/>
          <w:bCs w:val="0"/>
          <w:color w:val="000000"/>
          <w:sz w:val="28"/>
          <w:szCs w:val="28"/>
        </w:rPr>
        <w:t>市农科院鱼菜共生AI工厂</w:t>
      </w:r>
    </w:p>
    <w:p w14:paraId="56389537">
      <w:pPr>
        <w:pageBreakBefore w:val="0"/>
        <w:widowControl/>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3. 池塘工程化生态种养循环技术。聚焦池塘工程化生态种养循环与尾水零排放难题，集成“一改五化”核心技术与多营养层次、生态沟渠、强化型生态基、复合生物炭固定化等成套工艺：以池塘80:20模式为纲，实施小塘并大塘、浅塘加深、底排污改造等基础设施升级，配套水质洁净化、品种良种化、投喂精细化、病害无害化、管理现代化“五化”管理，平均节电30%，发病率下降15%，鱼、虾、蟹单产分别提升10%、15%、20%，综合效益增20%-60%。构建鲢鳙滤食鱼类多层次混养体系，2016—2017年通过捕捞带出氮60.61t、磷23.31t，长寿湖水质保持Ⅲ类，原位消纳水体废弃营养物。优化生态沟渠坡面-植物-动物组装工艺，TN、TP去除率最高达90%以上，实现10%-15%换水滞留7-10天后回用，废水零排放。发明强化型生态基，曝气-生物增强耦合SBBR中NH₄⁺-N、TN去除率达95.65%、94.88%，外源AHLs调控生物膜使硝态氮去除率提升至98.9%；铁锰介导鱼粪水硝态氮浓度达1346.4mg/L，有益菌群丰度显著提高。研制复合PHB-生物炭固定化弗氏柠檬酸杆菌JYS技术，NO₃⁻-N、NO₂⁻-N、TN去除率约90%，成本降低90%。</w:t>
      </w:r>
    </w:p>
    <w:p w14:paraId="452E8AAB">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drawing>
          <wp:inline distT="0" distB="0" distL="114300" distR="114300">
            <wp:extent cx="5301615" cy="3147695"/>
            <wp:effectExtent l="0" t="0" r="13335" b="14605"/>
            <wp:docPr id="58" name="图片 27" descr="附件1-2：工程化循环养殖+鱼稻共生融合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descr="附件1-2：工程化循环养殖+鱼稻共生融合模式"/>
                    <pic:cNvPicPr>
                      <a:picLocks noChangeAspect="1"/>
                    </pic:cNvPicPr>
                  </pic:nvPicPr>
                  <pic:blipFill>
                    <a:blip r:embed="rId37"/>
                    <a:stretch>
                      <a:fillRect/>
                    </a:stretch>
                  </pic:blipFill>
                  <pic:spPr>
                    <a:xfrm>
                      <a:off x="0" y="0"/>
                      <a:ext cx="5301615" cy="3147695"/>
                    </a:xfrm>
                    <a:prstGeom prst="rect">
                      <a:avLst/>
                    </a:prstGeom>
                    <a:noFill/>
                    <a:ln>
                      <a:noFill/>
                    </a:ln>
                  </pic:spPr>
                </pic:pic>
              </a:graphicData>
            </a:graphic>
          </wp:inline>
        </w:drawing>
      </w:r>
      <w:r>
        <w:rPr>
          <w:rFonts w:hint="eastAsia" w:ascii="方正仿宋_GBK" w:hAnsi="方正仿宋_GBK" w:eastAsia="方正仿宋_GBK" w:cs="方正仿宋_GBK"/>
          <w:b w:val="0"/>
          <w:bCs w:val="0"/>
          <w:color w:val="000000"/>
          <w:sz w:val="32"/>
          <w:szCs w:val="32"/>
        </w:rPr>
        <w:t>工</w:t>
      </w:r>
      <w:r>
        <w:rPr>
          <w:rFonts w:hint="eastAsia" w:ascii="方正黑体_GBK" w:hAnsi="方正黑体_GBK" w:eastAsia="方正黑体_GBK" w:cs="方正黑体_GBK"/>
          <w:b w:val="0"/>
          <w:bCs w:val="0"/>
          <w:color w:val="000000"/>
          <w:sz w:val="28"/>
          <w:szCs w:val="28"/>
          <w:lang w:val="en-US" w:eastAsia="zh-CN"/>
        </w:rPr>
        <w:t xml:space="preserve">图3 </w:t>
      </w:r>
      <w:r>
        <w:rPr>
          <w:rFonts w:hint="eastAsia" w:ascii="方正黑体_GBK" w:hAnsi="方正黑体_GBK" w:eastAsia="方正黑体_GBK" w:cs="方正黑体_GBK"/>
          <w:b w:val="0"/>
          <w:bCs w:val="0"/>
          <w:color w:val="000000"/>
          <w:sz w:val="28"/>
          <w:szCs w:val="28"/>
        </w:rPr>
        <w:t>程化循环养殖示范基地</w:t>
      </w:r>
    </w:p>
    <w:p w14:paraId="22734127">
      <w:pPr>
        <w:pageBreakBefore w:val="0"/>
        <w:widowControl/>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4.丘陵山区养殖尾水资源化循环利用技术。聚焦丘陵山区养殖尾水资源化循环利用问题，创新研发了“一渠两坝三池”尾水治理技术，通过生态沟渠、沉淀池、过滤坝、曝气池和生态净化池的多级协同作用，实现尾水高效净化，设施面积占比6%-10%；集成人工湿地工程治理技术，构建表面流、水平潜流和垂直潜流人工湿地系统，优化植物配置，提升污染物去除效率；研发“三池一滩”治理模式，通过集水池、沉淀池、浅水滩和清水池的梯级处理，实现尾水循环利用。此外，针对丘陵山区普遍存在的小型散养池塘，开发了简易治理模式，如综合沉淀池+密网组合，成本低且效果显著。</w:t>
      </w:r>
    </w:p>
    <w:p w14:paraId="0CF414CF">
      <w:pPr>
        <w:pageBreakBefore w:val="0"/>
        <w:widowControl/>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p>
    <w:p w14:paraId="61BDC0C6">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drawing>
          <wp:inline distT="0" distB="0" distL="114300" distR="114300">
            <wp:extent cx="4030980" cy="3023235"/>
            <wp:effectExtent l="0" t="0" r="7620" b="5715"/>
            <wp:docPr id="56" name="图片 28" descr="F:\陈铁娇\2022年\丰收奖\丹\2. 技术推广获得新进展1\永川多级人工湿地尾水治理示范基地（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descr="F:\陈铁娇\2022年\丰收奖\丹\2. 技术推广获得新进展1\永川多级人工湿地尾水治理示范基地（二）.jpg"/>
                    <pic:cNvPicPr>
                      <a:picLocks noChangeAspect="1"/>
                    </pic:cNvPicPr>
                  </pic:nvPicPr>
                  <pic:blipFill>
                    <a:blip r:embed="rId38"/>
                    <a:stretch>
                      <a:fillRect/>
                    </a:stretch>
                  </pic:blipFill>
                  <pic:spPr>
                    <a:xfrm>
                      <a:off x="0" y="0"/>
                      <a:ext cx="4030980" cy="3023235"/>
                    </a:xfrm>
                    <a:prstGeom prst="rect">
                      <a:avLst/>
                    </a:prstGeom>
                    <a:noFill/>
                    <a:ln>
                      <a:noFill/>
                    </a:ln>
                  </pic:spPr>
                </pic:pic>
              </a:graphicData>
            </a:graphic>
          </wp:inline>
        </w:drawing>
      </w:r>
    </w:p>
    <w:p w14:paraId="60939A6A">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lang w:val="en-US" w:eastAsia="zh-CN"/>
        </w:rPr>
        <w:t xml:space="preserve">图3 </w:t>
      </w:r>
      <w:r>
        <w:rPr>
          <w:rFonts w:hint="eastAsia" w:ascii="方正黑体_GBK" w:hAnsi="方正黑体_GBK" w:eastAsia="方正黑体_GBK" w:cs="方正黑体_GBK"/>
          <w:b w:val="0"/>
          <w:bCs w:val="0"/>
          <w:color w:val="000000"/>
          <w:sz w:val="28"/>
          <w:szCs w:val="28"/>
        </w:rPr>
        <w:t>永川区多级人工湿地尾水治理示范基地</w:t>
      </w:r>
    </w:p>
    <w:p w14:paraId="452BF67A">
      <w:pPr>
        <w:pageBreakBefore w:val="0"/>
        <w:widowControl/>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5.集约化养殖智慧化实时监测与精准管控技术。构建以水质自动采样、六要素数字化测控和设施设备联动为核心的集约化养殖智慧监测管控平台，集成养鱼精准投喂与水质调控、种菜水肥精准调控、设备故障诊断预警、水-电-气能源优化调控等智慧模型，形成高密度养殖、智能化在线监测、高效供氧、智慧管控、种养异位循环一体化的设施化种养循环系统，实现养殖尾水资源化循环利用、水体环境定期采样监测与设施设备智能化联动控制，降低劳动成本、提高养殖生产效益。</w:t>
      </w:r>
    </w:p>
    <w:p w14:paraId="0E5E0FF3">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三、适宜区域</w:t>
      </w:r>
    </w:p>
    <w:p w14:paraId="1608C207">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所有区域。</w:t>
      </w:r>
    </w:p>
    <w:p w14:paraId="027D54D4">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四、注意事项</w:t>
      </w:r>
    </w:p>
    <w:p w14:paraId="61AAE77D">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无。</w:t>
      </w:r>
    </w:p>
    <w:p w14:paraId="048CBC5C">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黑体_GBK" w:cs="方正仿宋_GBK"/>
          <w:b w:val="0"/>
          <w:bCs w:val="0"/>
          <w:color w:val="000000"/>
          <w:sz w:val="32"/>
          <w:szCs w:val="32"/>
          <w:lang w:eastAsia="zh-CN"/>
        </w:rPr>
        <w:t>五、技术依托单位</w:t>
      </w:r>
    </w:p>
    <w:p w14:paraId="42C1116E">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（一）重庆市水产技术推广总站</w:t>
      </w:r>
    </w:p>
    <w:p w14:paraId="14B47212">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联系地址：重庆市渝北区黄山大道186号13楼</w:t>
      </w:r>
    </w:p>
    <w:p w14:paraId="10856BA8">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邮政编码</w:t>
      </w:r>
      <w:r>
        <w:rPr>
          <w:rFonts w:hint="eastAsia" w:ascii="方正仿宋_GBK" w:hAnsi="方正仿宋_GBK" w:eastAsia="方正仿宋_GBK" w:cs="方正仿宋_GBK"/>
          <w:b w:val="0"/>
          <w:bCs w:val="0"/>
          <w:color w:val="000000"/>
          <w:sz w:val="32"/>
          <w:szCs w:val="32"/>
        </w:rPr>
        <w:t>：</w:t>
      </w:r>
      <w:r>
        <w:rPr>
          <w:rFonts w:hint="eastAsia" w:ascii="方正仿宋_GBK" w:hAnsi="方正仿宋_GBK" w:eastAsia="方正仿宋_GBK" w:cs="方正仿宋_GBK"/>
          <w:b w:val="0"/>
          <w:bCs w:val="0"/>
          <w:sz w:val="32"/>
          <w:szCs w:val="32"/>
        </w:rPr>
        <w:t>401120</w:t>
      </w:r>
    </w:p>
    <w:p w14:paraId="030B45B0">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 系 人：翟旭亮</w:t>
      </w:r>
    </w:p>
    <w:p w14:paraId="3E7808F9">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联系电话：023-86790313</w:t>
      </w:r>
    </w:p>
    <w:p w14:paraId="474543B6">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电子邮箱：scztgk@126.com</w:t>
      </w:r>
    </w:p>
    <w:p w14:paraId="2F0CDA23">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000000"/>
          <w:sz w:val="32"/>
          <w:szCs w:val="32"/>
        </w:rPr>
      </w:pPr>
      <w:r>
        <w:rPr>
          <w:rFonts w:hint="eastAsia" w:ascii="方正楷体_GBK" w:hAnsi="方正楷体_GBK" w:eastAsia="方正楷体_GBK" w:cs="方正楷体_GBK"/>
          <w:b w:val="0"/>
          <w:bCs w:val="0"/>
          <w:color w:val="000000"/>
          <w:sz w:val="32"/>
          <w:szCs w:val="32"/>
        </w:rPr>
        <w:t>（二）重庆市农业科学院农业工程研究所</w:t>
      </w:r>
    </w:p>
    <w:p w14:paraId="18C741D4">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联系地址：重庆市九龙坡区白市驿农科大道</w:t>
      </w:r>
    </w:p>
    <w:p w14:paraId="1923BA96">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邮政编码</w:t>
      </w:r>
      <w:r>
        <w:rPr>
          <w:rFonts w:hint="eastAsia" w:ascii="方正仿宋_GBK" w:hAnsi="方正仿宋_GBK" w:eastAsia="方正仿宋_GBK" w:cs="方正仿宋_GBK"/>
          <w:b w:val="0"/>
          <w:bCs w:val="0"/>
          <w:color w:val="000000"/>
          <w:sz w:val="32"/>
          <w:szCs w:val="32"/>
        </w:rPr>
        <w:t>：</w:t>
      </w:r>
      <w:r>
        <w:rPr>
          <w:rFonts w:hint="eastAsia" w:ascii="方正仿宋_GBK" w:hAnsi="方正仿宋_GBK" w:eastAsia="方正仿宋_GBK" w:cs="方正仿宋_GBK"/>
          <w:b w:val="0"/>
          <w:bCs w:val="0"/>
          <w:sz w:val="32"/>
          <w:szCs w:val="32"/>
        </w:rPr>
        <w:t>401329</w:t>
      </w:r>
    </w:p>
    <w:p w14:paraId="58EFA17E">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 系 人：蒲德成</w:t>
      </w:r>
    </w:p>
    <w:p w14:paraId="004001E5">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联系电话：023-65717197</w:t>
      </w:r>
    </w:p>
    <w:p w14:paraId="70754A69">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val="zh-TW"/>
        </w:rPr>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rtlGutter w:val="0"/>
          <w:docGrid w:type="lines" w:linePitch="579" w:charSpace="0"/>
        </w:sectPr>
      </w:pPr>
      <w:r>
        <w:rPr>
          <w:rFonts w:hint="eastAsia" w:ascii="方正仿宋_GBK" w:hAnsi="方正仿宋_GBK" w:eastAsia="方正仿宋_GBK" w:cs="方正仿宋_GBK"/>
          <w:b w:val="0"/>
          <w:bCs w:val="0"/>
          <w:sz w:val="32"/>
          <w:szCs w:val="32"/>
        </w:rPr>
        <w:t>电子邮箱：10749760@qq.com</w:t>
      </w:r>
    </w:p>
    <w:p w14:paraId="7DB9C70C">
      <w:pPr>
        <w:pStyle w:val="3"/>
        <w:bidi w:val="0"/>
        <w:jc w:val="center"/>
        <w:rPr>
          <w:rFonts w:hint="eastAsia"/>
        </w:rPr>
      </w:pPr>
      <w:r>
        <w:rPr>
          <w:rFonts w:hint="eastAsia"/>
          <w:lang w:val="en-US" w:eastAsia="zh-CN"/>
        </w:rPr>
        <w:t>9.</w:t>
      </w:r>
      <w:r>
        <w:rPr>
          <w:rFonts w:hint="eastAsia"/>
        </w:rPr>
        <w:t>山地特色稻渔综合种养技术</w:t>
      </w:r>
    </w:p>
    <w:p w14:paraId="0EE7E0A2">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p>
    <w:p w14:paraId="33A5B8A3">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黑体_GBK" w:cs="方正仿宋_GBK"/>
          <w:b w:val="0"/>
          <w:bCs w:val="0"/>
          <w:color w:val="auto"/>
          <w:sz w:val="32"/>
          <w:szCs w:val="32"/>
          <w:lang w:eastAsia="zh-CN"/>
        </w:rPr>
        <w:t>摘要：</w:t>
      </w:r>
      <w:r>
        <w:rPr>
          <w:rFonts w:hint="eastAsia" w:ascii="方正仿宋_GBK" w:hAnsi="方正仿宋_GBK" w:eastAsia="方正仿宋_GBK" w:cs="方正仿宋_GBK"/>
          <w:b w:val="0"/>
          <w:bCs w:val="0"/>
          <w:color w:val="auto"/>
          <w:sz w:val="32"/>
          <w:szCs w:val="32"/>
        </w:rPr>
        <w:t>山地特色稻渔综合种养通过对稻田进行工程化改造，构建稻渔共生轮作互促系统，通过规模化开发、产业化经营、标准化生产、品牌化运作，实现水稻稳产、水产品新增、经济效益提高、农药化肥施用量减少的目的，是一种具有稳粮、促渔、提质、增效、生态、环保等多种功能的生态循环农业发展模式。该技术融种稻、养鱼（虾、蟹等）、蓄水、增肥为一体，集经济效益、生态效益和社会效益于一身，具有明显的增水、增收、增粮、增鱼和节地、节肥、节工、节支的“四增四节”效益，在农村各产业中具有明显的效益优势。</w:t>
      </w:r>
    </w:p>
    <w:p w14:paraId="0DB75BCB">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黑体_GBK" w:cs="方正仿宋_GBK"/>
          <w:b w:val="0"/>
          <w:bCs w:val="0"/>
          <w:color w:val="auto"/>
          <w:sz w:val="32"/>
          <w:szCs w:val="32"/>
          <w:lang w:eastAsia="zh-CN"/>
        </w:rPr>
        <w:t>一、技术概述</w:t>
      </w:r>
    </w:p>
    <w:p w14:paraId="1C2CA95F">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（一）背景情况</w:t>
      </w:r>
    </w:p>
    <w:p w14:paraId="199E3B68">
      <w:pPr>
        <w:pStyle w:val="5"/>
        <w:pageBreakBefore w:val="0"/>
        <w:wordWrap/>
        <w:overflowPunct/>
        <w:topLinePunct w:val="0"/>
        <w:bidi w:val="0"/>
        <w:spacing w:beforeAutospacing="0" w:after="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上世纪90年代，我市稻田养鱼面积一度发展到174万亩。随着城镇化不断推进，农村劳动力转移加快，稻田养鱼规模逐步萎缩。近年来，随着人们对高品质生活日益期盼，绿色、鲜活水产品的需求量增加，稻渔综合种养开始出现恢复性增长。</w:t>
      </w:r>
      <w:r>
        <w:rPr>
          <w:rFonts w:hint="eastAsia" w:ascii="方正仿宋_GBK" w:hAnsi="方正仿宋_GBK" w:eastAsia="方正仿宋_GBK" w:cs="方正仿宋_GBK"/>
          <w:b w:val="0"/>
          <w:bCs w:val="0"/>
          <w:color w:val="000000"/>
          <w:sz w:val="32"/>
          <w:szCs w:val="32"/>
        </w:rPr>
        <w:t>目前全市稻田面积1000多万亩，其中宜渔稻田近400万亩，稻渔生态种养发展潜力巨大。</w:t>
      </w:r>
    </w:p>
    <w:p w14:paraId="46CE6264">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（二）推广应用情况</w:t>
      </w:r>
    </w:p>
    <w:p w14:paraId="1DD04921">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在潼南、永川、北碚、大足、合川等地稻田综合种养核心区进行田间杂草、稻田土壤传统肥力（N、P、K，有机质等）和土壤酶活力、土壤微生物群落以及水质特征等对比研究，形成规范化稻虾、稻鳖、稻蟹、稻鳅、稻鱼、稻鳖鱼鸭等综合种养模式6个，开发全程有机肥料施用管理、稻田病害生态防控和稻渔种养稳粮高产关键技术3套，并在潼南、永川、大足、合川、长寿、北碚和城口等地开展试验示范，建设规范化稻鱼综合种养示范基地10个，辐射全市应用51.81万亩。</w:t>
      </w:r>
    </w:p>
    <w:p w14:paraId="4C8D8EBF">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（三）技术效果</w:t>
      </w:r>
    </w:p>
    <w:p w14:paraId="3BBF38B3">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稻田综合种养试验示范区稻田病害发生率降低了60%以上，核心示范区全程不施化肥，不使用农药。核心示范区实现亩产水稻520公斤，亩产小龙虾100公斤、中华鳖90公斤、大闸蟹150公斤、泥鳅150公斤或鱼类200公斤，核心区亩产值可达4000 ~8000元， 2022年全市稻渔综合种养面积40万亩，年产水产品1.9万吨，亩新增产值2100元以上。</w:t>
      </w:r>
    </w:p>
    <w:p w14:paraId="11A90456">
      <w:pPr>
        <w:pageBreakBefore w:val="0"/>
        <w:wordWrap/>
        <w:overflowPunct/>
        <w:topLinePunct w:val="0"/>
        <w:bidi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楷体_GBK" w:cs="方正仿宋_GBK"/>
          <w:b w:val="0"/>
          <w:bCs w:val="0"/>
          <w:color w:val="000000"/>
          <w:sz w:val="32"/>
          <w:szCs w:val="32"/>
          <w:lang w:eastAsia="zh-CN"/>
        </w:rPr>
        <w:t>（四）入选和获奖情况</w:t>
      </w:r>
    </w:p>
    <w:p w14:paraId="054C43D5">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研究集成生态种养模式6个，形成“潼南小龙虾”、“大足冬虾”、“蟹田米”、“武隆鳅田米”、忠县晨帆稻鱼米等特色品牌4个，制定了地方标准《稻渔综合种养技术规范》，编写《稻渔生态种养关键技术与实例》1个。获2023年度全球卓越工程师大赛优秀成果转化奖。</w:t>
      </w:r>
    </w:p>
    <w:p w14:paraId="19134546">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黑体_GBK" w:cs="方正仿宋_GBK"/>
          <w:b w:val="0"/>
          <w:bCs w:val="0"/>
          <w:color w:val="auto"/>
          <w:sz w:val="32"/>
          <w:szCs w:val="32"/>
          <w:lang w:eastAsia="zh-CN"/>
        </w:rPr>
        <w:t>二、技术要点</w:t>
      </w:r>
    </w:p>
    <w:p w14:paraId="7585A1C3">
      <w:pPr>
        <w:pageBreakBefore w:val="0"/>
        <w:wordWrap/>
        <w:overflowPunct/>
        <w:topLinePunct w:val="0"/>
        <w:bidi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（一）稻田的基本条件</w:t>
      </w:r>
    </w:p>
    <w:p w14:paraId="688736C4">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地势平坦，坡度小，水量充足、水质清新无污染，排灌方便、雨季不涝的田块。</w:t>
      </w:r>
    </w:p>
    <w:p w14:paraId="7A600C79">
      <w:pPr>
        <w:pageBreakBefore w:val="0"/>
        <w:wordWrap/>
        <w:overflowPunct/>
        <w:topLinePunct w:val="0"/>
        <w:bidi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（二）水稻品种的选择</w:t>
      </w:r>
    </w:p>
    <w:p w14:paraId="64E2E81A">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适应直播的品种应是耐肥力强，矮秆、抗倒伏、生长期长、高产优质、抗病性能好的品种，选择中稻或晚稻为宜。</w:t>
      </w:r>
    </w:p>
    <w:p w14:paraId="465EF59F">
      <w:pPr>
        <w:pageBreakBefore w:val="0"/>
        <w:wordWrap/>
        <w:overflowPunct/>
        <w:topLinePunct w:val="0"/>
        <w:bidi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（三）稻田工程改造</w:t>
      </w:r>
    </w:p>
    <w:p w14:paraId="6EB3FA2C">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防逃工程。加固增高加宽田坎，根据放养水生动物种类，设置防逃板或防逃网、栏鱼设施，防逃板深入田泥20cm以上，露出水面40cm左右，或者用纱窗布沿到条四周围栏，纱窗布下端埋至硬土中，纱窗布上端高出水面15cm-20cm。</w:t>
      </w:r>
    </w:p>
    <w:p w14:paraId="5E9EBC5A">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2.鱼沟和鱼凼建设工程。为方便施工和宜机化操作，将沟凼（宽而深的沟即作凼）融合建设，在保证鱼沟凼面积不超过稻田面积10%的前提下，尽量增加养殖空间，</w:t>
      </w:r>
      <w:r>
        <w:rPr>
          <w:rFonts w:hint="eastAsia" w:ascii="方正仿宋_GBK" w:hAnsi="方正仿宋_GBK" w:eastAsia="方正仿宋_GBK" w:cs="方正仿宋_GBK"/>
          <w:b w:val="0"/>
          <w:bCs w:val="0"/>
          <w:color w:val="000000"/>
          <w:sz w:val="32"/>
          <w:szCs w:val="32"/>
        </w:rPr>
        <w:t>内外田埂高度宜高出田面分别80厘米、100厘米以上，</w:t>
      </w:r>
      <w:r>
        <w:rPr>
          <w:rFonts w:hint="eastAsia" w:ascii="方正仿宋_GBK" w:hAnsi="方正仿宋_GBK" w:eastAsia="方正仿宋_GBK" w:cs="方正仿宋_GBK"/>
          <w:b w:val="0"/>
          <w:bCs w:val="0"/>
          <w:color w:val="auto"/>
          <w:sz w:val="32"/>
          <w:szCs w:val="32"/>
        </w:rPr>
        <w:t>鱼沟要求上宽不低于1米，高度为0.8-1.2米，沟底坡比为0.3-0.5%。根据田块大小，在田边开挖 “一”或“L”字形等形状。鱼沟宜做内埂，高、宽为0.2-0.3米，每隔10米留一个鱼道，方便养殖鱼类进出沟凼和田间摄食，利于插秧前放鱼、晒田及水稻收割时在沟凼生活，平常能自如在田间活动，摄食田间天然饵料，发挥稻渔共生互利优势。</w:t>
      </w:r>
    </w:p>
    <w:p w14:paraId="2B737CBE">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3.进排水系统。建设独立进排水系统，进水口要高于水面约20cm，在田坎的另一端，进水口的对角处，设排水口和溢水口。</w:t>
      </w:r>
    </w:p>
    <w:p w14:paraId="1C59DA69">
      <w:pPr>
        <w:pageBreakBefore w:val="0"/>
        <w:wordWrap/>
        <w:overflowPunct/>
        <w:topLinePunct w:val="0"/>
        <w:bidi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（四）施肥与消毒</w:t>
      </w:r>
    </w:p>
    <w:p w14:paraId="5543BF9C">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在放种前进行消毒。用生石灰25-30公斤兑水进行沟凼消毒。</w:t>
      </w:r>
    </w:p>
    <w:p w14:paraId="7F325E78">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插秧前施足腐熟的有机粪肥作底肥。</w:t>
      </w:r>
    </w:p>
    <w:p w14:paraId="073F789E">
      <w:pPr>
        <w:pageBreakBefore w:val="0"/>
        <w:wordWrap/>
        <w:overflowPunct/>
        <w:topLinePunct w:val="0"/>
        <w:bidi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（五）苗种放养</w:t>
      </w:r>
    </w:p>
    <w:p w14:paraId="233DED90">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放养时间：一般在插秧后放养鱼种，单季稻放养时间宜在第1次除草后放养；双季稻放养时间宜在晚稻插秧后放养。也可在水温适宜、田块平整消毒后放养，但水稻插秧前最好将水产品放入沟凼生活，待秧苗返青、养殖水产品不会伤害秧苗时，打开栏鱼设施，养殖动物自动进入稻田中。</w:t>
      </w:r>
    </w:p>
    <w:p w14:paraId="7ED39CCF">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2.放养密度：视鱼苗的规格、鱼池条件和技术水平而定。鱼苗规格整齐，体质健壮，水源条件好，饲养水平高，则可适当多放。具体参考重庆市地方标准《稻渔综合种养技术规范》等技术资料。</w:t>
      </w:r>
    </w:p>
    <w:p w14:paraId="2573AF6E">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3.苗种投放方法：</w:t>
      </w:r>
    </w:p>
    <w:p w14:paraId="6B2517E9">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长途运输鱼种需调节温差不超过2℃。苗种在下沟凼前要食盐等进行鱼体消毒，杀灭体表的病原生物，并使鱼苗处于适度应激状态，下池后能防止池中病原生物的侵袭。一般选择在晴天的下午进行，操作时动作要轻，防止损伤鱼体。</w:t>
      </w:r>
    </w:p>
    <w:p w14:paraId="0F101CF8">
      <w:pPr>
        <w:pageBreakBefore w:val="0"/>
        <w:wordWrap/>
        <w:overflowPunct/>
        <w:topLinePunct w:val="0"/>
        <w:bidi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（六）日常管理</w:t>
      </w:r>
    </w:p>
    <w:p w14:paraId="00AE6502">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施肥。晒田翻耕后，放苗前一周左右，可铺设10cm左右的传统有机肥，上铺稻草10cm，其上再铺泥土10cm，作为基肥，一次性施足1000kg/亩左右，培育浮游生物和肥田。畜禽粪肥肥效慢，肥效长，对鱼苗影响不大，也可施用有机复合肥作基肥。投饵养殖，稻田后期一般不再施用追肥。</w:t>
      </w:r>
    </w:p>
    <w:p w14:paraId="40D47E6A">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施药。开展稻渔综合种养后，水稻及水产品病虫害等疾病相对减少，可放宽防治指标，确需用药，应选用高效低毒无残留的药物，并注意使用方法。一是先将稻田喷施1/2，剩余的1/2隔一天再喷施。二是喷雾时，喷嘴必须朝上，让药液尽量喷在稻叶和叶茎上，千万不要泼洒和撒施。施药时间：阴天或晴天的下午4时左右。施药前必须准备好加水设备以防鱼类中毒后能及时加水，施药后要勤观察、勤巡田，发现养殖对象出现昏迷、迟钝的现象，要立即加注新水或将其及时捕捞上来，集中放入活水中，待其恢复正常后再放入稻田。水源条件好的，可降低田水，将水产动物集中在沟凼中，待药性消失再加深田水，让水产动物进入田间。</w:t>
      </w:r>
    </w:p>
    <w:p w14:paraId="2621610C">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3.饲料投喂。</w:t>
      </w:r>
    </w:p>
    <w:p w14:paraId="2D873706">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稻田养殖水生动物可选择投饵和不投饵方式。不投饵养殖产量一般20~30kg/亩。投饵养殖产量高，投饲率为其自身总重的1%～3%，具体投饵量应根据天气和水产品的摄食情况调整。投料地点需固定在鱼凼（沟）内或虾蟹池四周边浅水区（甲鱼养殖量大时需摄食食台和晒田），饲料每天投1～2次，农副产品和生态环保专用配合饲料均可投喂。</w:t>
      </w:r>
    </w:p>
    <w:p w14:paraId="200857FA">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水质管理。实施稻虾或稻蟹模式的，要在沟凼里种植伊乐藻、苦草以及水花生等水草，给水生动物提供栖息场所。饲养时的水要保持肥、活、嫩、爽，水色以黄绿色为佳，溶氧要保持3mg/L以上，pH值保持在6.5-7.5之间。</w:t>
      </w:r>
    </w:p>
    <w:p w14:paraId="37B893E8">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5.防逃管理。当进排水口的防逃网片破损，或池壁崩塌有裂缝外通时，鱼、泥鳅等便会随水流逃逸，甚至可以在一夜之间全部逃光。另外在下雨时，要防止溢水口堵塞。</w:t>
      </w:r>
    </w:p>
    <w:p w14:paraId="687AC424">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6.防病管理。高温季节定期加注新水，换掉老水，每半月一次。当水质恶化严重时，应定期用生石灰在鱼凼鱼沟泼洒，消毒，调控水质。</w:t>
      </w:r>
    </w:p>
    <w:p w14:paraId="12CFF257">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7.防生物敌害。在田埂四周外侧用网片、塑料薄膜等材料埋设防敌害（蛇、蛙等）设备，高度以青蛙跳不过为宜，一般为1m左右。如果水草过多生长，要及时捞除。水草移植时要用漂白粉消毒，杀死水草上粘附的鱼、蛙卵和水蛭等敌害生物以及病原体。</w:t>
      </w:r>
    </w:p>
    <w:p w14:paraId="22BC7DC9">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8.水草移植。由于虾、蟹等在生长过程中需要脱壳，此时游动能力很差，所以在环沟中应当布置一些水草供苗种附着栖息，同时水草还可用以净化水质，并提供其摄食。水草一般选用苦草、轮叶藻等，移植面积约占养殖面积的10%左右。如果水草过多生长，要及时捞除。水草移植时要用漂白粉消毒，杀死水草上粘附的鱼、蛙卵和水蛭等敌害生物以及病原体。</w:t>
      </w:r>
    </w:p>
    <w:p w14:paraId="45A541A0">
      <w:pPr>
        <w:pageBreakBefore w:val="0"/>
        <w:wordWrap/>
        <w:overflowPunct/>
        <w:topLinePunct w:val="0"/>
        <w:bidi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w:t>
      </w:r>
      <w:r>
        <w:rPr>
          <w:rFonts w:hint="eastAsia" w:ascii="方正楷体_GBK" w:hAnsi="方正楷体_GBK" w:eastAsia="方正楷体_GBK" w:cs="方正楷体_GBK"/>
          <w:b w:val="0"/>
          <w:bCs w:val="0"/>
          <w:color w:val="auto"/>
          <w:sz w:val="32"/>
          <w:szCs w:val="32"/>
          <w:lang w:val="en-US" w:eastAsia="zh-CN"/>
        </w:rPr>
        <w:t>七</w:t>
      </w:r>
      <w:r>
        <w:rPr>
          <w:rFonts w:hint="eastAsia" w:ascii="方正楷体_GBK" w:hAnsi="方正楷体_GBK" w:eastAsia="方正楷体_GBK" w:cs="方正楷体_GBK"/>
          <w:b w:val="0"/>
          <w:bCs w:val="0"/>
          <w:color w:val="auto"/>
          <w:sz w:val="32"/>
          <w:szCs w:val="32"/>
        </w:rPr>
        <w:t>）捕捞</w:t>
      </w:r>
    </w:p>
    <w:p w14:paraId="05D6C060">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1.笼捕：在编织的地笼中放诱饵捕捉。</w:t>
      </w:r>
    </w:p>
    <w:p w14:paraId="0F203720">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2.冲水捕捉：采取在稻田的进水口缓慢进水，而在出水口设置好网箱，打开出水口让鱼类随水流慢慢进入网箱而起捕。</w:t>
      </w:r>
    </w:p>
    <w:p w14:paraId="70FF0727">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3.干田捕捉：排干稻田水，捕捉养殖的鱼、鳅等。</w:t>
      </w:r>
    </w:p>
    <w:p w14:paraId="1A3904E0">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4.目前使用的宽沟深凼和水稻收割后加深田水养殖模式，可以直接用专用网具捕捞鱼类等。</w:t>
      </w:r>
    </w:p>
    <w:p w14:paraId="464285A0">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黑体_GBK" w:cs="方正仿宋_GBK"/>
          <w:b w:val="0"/>
          <w:bCs w:val="0"/>
          <w:color w:val="auto"/>
          <w:sz w:val="32"/>
          <w:szCs w:val="32"/>
          <w:lang w:eastAsia="zh-CN"/>
        </w:rPr>
        <w:t>三、适宜区域</w:t>
      </w:r>
    </w:p>
    <w:p w14:paraId="588445D4">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地势平坦、水量水质较好且排灌方便、土壤保水力较好的中性田块。</w:t>
      </w:r>
    </w:p>
    <w:p w14:paraId="02D718B6">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黑体_GBK" w:cs="方正仿宋_GBK"/>
          <w:b w:val="0"/>
          <w:bCs w:val="0"/>
          <w:color w:val="auto"/>
          <w:sz w:val="32"/>
          <w:szCs w:val="32"/>
          <w:lang w:eastAsia="zh-CN"/>
        </w:rPr>
        <w:t>四、注意事项</w:t>
      </w:r>
    </w:p>
    <w:p w14:paraId="1BFC5F6D">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1.发展稻渔综合种养适宜规模化发展，集中连片，方能充分发挥综合效益。</w:t>
      </w:r>
    </w:p>
    <w:p w14:paraId="27F076E6">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2.做好进排水设施改造，提高防洪抗旱能力。</w:t>
      </w:r>
    </w:p>
    <w:p w14:paraId="024614E3">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3.注重鱼米品牌打造和价值开发，提高产品质量和效益。</w:t>
      </w:r>
    </w:p>
    <w:p w14:paraId="0D1AA951">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黑体_GBK" w:cs="方正仿宋_GBK"/>
          <w:b w:val="0"/>
          <w:bCs w:val="0"/>
          <w:color w:val="auto"/>
          <w:sz w:val="32"/>
          <w:szCs w:val="32"/>
          <w:lang w:eastAsia="zh-CN"/>
        </w:rPr>
        <w:t>五、技术依托单位</w:t>
      </w:r>
    </w:p>
    <w:p w14:paraId="53AEC4B6">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lang w:val="en-US" w:eastAsia="zh-CN"/>
        </w:rPr>
        <w:t>一</w:t>
      </w:r>
      <w:r>
        <w:rPr>
          <w:rFonts w:hint="eastAsia" w:ascii="方正楷体_GBK" w:hAnsi="方正楷体_GBK" w:eastAsia="方正楷体_GBK" w:cs="方正楷体_GBK"/>
          <w:b w:val="0"/>
          <w:bCs w:val="0"/>
          <w:sz w:val="32"/>
          <w:szCs w:val="32"/>
          <w:lang w:eastAsia="zh-CN"/>
        </w:rPr>
        <w:t>）重庆市水产技术推广总站</w:t>
      </w:r>
    </w:p>
    <w:p w14:paraId="01CC9750">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联系地址：重庆市渝北区黄山大道186号13楼</w:t>
      </w:r>
    </w:p>
    <w:p w14:paraId="54A9F0CA">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邮政编码：401120</w:t>
      </w:r>
    </w:p>
    <w:p w14:paraId="156DE713">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 系 人：翟旭亮</w:t>
      </w:r>
    </w:p>
    <w:p w14:paraId="5349C815">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联系电话：023-86790313</w:t>
      </w:r>
    </w:p>
    <w:p w14:paraId="3C69D56A">
      <w:pPr>
        <w:pageBreakBefore w:val="0"/>
        <w:wordWrap/>
        <w:overflowPunct/>
        <w:topLinePunct w:val="0"/>
        <w:bidi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电子邮箱：scztgk@126.com</w:t>
      </w:r>
    </w:p>
    <w:p w14:paraId="5E8C1254">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lang w:val="en-US" w:eastAsia="zh-CN"/>
        </w:rPr>
        <w:t>二</w:t>
      </w:r>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rPr>
        <w:t>重庆三峡职业学院</w:t>
      </w:r>
    </w:p>
    <w:p w14:paraId="5425FA6B">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联系地址：重庆市万州区科龙路8号</w:t>
      </w:r>
    </w:p>
    <w:p w14:paraId="75A34E4D">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邮政编码：404155</w:t>
      </w:r>
    </w:p>
    <w:p w14:paraId="1504958D">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 系 人：周亚</w:t>
      </w:r>
    </w:p>
    <w:p w14:paraId="75055FE3">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联系电话：18223204705</w:t>
      </w:r>
    </w:p>
    <w:p w14:paraId="2D6EA0A2">
      <w:pPr>
        <w:pageBreakBefore w:val="0"/>
        <w:wordWrap/>
        <w:overflowPunct/>
        <w:topLinePunct w:val="0"/>
        <w:bidi w:val="0"/>
        <w:adjustRightInd w:val="0"/>
        <w:snapToGrid w:val="0"/>
        <w:spacing w:beforeAutospacing="0" w:afterAutospacing="0" w:line="600" w:lineRule="exact"/>
        <w:ind w:left="0" w:leftChars="0" w:right="0" w:rightChars="0" w:firstLine="640" w:firstLineChars="200"/>
        <w:rPr>
          <w:rFonts w:hint="default" w:ascii="Times New Roman" w:hAnsi="Times New Roman" w:eastAsia="方正小标宋_GBK" w:cs="Times New Roman"/>
          <w:b w:val="0"/>
          <w:bCs/>
          <w:color w:val="auto"/>
          <w:kern w:val="44"/>
          <w:sz w:val="44"/>
          <w:szCs w:val="44"/>
          <w:lang w:val="en-US" w:eastAsia="zh-CN" w:bidi="ar-SA"/>
        </w:rPr>
      </w:pPr>
      <w:r>
        <w:rPr>
          <w:rFonts w:hint="eastAsia" w:ascii="方正仿宋_GBK" w:hAnsi="方正仿宋_GBK" w:eastAsia="方正仿宋_GBK" w:cs="方正仿宋_GBK"/>
          <w:b w:val="0"/>
          <w:bCs w:val="0"/>
          <w:sz w:val="32"/>
          <w:szCs w:val="32"/>
        </w:rPr>
        <w:t>电子邮箱：asian_chou@outlook.com</w:t>
      </w:r>
    </w:p>
    <w:p w14:paraId="0C454AE3">
      <w:pPr>
        <w:pStyle w:val="3"/>
        <w:bidi w:val="0"/>
        <w:rPr>
          <w:rFonts w:hint="eastAsia"/>
          <w:lang w:val="en-US" w:eastAsia="zh-CN"/>
        </w:rPr>
      </w:pPr>
    </w:p>
    <w:p w14:paraId="762F2741">
      <w:pPr>
        <w:rPr>
          <w:rFonts w:hint="eastAsia"/>
          <w:lang w:val="en-US" w:eastAsia="zh-CN"/>
        </w:rPr>
      </w:pPr>
    </w:p>
    <w:p w14:paraId="3AB1EAF2">
      <w:pPr>
        <w:pStyle w:val="3"/>
        <w:bidi w:val="0"/>
        <w:rPr>
          <w:rFonts w:hint="eastAsia"/>
          <w:lang w:val="en-US" w:eastAsia="zh-CN"/>
        </w:rPr>
      </w:pPr>
      <w:r>
        <w:rPr>
          <w:rFonts w:hint="eastAsia"/>
          <w:lang w:val="en-US" w:eastAsia="zh-CN"/>
        </w:rPr>
        <w:t>10.AI智慧生猪养殖技术</w:t>
      </w:r>
    </w:p>
    <w:p w14:paraId="1934F6DE">
      <w:pPr>
        <w:rPr>
          <w:rFonts w:hint="eastAsia"/>
        </w:rPr>
      </w:pPr>
    </w:p>
    <w:p w14:paraId="44EE5851">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黑体_GBK" w:cs="方正仿宋_GBK"/>
          <w:b w:val="0"/>
          <w:bCs w:val="0"/>
          <w:color w:val="000000"/>
          <w:sz w:val="32"/>
          <w:szCs w:val="32"/>
          <w:lang w:val="en-US" w:eastAsia="zh-CN"/>
        </w:rPr>
        <w:t>摘要：</w:t>
      </w:r>
      <w:r>
        <w:rPr>
          <w:rFonts w:hint="eastAsia" w:ascii="方正仿宋_GBK" w:hAnsi="方正仿宋_GBK" w:eastAsia="方正仿宋_GBK" w:cs="方正仿宋_GBK"/>
          <w:b w:val="0"/>
          <w:bCs w:val="0"/>
          <w:color w:val="000000"/>
          <w:sz w:val="32"/>
          <w:szCs w:val="32"/>
          <w:lang w:val="en-US" w:eastAsia="zh-CN"/>
        </w:rPr>
        <w:t>针对养殖场面临劳动力成本偏高，疫病防控风险增大等问题，使用更有效的设备、方法、技术从而提升养殖效益，采用</w:t>
      </w:r>
      <w:r>
        <w:rPr>
          <w:rFonts w:hint="eastAsia" w:ascii="方正仿宋_GBK" w:hAnsi="方正仿宋_GBK" w:eastAsia="方正仿宋_GBK" w:cs="方正仿宋_GBK"/>
          <w:b w:val="0"/>
          <w:bCs w:val="0"/>
          <w:color w:val="000000"/>
          <w:sz w:val="32"/>
          <w:szCs w:val="32"/>
        </w:rPr>
        <w:t>AI智慧生猪养殖技术</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主要由“一个中心，四大体系”组成，其中基于猪只ID的猪只个体认证系统PAM（PigAuthentication System）为猪只全生命周期管控核心。</w:t>
      </w:r>
      <w:r>
        <w:rPr>
          <w:rFonts w:hint="eastAsia" w:ascii="方正仿宋_GBK" w:hAnsi="方正仿宋_GBK" w:eastAsia="方正仿宋_GBK" w:cs="方正仿宋_GBK"/>
          <w:b w:val="0"/>
          <w:bCs w:val="0"/>
          <w:color w:val="000000"/>
          <w:sz w:val="32"/>
          <w:szCs w:val="32"/>
          <w:lang w:val="en-US" w:eastAsia="zh-CN"/>
        </w:rPr>
        <w:t>可以降低</w:t>
      </w:r>
      <w:r>
        <w:rPr>
          <w:rFonts w:hint="eastAsia" w:ascii="方正仿宋_GBK" w:hAnsi="方正仿宋_GBK" w:eastAsia="方正仿宋_GBK" w:cs="方正仿宋_GBK"/>
          <w:b w:val="0"/>
          <w:bCs w:val="0"/>
          <w:color w:val="000000"/>
          <w:sz w:val="32"/>
          <w:szCs w:val="32"/>
        </w:rPr>
        <w:t>养殖成本。原始每人每天2小时提升至每人每天10分钟，效率提升90%，在数据处理方面节约人力20%</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降低生猪死亡率。仔猪、母猪死亡淘汰减少5%</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产仔能力提升，相较传统猪场PSY提升3头。</w:t>
      </w:r>
    </w:p>
    <w:p w14:paraId="0B14EBE7">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黑体_GBK" w:cs="方正仿宋_GBK"/>
          <w:b w:val="0"/>
          <w:bCs w:val="0"/>
          <w:color w:val="auto"/>
          <w:sz w:val="32"/>
          <w:szCs w:val="32"/>
          <w:lang w:eastAsia="zh-CN"/>
        </w:rPr>
        <w:t>一、技术概述</w:t>
      </w:r>
    </w:p>
    <w:p w14:paraId="02DF6C44">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楷体_GBK" w:cs="方正仿宋_GBK"/>
          <w:b w:val="0"/>
          <w:bCs w:val="0"/>
          <w:color w:val="auto"/>
          <w:sz w:val="32"/>
          <w:szCs w:val="32"/>
          <w:lang w:eastAsia="zh-CN"/>
        </w:rPr>
        <w:t>（一）背景情况</w:t>
      </w:r>
    </w:p>
    <w:p w14:paraId="70ECAE69">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1</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技术研发推广背景。随着生猪产业的不断发展，标准化、</w:t>
      </w:r>
      <w:r>
        <w:rPr>
          <w:rFonts w:hint="eastAsia" w:ascii="方正仿宋_GBK" w:hAnsi="方正仿宋_GBK" w:eastAsia="方正仿宋_GBK" w:cs="方正仿宋_GBK"/>
          <w:b w:val="0"/>
          <w:bCs w:val="0"/>
          <w:color w:val="000000"/>
          <w:sz w:val="32"/>
          <w:szCs w:val="32"/>
          <w:lang w:val="en-US" w:eastAsia="zh-CN"/>
        </w:rPr>
        <w:t>规范</w:t>
      </w:r>
      <w:r>
        <w:rPr>
          <w:rFonts w:hint="eastAsia" w:ascii="方正仿宋_GBK" w:hAnsi="方正仿宋_GBK" w:eastAsia="方正仿宋_GBK" w:cs="方正仿宋_GBK"/>
          <w:b w:val="0"/>
          <w:bCs w:val="0"/>
          <w:color w:val="000000"/>
          <w:sz w:val="32"/>
          <w:szCs w:val="32"/>
        </w:rPr>
        <w:t>化已成为当前生猪产业发展的主要趋势，产业在发展的同时也面临劳动力成本偏高，疫病防控风险增大等问题，养殖场主希望使用更少的工人从而降低成本，希望使用更有效的设备、方法、技术从而提升养殖效益，希望养殖人员更严格的执行生物安全措施减少人为的疫病风险；行业主管部门希望在保障生物安全的前提下，及时客观的掌握养殖场存栏信息，了解生猪健康状况，用于客观评价产业发展，指导出台产业扶持政策，稳定消费市场。基于此，具有客观、安全、科学的特点的人工智能（AI）养殖技术具有巨大的市场需求。</w:t>
      </w:r>
    </w:p>
    <w:p w14:paraId="5FC761B1">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2</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解决的主要问题。该技术的使用一是可有效降低劳动力、饲料、药物等投入品养殖成本，二是可实现从养殖源头到零售终端的全链条追踪，确保畜禽产品安全，三是实现生猪规模场数字化、标准化、分级化的转型升级，四是可确保对中大型重点规模养殖场全方位的监督，减少畜禽粪污对环境产生的不利影响。</w:t>
      </w:r>
    </w:p>
    <w:p w14:paraId="628D183C">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楷体_GBK" w:cs="方正仿宋_GBK"/>
          <w:b w:val="0"/>
          <w:bCs w:val="0"/>
          <w:color w:val="auto"/>
          <w:sz w:val="32"/>
          <w:szCs w:val="32"/>
          <w:lang w:eastAsia="zh-CN"/>
        </w:rPr>
      </w:pPr>
      <w:r>
        <w:rPr>
          <w:rFonts w:hint="eastAsia" w:ascii="方正仿宋_GBK" w:hAnsi="方正仿宋_GBK" w:eastAsia="方正楷体_GBK" w:cs="方正仿宋_GBK"/>
          <w:b w:val="0"/>
          <w:bCs w:val="0"/>
          <w:color w:val="auto"/>
          <w:sz w:val="32"/>
          <w:szCs w:val="32"/>
          <w:lang w:eastAsia="zh-CN"/>
        </w:rPr>
        <w:t>（</w:t>
      </w:r>
      <w:r>
        <w:rPr>
          <w:rFonts w:hint="eastAsia" w:ascii="方正仿宋_GBK" w:hAnsi="方正仿宋_GBK" w:eastAsia="方正楷体_GBK" w:cs="方正仿宋_GBK"/>
          <w:b w:val="0"/>
          <w:bCs w:val="0"/>
          <w:color w:val="auto"/>
          <w:sz w:val="32"/>
          <w:szCs w:val="32"/>
          <w:lang w:val="en-US" w:eastAsia="zh-CN"/>
        </w:rPr>
        <w:t>二</w:t>
      </w:r>
      <w:r>
        <w:rPr>
          <w:rFonts w:hint="eastAsia" w:ascii="方正仿宋_GBK" w:hAnsi="方正仿宋_GBK" w:eastAsia="方正楷体_GBK" w:cs="方正仿宋_GBK"/>
          <w:b w:val="0"/>
          <w:bCs w:val="0"/>
          <w:color w:val="auto"/>
          <w:sz w:val="32"/>
          <w:szCs w:val="32"/>
          <w:lang w:eastAsia="zh-CN"/>
        </w:rPr>
        <w:t>）技术要点</w:t>
      </w:r>
    </w:p>
    <w:p w14:paraId="7BE31088">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AI智慧生猪养殖技术主要由“一个中心，四大体系”组成，其中基于猪</w:t>
      </w:r>
      <w:r>
        <w:rPr>
          <w:rFonts w:hint="eastAsia" w:ascii="方正仿宋_GBK" w:hAnsi="方正仿宋_GBK" w:eastAsia="方正仿宋_GBK" w:cs="方正仿宋_GBK"/>
          <w:b w:val="0"/>
          <w:bCs w:val="0"/>
          <w:color w:val="000000"/>
          <w:sz w:val="32"/>
          <w:szCs w:val="32"/>
          <w:lang w:val="en-US" w:eastAsia="zh-CN"/>
        </w:rPr>
        <w:t>只</w:t>
      </w:r>
      <w:r>
        <w:rPr>
          <w:rFonts w:hint="eastAsia" w:ascii="方正仿宋_GBK" w:hAnsi="方正仿宋_GBK" w:eastAsia="方正仿宋_GBK" w:cs="方正仿宋_GBK"/>
          <w:b w:val="0"/>
          <w:bCs w:val="0"/>
          <w:color w:val="000000"/>
          <w:sz w:val="32"/>
          <w:szCs w:val="32"/>
        </w:rPr>
        <w:t>ID的猪只个体认证系统PAM（PigAuthentication System）为猪只全生命周期管控核心。</w:t>
      </w:r>
    </w:p>
    <w:p w14:paraId="284E2EDE">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000000"/>
          <w:sz w:val="32"/>
          <w:szCs w:val="32"/>
          <w:lang w:val="en-US" w:eastAsia="zh-CN"/>
        </w:rPr>
        <w:t>1.</w:t>
      </w:r>
      <w:r>
        <w:rPr>
          <w:rFonts w:hint="eastAsia" w:ascii="方正仿宋_GBK" w:hAnsi="方正仿宋_GBK" w:eastAsia="方正仿宋_GBK" w:cs="方正仿宋_GBK"/>
          <w:b w:val="0"/>
          <w:bCs w:val="0"/>
          <w:color w:val="auto"/>
          <w:sz w:val="32"/>
          <w:szCs w:val="32"/>
        </w:rPr>
        <w:t>猪只个体认证系统（PAM）</w:t>
      </w:r>
    </w:p>
    <w:p w14:paraId="3D72DEB8">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PAM基于猪只ID（全球唯一码）的个体识别和认证系统，采用猪耳刺青、背部编码方式确保猪只的个体信息覆盖其全生命周期，通过AI计算机视觉技术、物联网主动式辨识猪只，并保持与生长各阶段饲养信息的精准融合。（携PAM的）猪舍机器人按照不同猪舍预定线路智能巡视各栏位，通过其机载摄像机、感知器、移动终端实时抓取、上传猪只全方位视频信息，云端AI智能识别系统对图像编码区域自动锁定并识别，将识别信息与PAM、生产管理等系统进行校对、存储，依据业务规则给予信息反馈和异常预警。</w:t>
      </w:r>
    </w:p>
    <w:p w14:paraId="51147272">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lang w:val="en-US" w:eastAsia="zh-CN"/>
        </w:rPr>
        <w:t>2.</w:t>
      </w:r>
      <w:r>
        <w:rPr>
          <w:rFonts w:hint="eastAsia" w:ascii="方正仿宋_GBK" w:hAnsi="方正仿宋_GBK" w:eastAsia="方正仿宋_GBK" w:cs="方正仿宋_GBK"/>
          <w:b w:val="0"/>
          <w:bCs w:val="0"/>
          <w:color w:val="000000"/>
          <w:sz w:val="32"/>
          <w:szCs w:val="32"/>
        </w:rPr>
        <w:t>数据/资产智能系统</w:t>
      </w:r>
    </w:p>
    <w:p w14:paraId="58A73F05">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数据智能管理系统使用基于业务填图卡和计算机视觉的智能数据采集及业务数据转换技术，将业务数据标准化、数量化。该技术已经覆盖生猪生产全过程数据，实现数据获取、校验、存储及信息反馈。资产智能管理系统通过猪场智能机器人全天候24小时不间断巡场，利用计算机视觉识别技术实现对栏舍内猪只数量的精准盘点，可</w:t>
      </w:r>
      <w:r>
        <w:rPr>
          <w:rFonts w:hint="eastAsia" w:ascii="方正仿宋_GBK" w:hAnsi="方正仿宋_GBK" w:eastAsia="方正仿宋_GBK" w:cs="方正仿宋_GBK"/>
          <w:b w:val="0"/>
          <w:bCs w:val="0"/>
          <w:color w:val="000000"/>
          <w:sz w:val="32"/>
          <w:szCs w:val="32"/>
          <w:lang w:val="en-US" w:eastAsia="zh-CN"/>
        </w:rPr>
        <w:t>掌握了解</w:t>
      </w:r>
      <w:r>
        <w:rPr>
          <w:rFonts w:hint="eastAsia" w:ascii="方正仿宋_GBK" w:hAnsi="方正仿宋_GBK" w:eastAsia="方正仿宋_GBK" w:cs="方正仿宋_GBK"/>
          <w:b w:val="0"/>
          <w:bCs w:val="0"/>
          <w:color w:val="000000"/>
          <w:sz w:val="32"/>
          <w:szCs w:val="32"/>
        </w:rPr>
        <w:t>区域内各个生长阶段生猪的数量及分布，实现对区域内猪只变动的全面掌握。</w:t>
      </w:r>
    </w:p>
    <w:p w14:paraId="3CF8B63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drawing>
          <wp:inline distT="0" distB="0" distL="114300" distR="114300">
            <wp:extent cx="2914015" cy="2190115"/>
            <wp:effectExtent l="0" t="0" r="635" b="635"/>
            <wp:docPr id="23" name="图片 10" descr="a9efe9f4c2ff4a0aec822202170c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a9efe9f4c2ff4a0aec822202170c453"/>
                    <pic:cNvPicPr>
                      <a:picLocks noChangeAspect="1"/>
                    </pic:cNvPicPr>
                  </pic:nvPicPr>
                  <pic:blipFill>
                    <a:blip r:embed="rId39"/>
                    <a:stretch>
                      <a:fillRect/>
                    </a:stretch>
                  </pic:blipFill>
                  <pic:spPr>
                    <a:xfrm>
                      <a:off x="0" y="0"/>
                      <a:ext cx="2914015" cy="2190115"/>
                    </a:xfrm>
                    <a:prstGeom prst="rect">
                      <a:avLst/>
                    </a:prstGeom>
                    <a:noFill/>
                    <a:ln>
                      <a:noFill/>
                    </a:ln>
                  </pic:spPr>
                </pic:pic>
              </a:graphicData>
            </a:graphic>
          </wp:inline>
        </w:drawing>
      </w:r>
    </w:p>
    <w:p w14:paraId="7D564F1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auto"/>
          <w:sz w:val="28"/>
          <w:szCs w:val="28"/>
          <w:lang w:val="en-US" w:eastAsia="zh-CN"/>
        </w:rPr>
      </w:pPr>
      <w:r>
        <w:rPr>
          <w:rFonts w:hint="eastAsia" w:ascii="方正黑体_GBK" w:hAnsi="方正黑体_GBK" w:eastAsia="方正黑体_GBK" w:cs="方正黑体_GBK"/>
          <w:b w:val="0"/>
          <w:bCs w:val="0"/>
          <w:color w:val="000000"/>
          <w:sz w:val="28"/>
          <w:szCs w:val="28"/>
          <w:lang w:val="en-US" w:eastAsia="zh-CN"/>
        </w:rPr>
        <w:t xml:space="preserve">图1 </w:t>
      </w:r>
      <w:r>
        <w:rPr>
          <w:rFonts w:hint="eastAsia" w:ascii="方正黑体_GBK" w:hAnsi="方正黑体_GBK" w:eastAsia="方正黑体_GBK" w:cs="方正黑体_GBK"/>
          <w:b w:val="0"/>
          <w:bCs w:val="0"/>
          <w:color w:val="000000"/>
          <w:sz w:val="28"/>
          <w:szCs w:val="28"/>
        </w:rPr>
        <w:t>精准盘点</w:t>
      </w:r>
    </w:p>
    <w:p w14:paraId="0FD8B5A6">
      <w:pPr>
        <w:keepNext w:val="0"/>
        <w:keepLines w:val="0"/>
        <w:pageBreakBefore w:val="0"/>
        <w:widowControl w:val="0"/>
        <w:tabs>
          <w:tab w:val="left" w:pos="3509"/>
          <w:tab w:val="center" w:pos="4802"/>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lang w:val="en-US" w:eastAsia="zh-CN"/>
        </w:rPr>
      </w:pPr>
      <w:r>
        <w:rPr>
          <w:rFonts w:hint="eastAsia" w:ascii="方正黑体_GBK" w:hAnsi="方正黑体_GBK" w:eastAsia="方正黑体_GBK" w:cs="方正黑体_GBK"/>
          <w:b w:val="0"/>
          <w:bCs w:val="0"/>
          <w:color w:val="auto"/>
          <w:sz w:val="28"/>
          <w:szCs w:val="28"/>
          <w:lang w:val="en-US" w:eastAsia="zh-CN"/>
        </w:rPr>
        <w:drawing>
          <wp:inline distT="0" distB="0" distL="114300" distR="114300">
            <wp:extent cx="2956560" cy="1943735"/>
            <wp:effectExtent l="0" t="0" r="15240" b="18415"/>
            <wp:docPr id="24" name="图片 11" descr="a258113aa2927cffd2722bb14906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a258113aa2927cffd2722bb149061ba"/>
                    <pic:cNvPicPr>
                      <a:picLocks noChangeAspect="1"/>
                    </pic:cNvPicPr>
                  </pic:nvPicPr>
                  <pic:blipFill>
                    <a:blip r:embed="rId40"/>
                    <a:stretch>
                      <a:fillRect/>
                    </a:stretch>
                  </pic:blipFill>
                  <pic:spPr>
                    <a:xfrm>
                      <a:off x="0" y="0"/>
                      <a:ext cx="2956560" cy="1943735"/>
                    </a:xfrm>
                    <a:prstGeom prst="rect">
                      <a:avLst/>
                    </a:prstGeom>
                    <a:noFill/>
                    <a:ln>
                      <a:noFill/>
                    </a:ln>
                  </pic:spPr>
                </pic:pic>
              </a:graphicData>
            </a:graphic>
          </wp:inline>
        </w:drawing>
      </w:r>
    </w:p>
    <w:p w14:paraId="6BBCBB80">
      <w:pPr>
        <w:pageBreakBefore w:val="0"/>
        <w:wordWrap/>
        <w:overflowPunct/>
        <w:topLinePunct w:val="0"/>
        <w:bidi w:val="0"/>
        <w:snapToGrid/>
        <w:spacing w:beforeAutospacing="0" w:afterAutospacing="0" w:line="600" w:lineRule="exact"/>
        <w:ind w:left="0" w:leftChars="0" w:right="0" w:rightChars="0" w:firstLine="560" w:firstLineChars="200"/>
        <w:jc w:val="center"/>
        <w:rPr>
          <w:rFonts w:hint="eastAsia" w:ascii="方正黑体_GBK" w:hAnsi="方正黑体_GBK" w:eastAsia="方正黑体_GBK" w:cs="方正黑体_GBK"/>
          <w:b w:val="0"/>
          <w:bCs w:val="0"/>
          <w:color w:val="auto"/>
          <w:sz w:val="28"/>
          <w:szCs w:val="28"/>
        </w:rPr>
      </w:pPr>
      <w:r>
        <w:rPr>
          <w:rFonts w:hint="eastAsia" w:ascii="方正黑体_GBK" w:hAnsi="方正黑体_GBK" w:eastAsia="方正黑体_GBK" w:cs="方正黑体_GBK"/>
          <w:b w:val="0"/>
          <w:bCs w:val="0"/>
          <w:color w:val="000000"/>
          <w:sz w:val="28"/>
          <w:szCs w:val="28"/>
          <w:lang w:val="en-US" w:eastAsia="zh-CN"/>
        </w:rPr>
        <w:t>图2 AI养殖预警环控营养平台</w:t>
      </w:r>
    </w:p>
    <w:p w14:paraId="2E8DA517">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val="en-US" w:eastAsia="zh-CN"/>
        </w:rPr>
        <w:t>3.</w:t>
      </w:r>
      <w:r>
        <w:rPr>
          <w:rFonts w:hint="eastAsia" w:ascii="方正仿宋_GBK" w:hAnsi="方正仿宋_GBK" w:eastAsia="方正仿宋_GBK" w:cs="方正仿宋_GBK"/>
          <w:b w:val="0"/>
          <w:bCs w:val="0"/>
          <w:color w:val="auto"/>
          <w:sz w:val="32"/>
          <w:szCs w:val="32"/>
        </w:rPr>
        <w:t>智能营养管理系统</w:t>
      </w:r>
    </w:p>
    <w:p w14:paraId="48C1CFC6">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智能营养管理系统通过无线自动下料触控器、无线料位感应器等对大量饲喂数据采集和全域数据整合分析，依据猪只个体体况测定指标动态自动调整水料比例、下料次数、单次下料重量、进食时间等，打造养殖行业的“营养大师”。</w:t>
      </w:r>
    </w:p>
    <w:p w14:paraId="070D1E5B">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val="en-US" w:eastAsia="zh-CN"/>
        </w:rPr>
        <w:t>4.</w:t>
      </w:r>
      <w:r>
        <w:rPr>
          <w:rFonts w:hint="eastAsia" w:ascii="方正仿宋_GBK" w:hAnsi="方正仿宋_GBK" w:eastAsia="方正仿宋_GBK" w:cs="方正仿宋_GBK"/>
          <w:b w:val="0"/>
          <w:bCs w:val="0"/>
          <w:color w:val="auto"/>
          <w:sz w:val="32"/>
          <w:szCs w:val="32"/>
        </w:rPr>
        <w:t>猪只健康管理系统</w:t>
      </w:r>
    </w:p>
    <w:p w14:paraId="3027447D">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一是生物安全方面利用计算机视觉对物体的智能识别技术，主动智能管控消毒设备的启停和时间，严管出入人员、保障车辆的全面全效消洗，通过智能消洗，提升猪场生物安全。二是整合阿里云、德国勃林格、台湾亚迪等多家公司的技术和产品，结合病理、疾病诊治相关研究成果，通过智能机器人24小时不间断采集每头猪只各项数据，利用AI技术建立疾病库模型并与其比对，及时预警养殖人员核查和治疗，实现健康智能预警。</w:t>
      </w:r>
    </w:p>
    <w:p w14:paraId="39B0D95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auto"/>
          <w:sz w:val="28"/>
          <w:szCs w:val="28"/>
          <w:lang w:val="en-US" w:eastAsia="zh-CN"/>
        </w:rPr>
        <w:drawing>
          <wp:inline distT="0" distB="0" distL="114300" distR="114300">
            <wp:extent cx="3025140" cy="2090420"/>
            <wp:effectExtent l="0" t="0" r="3810" b="5080"/>
            <wp:docPr id="25" name="图片 12" descr="e438f4ab2119494f776a0b28220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e438f4ab2119494f776a0b282209189"/>
                    <pic:cNvPicPr>
                      <a:picLocks noChangeAspect="1"/>
                    </pic:cNvPicPr>
                  </pic:nvPicPr>
                  <pic:blipFill>
                    <a:blip r:embed="rId41"/>
                    <a:stretch>
                      <a:fillRect/>
                    </a:stretch>
                  </pic:blipFill>
                  <pic:spPr>
                    <a:xfrm>
                      <a:off x="0" y="0"/>
                      <a:ext cx="3025140" cy="2090420"/>
                    </a:xfrm>
                    <a:prstGeom prst="rect">
                      <a:avLst/>
                    </a:prstGeom>
                    <a:noFill/>
                    <a:ln>
                      <a:noFill/>
                    </a:ln>
                  </pic:spPr>
                </pic:pic>
              </a:graphicData>
            </a:graphic>
          </wp:inline>
        </w:drawing>
      </w:r>
    </w:p>
    <w:p w14:paraId="3BC5E18A">
      <w:pPr>
        <w:pageBreakBefore w:val="0"/>
        <w:wordWrap/>
        <w:overflowPunct/>
        <w:topLinePunct w:val="0"/>
        <w:bidi w:val="0"/>
        <w:snapToGrid/>
        <w:spacing w:beforeAutospacing="0" w:afterAutospacing="0" w:line="600" w:lineRule="exact"/>
        <w:ind w:left="0" w:leftChars="0" w:right="0" w:rightChars="0" w:firstLine="0" w:firstLineChars="0"/>
        <w:jc w:val="center"/>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sz w:val="28"/>
          <w:szCs w:val="28"/>
          <w:lang w:val="en-US" w:eastAsia="zh-CN"/>
        </w:rPr>
        <w:t>图3 24小时数据采集</w:t>
      </w:r>
    </w:p>
    <w:p w14:paraId="0066B9F5">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auto"/>
          <w:sz w:val="32"/>
          <w:szCs w:val="32"/>
          <w:lang w:val="en-US" w:eastAsia="zh-CN"/>
        </w:rPr>
        <w:t>5.</w:t>
      </w:r>
      <w:r>
        <w:rPr>
          <w:rFonts w:hint="eastAsia" w:ascii="方正仿宋_GBK" w:hAnsi="方正仿宋_GBK" w:eastAsia="方正仿宋_GBK" w:cs="方正仿宋_GBK"/>
          <w:b w:val="0"/>
          <w:bCs w:val="0"/>
          <w:color w:val="auto"/>
          <w:sz w:val="32"/>
          <w:szCs w:val="32"/>
        </w:rPr>
        <w:t>猪场智能管理系统</w:t>
      </w:r>
    </w:p>
    <w:p w14:paraId="28E848A3">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工作安排方面，依据每头猪的阶段天龄、前序工作，自动生成当天及未来需要执行的工作，实现数据在手，运营无忧。智能环控方面，通过对养殖舍环境进行实时监测，对环境异常和断电情况立即报警，对异常环境进行自动调控，对历史环境进行查询分析，并结合云端数据模型根据不同猪只阶段，给出最佳养殖环境参数。远程管理方面，系统借助猪场视频、音频、机器人、传感等设备，农场主可通过APP查看基本生产数据和分析的同时，可控制舍内智能机器人移动至每一头猪的位置，实时在线图片、视频观察猪只状态，系统自动关联呈现当前猪只相关数据。</w:t>
      </w:r>
    </w:p>
    <w:p w14:paraId="51A32ED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auto"/>
          <w:sz w:val="32"/>
          <w:szCs w:val="32"/>
          <w:lang w:val="en-US" w:eastAsia="zh-CN"/>
        </w:rPr>
        <w:drawing>
          <wp:inline distT="0" distB="0" distL="114300" distR="114300">
            <wp:extent cx="4077970" cy="2496820"/>
            <wp:effectExtent l="0" t="0" r="17780" b="17780"/>
            <wp:docPr id="26" name="图片 13" descr="92717570e76f93075a6f2a4e085d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92717570e76f93075a6f2a4e085d9d4"/>
                    <pic:cNvPicPr>
                      <a:picLocks noChangeAspect="1"/>
                    </pic:cNvPicPr>
                  </pic:nvPicPr>
                  <pic:blipFill>
                    <a:blip r:embed="rId42"/>
                    <a:stretch>
                      <a:fillRect/>
                    </a:stretch>
                  </pic:blipFill>
                  <pic:spPr>
                    <a:xfrm>
                      <a:off x="0" y="0"/>
                      <a:ext cx="4077970" cy="2496820"/>
                    </a:xfrm>
                    <a:prstGeom prst="rect">
                      <a:avLst/>
                    </a:prstGeom>
                    <a:noFill/>
                    <a:ln>
                      <a:noFill/>
                    </a:ln>
                  </pic:spPr>
                </pic:pic>
              </a:graphicData>
            </a:graphic>
          </wp:inline>
        </w:drawing>
      </w:r>
    </w:p>
    <w:p w14:paraId="57F0090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方正黑体_GBK" w:hAnsi="方正黑体_GBK" w:eastAsia="方正黑体_GBK" w:cs="方正黑体_GBK"/>
          <w:b w:val="0"/>
          <w:bCs w:val="0"/>
          <w:color w:val="000000"/>
          <w:sz w:val="32"/>
          <w:szCs w:val="32"/>
          <w:lang w:val="en-US" w:eastAsia="zh-CN"/>
        </w:rPr>
      </w:pPr>
      <w:r>
        <w:rPr>
          <w:rFonts w:hint="eastAsia" w:ascii="方正黑体_GBK" w:hAnsi="方正黑体_GBK" w:eastAsia="方正黑体_GBK" w:cs="方正黑体_GBK"/>
          <w:b w:val="0"/>
          <w:bCs w:val="0"/>
          <w:color w:val="000000"/>
          <w:sz w:val="32"/>
          <w:szCs w:val="32"/>
          <w:lang w:val="en-US" w:eastAsia="zh-CN"/>
        </w:rPr>
        <w:t>图4 机器人巡检</w:t>
      </w:r>
    </w:p>
    <w:p w14:paraId="798B6DA3">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w:t>
      </w:r>
      <w:r>
        <w:rPr>
          <w:rFonts w:hint="eastAsia" w:ascii="方正楷体_GBK" w:hAnsi="方正楷体_GBK" w:eastAsia="方正楷体_GBK" w:cs="方正楷体_GBK"/>
          <w:b w:val="0"/>
          <w:bCs w:val="0"/>
          <w:color w:val="auto"/>
          <w:sz w:val="32"/>
          <w:szCs w:val="32"/>
          <w:lang w:val="en-US" w:eastAsia="zh-CN"/>
        </w:rPr>
        <w:t>三</w:t>
      </w:r>
      <w:r>
        <w:rPr>
          <w:rFonts w:hint="eastAsia" w:ascii="方正楷体_GBK" w:hAnsi="方正楷体_GBK" w:eastAsia="方正楷体_GBK" w:cs="方正楷体_GBK"/>
          <w:b w:val="0"/>
          <w:bCs w:val="0"/>
          <w:color w:val="auto"/>
          <w:sz w:val="32"/>
          <w:szCs w:val="32"/>
        </w:rPr>
        <w:t>）</w:t>
      </w:r>
      <w:r>
        <w:rPr>
          <w:rFonts w:hint="eastAsia" w:ascii="方正楷体_GBK" w:hAnsi="方正楷体_GBK" w:eastAsia="方正楷体_GBK" w:cs="方正楷体_GBK"/>
          <w:b w:val="0"/>
          <w:bCs w:val="0"/>
          <w:color w:val="auto"/>
          <w:sz w:val="32"/>
          <w:szCs w:val="32"/>
          <w:lang w:val="en-US" w:eastAsia="zh-CN"/>
        </w:rPr>
        <w:t>试验</w:t>
      </w:r>
      <w:r>
        <w:rPr>
          <w:rFonts w:hint="eastAsia" w:ascii="方正楷体_GBK" w:hAnsi="方正楷体_GBK" w:eastAsia="方正楷体_GBK" w:cs="方正楷体_GBK"/>
          <w:b w:val="0"/>
          <w:bCs w:val="0"/>
          <w:color w:val="auto"/>
          <w:sz w:val="32"/>
          <w:szCs w:val="32"/>
        </w:rPr>
        <w:t>示范推广情况</w:t>
      </w:r>
    </w:p>
    <w:p w14:paraId="7A6672E7">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AI智慧生猪养殖技术主要在合川区3个大型种猪场、1个地方资源保种场和6个规模猪场进行集成示范和推广应用。其中重庆市合川区德康生猪养殖有限公司（太和原种场）是合川区推动实施欧盟标准生猪产业一体化建设项目并着力打造的全国领先、西南第一的数字化智慧种猪场，是德康集团携手阿里云在中国启动建设第一个运用AI人工智能技术的智慧化、数字化种猪场。</w:t>
      </w:r>
    </w:p>
    <w:p w14:paraId="6C4F6EA4">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eastAsia="zh-CN"/>
        </w:rPr>
        <w:t>（</w:t>
      </w:r>
      <w:r>
        <w:rPr>
          <w:rFonts w:hint="eastAsia" w:ascii="方正楷体_GBK" w:hAnsi="方正楷体_GBK" w:eastAsia="方正楷体_GBK" w:cs="方正楷体_GBK"/>
          <w:b w:val="0"/>
          <w:bCs w:val="0"/>
          <w:color w:val="auto"/>
          <w:sz w:val="32"/>
          <w:szCs w:val="32"/>
          <w:lang w:val="en-US" w:eastAsia="zh-CN"/>
        </w:rPr>
        <w:t>四</w:t>
      </w:r>
      <w:r>
        <w:rPr>
          <w:rFonts w:hint="eastAsia" w:ascii="方正楷体_GBK" w:hAnsi="方正楷体_GBK" w:eastAsia="方正楷体_GBK" w:cs="方正楷体_GBK"/>
          <w:b w:val="0"/>
          <w:bCs w:val="0"/>
          <w:color w:val="auto"/>
          <w:sz w:val="32"/>
          <w:szCs w:val="32"/>
          <w:lang w:eastAsia="zh-CN"/>
        </w:rPr>
        <w:t>）</w:t>
      </w:r>
      <w:r>
        <w:rPr>
          <w:rFonts w:hint="eastAsia" w:ascii="方正楷体_GBK" w:hAnsi="方正楷体_GBK" w:eastAsia="方正楷体_GBK" w:cs="方正楷体_GBK"/>
          <w:b w:val="0"/>
          <w:bCs w:val="0"/>
          <w:color w:val="auto"/>
          <w:sz w:val="32"/>
          <w:szCs w:val="32"/>
          <w:lang w:val="en-US" w:eastAsia="zh-CN"/>
        </w:rPr>
        <w:t>技术效果</w:t>
      </w:r>
    </w:p>
    <w:p w14:paraId="598DF8FF">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lang w:eastAsia="zh-CN"/>
        </w:rPr>
        <w:t>1</w:t>
      </w:r>
      <w:r>
        <w:rPr>
          <w:rFonts w:hint="eastAsia" w:ascii="方正仿宋_GBK" w:hAnsi="方正仿宋_GBK" w:eastAsia="方正仿宋_GBK" w:cs="方正仿宋_GBK"/>
          <w:b w:val="0"/>
          <w:bCs w:val="0"/>
          <w:color w:val="000000"/>
          <w:sz w:val="32"/>
          <w:szCs w:val="32"/>
          <w:lang w:val="en-US" w:eastAsia="zh-CN"/>
        </w:rPr>
        <w:t>.</w:t>
      </w:r>
      <w:r>
        <w:rPr>
          <w:rFonts w:hint="eastAsia" w:ascii="方正仿宋_GBK" w:hAnsi="方正仿宋_GBK" w:eastAsia="方正仿宋_GBK" w:cs="方正仿宋_GBK"/>
          <w:b w:val="0"/>
          <w:bCs w:val="0"/>
          <w:color w:val="000000"/>
          <w:sz w:val="32"/>
          <w:szCs w:val="32"/>
        </w:rPr>
        <w:t>养殖成本降低。人力成本方面，AI业务数据的智能化自动化采集由原始每人每天2小时提升至每人每天10分钟，效率提升90%，在数据处理方面节约人力20%，年节约总成本大概100万元。物料成本方面：精准饲喂和健康管理的全天候全场域覆盖，实现饲料、药品精准投放，相较传统养殖在饲料、药品使用方面，每头猪年节约饲料、药品费用50元，年节约总成本大概750万元。</w:t>
      </w:r>
    </w:p>
    <w:p w14:paraId="6AC42909">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lang w:eastAsia="zh-CN"/>
        </w:rPr>
        <w:t>2</w:t>
      </w:r>
      <w:r>
        <w:rPr>
          <w:rFonts w:hint="eastAsia" w:ascii="方正仿宋_GBK" w:hAnsi="方正仿宋_GBK" w:eastAsia="方正仿宋_GBK" w:cs="方正仿宋_GBK"/>
          <w:b w:val="0"/>
          <w:bCs w:val="0"/>
          <w:color w:val="000000"/>
          <w:sz w:val="32"/>
          <w:szCs w:val="32"/>
          <w:lang w:val="en-US" w:eastAsia="zh-CN"/>
        </w:rPr>
        <w:t>.</w:t>
      </w:r>
      <w:r>
        <w:rPr>
          <w:rFonts w:hint="eastAsia" w:ascii="方正仿宋_GBK" w:hAnsi="方正仿宋_GBK" w:eastAsia="方正仿宋_GBK" w:cs="方正仿宋_GBK"/>
          <w:b w:val="0"/>
          <w:bCs w:val="0"/>
          <w:color w:val="000000"/>
          <w:sz w:val="32"/>
          <w:szCs w:val="32"/>
        </w:rPr>
        <w:t>生猪死亡率降低。死淘成本方面：全场域内智能机器人24小时不间断猪只健康动态监测，如：体温、体况、进食量等，针对异常猪只实时预警，疾病诊治提前1-2天，仔猪、母猪死亡淘汰减少5%，年节约成本225万元。</w:t>
      </w:r>
    </w:p>
    <w:p w14:paraId="392929CB">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lang w:eastAsia="zh-CN"/>
        </w:rPr>
        <w:t>3</w:t>
      </w:r>
      <w:r>
        <w:rPr>
          <w:rFonts w:hint="eastAsia" w:ascii="方正仿宋_GBK" w:hAnsi="方正仿宋_GBK" w:eastAsia="方正仿宋_GBK" w:cs="方正仿宋_GBK"/>
          <w:b w:val="0"/>
          <w:bCs w:val="0"/>
          <w:color w:val="000000"/>
          <w:sz w:val="32"/>
          <w:szCs w:val="32"/>
          <w:lang w:val="en-US" w:eastAsia="zh-CN"/>
        </w:rPr>
        <w:t>.</w:t>
      </w:r>
      <w:r>
        <w:rPr>
          <w:rFonts w:hint="eastAsia" w:ascii="方正仿宋_GBK" w:hAnsi="方正仿宋_GBK" w:eastAsia="方正仿宋_GBK" w:cs="方正仿宋_GBK"/>
          <w:b w:val="0"/>
          <w:bCs w:val="0"/>
          <w:color w:val="000000"/>
          <w:sz w:val="32"/>
          <w:szCs w:val="32"/>
        </w:rPr>
        <w:t>产仔能力提升。通过全场域智能化管理，实现种母猪长期稳定保持最佳体况，确保种猪产仔的健仔率，在此基础上，相较传统猪场PSY提升3头，年增加仔猪出栏数</w:t>
      </w:r>
      <w:r>
        <w:rPr>
          <w:rFonts w:hint="eastAsia" w:ascii="方正仿宋_GBK" w:hAnsi="方正仿宋_GBK" w:eastAsia="方正仿宋_GBK" w:cs="方正仿宋_GBK"/>
          <w:b w:val="0"/>
          <w:bCs w:val="0"/>
          <w:color w:val="000000"/>
          <w:sz w:val="32"/>
          <w:szCs w:val="32"/>
          <w:lang w:val="en-US" w:eastAsia="zh-CN"/>
        </w:rPr>
        <w:t>量</w:t>
      </w:r>
      <w:r>
        <w:rPr>
          <w:rFonts w:hint="eastAsia" w:ascii="方正仿宋_GBK" w:hAnsi="方正仿宋_GBK" w:eastAsia="方正仿宋_GBK" w:cs="方正仿宋_GBK"/>
          <w:b w:val="0"/>
          <w:bCs w:val="0"/>
          <w:color w:val="000000"/>
          <w:sz w:val="32"/>
          <w:szCs w:val="32"/>
        </w:rPr>
        <w:t>45000头，年增加收益1350万元。</w:t>
      </w:r>
    </w:p>
    <w:p w14:paraId="4B58F6BD">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rPr>
        <w:t>（</w:t>
      </w:r>
      <w:r>
        <w:rPr>
          <w:rFonts w:hint="eastAsia" w:ascii="方正楷体_GBK" w:hAnsi="方正楷体_GBK" w:eastAsia="方正楷体_GBK" w:cs="方正楷体_GBK"/>
          <w:b w:val="0"/>
          <w:bCs w:val="0"/>
          <w:color w:val="auto"/>
          <w:sz w:val="32"/>
          <w:szCs w:val="32"/>
          <w:lang w:val="en-US" w:eastAsia="zh-CN"/>
        </w:rPr>
        <w:t>五</w:t>
      </w:r>
      <w:r>
        <w:rPr>
          <w:rFonts w:hint="eastAsia" w:ascii="方正楷体_GBK" w:hAnsi="方正楷体_GBK" w:eastAsia="方正楷体_GBK" w:cs="方正楷体_GBK"/>
          <w:b w:val="0"/>
          <w:bCs w:val="0"/>
          <w:color w:val="auto"/>
          <w:sz w:val="32"/>
          <w:szCs w:val="32"/>
        </w:rPr>
        <w:t>）</w:t>
      </w:r>
      <w:r>
        <w:rPr>
          <w:rFonts w:hint="eastAsia" w:ascii="方正楷体_GBK" w:hAnsi="方正楷体_GBK" w:eastAsia="方正楷体_GBK" w:cs="方正楷体_GBK"/>
          <w:b w:val="0"/>
          <w:bCs w:val="0"/>
          <w:color w:val="auto"/>
          <w:sz w:val="32"/>
          <w:szCs w:val="32"/>
          <w:lang w:val="en-US" w:eastAsia="zh-CN"/>
        </w:rPr>
        <w:t>推广潜力</w:t>
      </w:r>
    </w:p>
    <w:p w14:paraId="041AA5F0">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该技术入选农业农村部信息中心发布的2021年数字农业农村新技术新产品新模式优秀案例。经过西南交通大学科技评价中心评价认定该技术达到国内先进水平。智慧技术的“降本、提质、抗风险”特性，精准匹配产业转型需求。</w:t>
      </w:r>
    </w:p>
    <w:p w14:paraId="54CE2AC3">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lang w:val="en-US" w:eastAsia="zh-CN"/>
        </w:rPr>
        <w:t>该技术</w:t>
      </w:r>
      <w:r>
        <w:rPr>
          <w:rFonts w:hint="eastAsia" w:ascii="方正仿宋_GBK" w:hAnsi="方正仿宋_GBK" w:eastAsia="方正仿宋_GBK" w:cs="方正仿宋_GBK"/>
          <w:b w:val="0"/>
          <w:bCs w:val="0"/>
          <w:color w:val="000000"/>
          <w:sz w:val="32"/>
          <w:szCs w:val="32"/>
        </w:rPr>
        <w:t>使猪场抗生素使用量减少40%，不仅降低成本，还提升了猪肉品质，产品在高端市场更具竞争力。使猪场管理更便捷，管理人员可通过手机远程监控猪场运营，无需24小时值守，工作效率大幅提升。</w:t>
      </w:r>
    </w:p>
    <w:p w14:paraId="44420E99">
      <w:pPr>
        <w:pStyle w:val="5"/>
        <w:pageBreakBefore w:val="0"/>
        <w:wordWrap/>
        <w:overflowPunct/>
        <w:topLinePunct w:val="0"/>
        <w:bidi w:val="0"/>
        <w:spacing w:beforeAutospacing="0" w:after="0" w:afterAutospacing="0" w:line="600" w:lineRule="exact"/>
        <w:ind w:left="0" w:leftChars="0" w:right="0" w:rightChars="0" w:firstLine="640" w:firstLineChars="200"/>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二、技术依托单位</w:t>
      </w:r>
    </w:p>
    <w:p w14:paraId="4A615D44">
      <w:pPr>
        <w:pageBreakBefore w:val="0"/>
        <w:wordWrap/>
        <w:overflowPunct/>
        <w:topLinePunct w:val="0"/>
        <w:bidi w:val="0"/>
        <w:snapToGrid/>
        <w:spacing w:beforeAutospacing="0" w:afterAutospacing="0" w:line="600" w:lineRule="exact"/>
        <w:ind w:left="0" w:leftChars="0" w:right="0" w:rightChars="0" w:firstLine="640" w:firstLineChars="200"/>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lang w:eastAsia="zh-CN"/>
        </w:rPr>
        <w:t>（</w:t>
      </w:r>
      <w:r>
        <w:rPr>
          <w:rFonts w:hint="eastAsia" w:ascii="方正楷体_GBK" w:hAnsi="方正楷体_GBK" w:eastAsia="方正楷体_GBK" w:cs="方正楷体_GBK"/>
          <w:b w:val="0"/>
          <w:bCs w:val="0"/>
          <w:color w:val="auto"/>
          <w:sz w:val="32"/>
          <w:szCs w:val="32"/>
          <w:lang w:val="en-US" w:eastAsia="zh-CN"/>
        </w:rPr>
        <w:t>一</w:t>
      </w:r>
      <w:r>
        <w:rPr>
          <w:rFonts w:hint="eastAsia" w:ascii="方正楷体_GBK" w:hAnsi="方正楷体_GBK" w:eastAsia="方正楷体_GBK" w:cs="方正楷体_GBK"/>
          <w:b w:val="0"/>
          <w:bCs w:val="0"/>
          <w:color w:val="auto"/>
          <w:sz w:val="32"/>
          <w:szCs w:val="32"/>
          <w:lang w:eastAsia="zh-CN"/>
        </w:rPr>
        <w:t>）</w:t>
      </w:r>
      <w:r>
        <w:rPr>
          <w:rFonts w:hint="eastAsia" w:ascii="方正楷体_GBK" w:hAnsi="方正楷体_GBK" w:eastAsia="方正楷体_GBK" w:cs="方正楷体_GBK"/>
          <w:b w:val="0"/>
          <w:bCs w:val="0"/>
          <w:color w:val="auto"/>
          <w:sz w:val="32"/>
          <w:szCs w:val="32"/>
        </w:rPr>
        <w:t>重庆市畜牧技术推广总站</w:t>
      </w:r>
    </w:p>
    <w:p w14:paraId="132CDD30">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联系地址：重庆市</w:t>
      </w:r>
      <w:r>
        <w:rPr>
          <w:rFonts w:hint="eastAsia" w:ascii="方正仿宋_GBK" w:hAnsi="方正仿宋_GBK" w:eastAsia="方正仿宋_GBK" w:cs="方正仿宋_GBK"/>
          <w:b w:val="0"/>
          <w:bCs w:val="0"/>
          <w:color w:val="000000"/>
          <w:sz w:val="32"/>
          <w:szCs w:val="32"/>
          <w:lang w:val="en-US" w:eastAsia="zh-CN"/>
        </w:rPr>
        <w:t>两江新</w:t>
      </w:r>
      <w:r>
        <w:rPr>
          <w:rFonts w:hint="eastAsia" w:ascii="方正仿宋_GBK" w:hAnsi="方正仿宋_GBK" w:eastAsia="方正仿宋_GBK" w:cs="方正仿宋_GBK"/>
          <w:b w:val="0"/>
          <w:bCs w:val="0"/>
          <w:color w:val="000000"/>
          <w:sz w:val="32"/>
          <w:szCs w:val="32"/>
        </w:rPr>
        <w:t>区黄山大道东段186号</w:t>
      </w:r>
    </w:p>
    <w:p w14:paraId="02024A4C">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rPr>
        <w:t>邮政编码：4011</w:t>
      </w:r>
      <w:r>
        <w:rPr>
          <w:rFonts w:hint="eastAsia" w:ascii="方正仿宋_GBK" w:hAnsi="方正仿宋_GBK" w:eastAsia="方正仿宋_GBK" w:cs="方正仿宋_GBK"/>
          <w:b w:val="0"/>
          <w:bCs w:val="0"/>
          <w:color w:val="000000"/>
          <w:sz w:val="32"/>
          <w:szCs w:val="32"/>
          <w:lang w:val="en-US" w:eastAsia="zh-CN"/>
        </w:rPr>
        <w:t>21</w:t>
      </w:r>
    </w:p>
    <w:p w14:paraId="5D2A9381">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rPr>
        <w:t>联 系 人：</w:t>
      </w:r>
      <w:r>
        <w:rPr>
          <w:rFonts w:hint="eastAsia" w:ascii="方正仿宋_GBK" w:hAnsi="方正仿宋_GBK" w:eastAsia="方正仿宋_GBK" w:cs="方正仿宋_GBK"/>
          <w:b w:val="0"/>
          <w:bCs w:val="0"/>
          <w:color w:val="000000"/>
          <w:sz w:val="32"/>
          <w:szCs w:val="32"/>
          <w:lang w:val="en-US" w:eastAsia="zh-CN"/>
        </w:rPr>
        <w:t>陈红跃</w:t>
      </w:r>
    </w:p>
    <w:p w14:paraId="4BA8C6B2">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联系电话：13896566877</w:t>
      </w:r>
    </w:p>
    <w:p w14:paraId="40C4B44D">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电子邮箱：810362560@qq.com</w:t>
      </w:r>
    </w:p>
    <w:p w14:paraId="0EB5ECE0">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eastAsia="zh-CN"/>
        </w:rPr>
        <w:t>（</w:t>
      </w:r>
      <w:r>
        <w:rPr>
          <w:rFonts w:hint="eastAsia" w:ascii="方正楷体_GBK" w:hAnsi="方正楷体_GBK" w:eastAsia="方正楷体_GBK" w:cs="方正楷体_GBK"/>
          <w:b w:val="0"/>
          <w:bCs w:val="0"/>
          <w:color w:val="auto"/>
          <w:sz w:val="32"/>
          <w:szCs w:val="32"/>
          <w:lang w:val="en-US" w:eastAsia="zh-CN"/>
        </w:rPr>
        <w:t>二</w:t>
      </w:r>
      <w:r>
        <w:rPr>
          <w:rFonts w:hint="eastAsia" w:ascii="方正楷体_GBK" w:hAnsi="方正楷体_GBK" w:eastAsia="方正楷体_GBK" w:cs="方正楷体_GBK"/>
          <w:b w:val="0"/>
          <w:bCs w:val="0"/>
          <w:color w:val="auto"/>
          <w:sz w:val="32"/>
          <w:szCs w:val="32"/>
          <w:lang w:eastAsia="zh-CN"/>
        </w:rPr>
        <w:t>）</w:t>
      </w:r>
      <w:r>
        <w:rPr>
          <w:rFonts w:hint="eastAsia" w:ascii="方正楷体_GBK" w:hAnsi="方正楷体_GBK" w:eastAsia="方正楷体_GBK" w:cs="方正楷体_GBK"/>
          <w:b w:val="0"/>
          <w:bCs w:val="0"/>
          <w:color w:val="auto"/>
          <w:sz w:val="32"/>
          <w:szCs w:val="32"/>
        </w:rPr>
        <w:t>四川正狐智慧科技有限公司</w:t>
      </w:r>
    </w:p>
    <w:p w14:paraId="6D7445A3">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联系地址：成都高新区天仁路222号1-2幢4层17号</w:t>
      </w:r>
    </w:p>
    <w:p w14:paraId="0039B06C">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rPr>
        <w:t>邮政编码：</w:t>
      </w:r>
      <w:r>
        <w:rPr>
          <w:rFonts w:hint="eastAsia" w:ascii="方正仿宋_GBK" w:hAnsi="方正仿宋_GBK" w:eastAsia="方正仿宋_GBK" w:cs="方正仿宋_GBK"/>
          <w:b w:val="0"/>
          <w:bCs w:val="0"/>
          <w:color w:val="000000"/>
          <w:sz w:val="32"/>
          <w:szCs w:val="32"/>
          <w:lang w:val="en-US" w:eastAsia="zh-CN"/>
        </w:rPr>
        <w:t>610041</w:t>
      </w:r>
    </w:p>
    <w:p w14:paraId="2B44FF8E">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rPr>
        <w:t>联 系 人：</w:t>
      </w:r>
      <w:r>
        <w:rPr>
          <w:rFonts w:hint="eastAsia" w:ascii="方正仿宋_GBK" w:hAnsi="方正仿宋_GBK" w:eastAsia="方正仿宋_GBK" w:cs="方正仿宋_GBK"/>
          <w:b w:val="0"/>
          <w:bCs w:val="0"/>
          <w:color w:val="000000"/>
          <w:sz w:val="32"/>
          <w:szCs w:val="32"/>
          <w:lang w:val="en-US" w:eastAsia="zh-CN"/>
        </w:rPr>
        <w:t>张海峰</w:t>
      </w:r>
    </w:p>
    <w:p w14:paraId="092A44EC">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rPr>
        <w:t>联系电话：</w:t>
      </w:r>
      <w:r>
        <w:rPr>
          <w:rFonts w:hint="eastAsia" w:ascii="方正仿宋_GBK" w:hAnsi="方正仿宋_GBK" w:eastAsia="方正仿宋_GBK" w:cs="方正仿宋_GBK"/>
          <w:b w:val="0"/>
          <w:bCs w:val="0"/>
          <w:color w:val="000000"/>
          <w:sz w:val="32"/>
          <w:szCs w:val="32"/>
          <w:lang w:val="en-US" w:eastAsia="zh-CN"/>
        </w:rPr>
        <w:t>13668260800</w:t>
      </w:r>
    </w:p>
    <w:p w14:paraId="171E4906">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rPr>
        <w:t>电子邮箱：</w:t>
      </w:r>
      <w:r>
        <w:rPr>
          <w:rFonts w:hint="eastAsia" w:ascii="方正仿宋_GBK" w:hAnsi="方正仿宋_GBK" w:eastAsia="方正仿宋_GBK" w:cs="方正仿宋_GBK"/>
          <w:b w:val="0"/>
          <w:bCs w:val="0"/>
          <w:color w:val="000000"/>
          <w:sz w:val="32"/>
          <w:szCs w:val="32"/>
          <w:lang w:val="en-US" w:eastAsia="zh-CN"/>
        </w:rPr>
        <w:t>175847884@qq.com</w:t>
      </w:r>
    </w:p>
    <w:p w14:paraId="6EE499B1">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（三）</w:t>
      </w:r>
      <w:r>
        <w:rPr>
          <w:rFonts w:hint="eastAsia" w:ascii="方正楷体_GBK" w:hAnsi="方正楷体_GBK" w:eastAsia="方正楷体_GBK" w:cs="方正楷体_GBK"/>
          <w:b w:val="0"/>
          <w:bCs w:val="0"/>
          <w:color w:val="auto"/>
          <w:sz w:val="32"/>
          <w:szCs w:val="32"/>
        </w:rPr>
        <w:t>重庆合川区畜牧站</w:t>
      </w:r>
    </w:p>
    <w:p w14:paraId="021B9A94">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联系地址：</w:t>
      </w:r>
      <w:r>
        <w:rPr>
          <w:rFonts w:hint="eastAsia" w:ascii="方正仿宋_GBK" w:hAnsi="方正仿宋_GBK" w:eastAsia="方正仿宋_GBK" w:cs="方正仿宋_GBK"/>
          <w:b w:val="0"/>
          <w:bCs w:val="0"/>
          <w:color w:val="000000"/>
          <w:sz w:val="32"/>
          <w:szCs w:val="32"/>
          <w:lang w:val="en-US" w:eastAsia="zh-CN"/>
        </w:rPr>
        <w:t>重庆市合川区</w:t>
      </w:r>
      <w:r>
        <w:rPr>
          <w:rFonts w:hint="eastAsia" w:ascii="方正仿宋_GBK" w:hAnsi="方正仿宋_GBK" w:eastAsia="方正仿宋_GBK" w:cs="方正仿宋_GBK"/>
          <w:b w:val="0"/>
          <w:bCs w:val="0"/>
          <w:color w:val="000000"/>
          <w:sz w:val="32"/>
          <w:szCs w:val="32"/>
        </w:rPr>
        <w:t>南津街鹤林巷4号</w:t>
      </w:r>
    </w:p>
    <w:p w14:paraId="1C302A34">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邮政编码：401520</w:t>
      </w:r>
    </w:p>
    <w:p w14:paraId="488112F8">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rPr>
        <w:t>联 系 人：</w:t>
      </w:r>
      <w:r>
        <w:rPr>
          <w:rFonts w:hint="eastAsia" w:ascii="方正仿宋_GBK" w:hAnsi="方正仿宋_GBK" w:eastAsia="方正仿宋_GBK" w:cs="方正仿宋_GBK"/>
          <w:b w:val="0"/>
          <w:bCs w:val="0"/>
          <w:color w:val="000000"/>
          <w:sz w:val="32"/>
          <w:szCs w:val="32"/>
          <w:lang w:val="en-US" w:eastAsia="zh-CN"/>
        </w:rPr>
        <w:t>潘晓</w:t>
      </w:r>
    </w:p>
    <w:p w14:paraId="49C59A20">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rPr>
        <w:t>联系电话：</w:t>
      </w:r>
      <w:r>
        <w:rPr>
          <w:rFonts w:hint="eastAsia" w:ascii="方正仿宋_GBK" w:hAnsi="方正仿宋_GBK" w:eastAsia="方正仿宋_GBK" w:cs="方正仿宋_GBK"/>
          <w:b w:val="0"/>
          <w:bCs w:val="0"/>
          <w:color w:val="000000"/>
          <w:sz w:val="32"/>
          <w:szCs w:val="32"/>
          <w:lang w:val="en-US" w:eastAsia="zh-CN"/>
        </w:rPr>
        <w:t>13628441163</w:t>
      </w:r>
    </w:p>
    <w:p w14:paraId="4FF0B9A1">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textAlignment w:val="auto"/>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电子邮箱：68223831@qq.com</w:t>
      </w:r>
    </w:p>
    <w:p w14:paraId="30FFB5AC">
      <w:pPr>
        <w:pStyle w:val="5"/>
        <w:keepNext w:val="0"/>
        <w:keepLines w:val="0"/>
        <w:pageBreakBefore w:val="0"/>
        <w:widowControl w:val="0"/>
        <w:kinsoku/>
        <w:wordWrap/>
        <w:overflowPunct/>
        <w:topLinePunct w:val="0"/>
        <w:autoSpaceDE/>
        <w:autoSpaceDN/>
        <w:bidi w:val="0"/>
        <w:adjustRightInd/>
        <w:snapToGrid/>
        <w:spacing w:beforeAutospacing="0" w:after="0" w:afterAutospacing="0" w:line="540" w:lineRule="exact"/>
        <w:ind w:left="0" w:leftChars="0" w:right="0" w:rightChars="0" w:firstLine="640" w:firstLineChars="200"/>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三、集成推广计划</w:t>
      </w:r>
    </w:p>
    <w:p w14:paraId="46EBEC5A">
      <w:pPr>
        <w:pStyle w:val="5"/>
        <w:keepNext w:val="0"/>
        <w:keepLines w:val="0"/>
        <w:pageBreakBefore w:val="0"/>
        <w:widowControl w:val="0"/>
        <w:kinsoku/>
        <w:wordWrap/>
        <w:overflowPunct/>
        <w:topLinePunct w:val="0"/>
        <w:autoSpaceDE/>
        <w:autoSpaceDN/>
        <w:bidi w:val="0"/>
        <w:adjustRightInd/>
        <w:snapToGrid/>
        <w:spacing w:beforeAutospacing="0" w:after="0" w:afterAutospacing="0" w:line="540" w:lineRule="exact"/>
        <w:ind w:left="0" w:leftChars="0" w:right="0" w:rightChars="0" w:firstLine="640" w:firstLineChars="200"/>
        <w:textAlignment w:val="auto"/>
      </w:pPr>
      <w:r>
        <w:rPr>
          <w:rFonts w:hint="eastAsia" w:ascii="方正仿宋_GBK" w:hAnsi="方正仿宋_GBK" w:eastAsia="方正仿宋_GBK" w:cs="方正仿宋_GBK"/>
          <w:b w:val="0"/>
          <w:bCs w:val="0"/>
          <w:color w:val="000000"/>
          <w:sz w:val="32"/>
          <w:szCs w:val="32"/>
          <w:lang w:val="en-US" w:eastAsia="zh-CN"/>
        </w:rPr>
        <w:t>通过合川区德康养殖场开展技术集成与熟化，2026年拟在重庆市范围新增1-2个未来牧场应用场景，组织技术观摩交流活动1次。</w:t>
      </w:r>
    </w:p>
    <w:sectPr>
      <w:footerReference r:id="rId5" w:type="default"/>
      <w:pgSz w:w="11906" w:h="16838"/>
      <w:pgMar w:top="2098" w:right="1474" w:bottom="1984" w:left="1587" w:header="851" w:footer="992" w:gutter="0"/>
      <w:pgNumType w:fmt="numberInDash"/>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170D2">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33ABDF">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E8m0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2RPJtMQIAAGUEAAAOAAAAAAAAAAEAIAAAAB8BAABkcnMvZTJvRG9jLnhtbFBLBQYA&#10;AAAABgAGAFkBAADCBQAAAAA=&#10;">
              <v:fill on="f" focussize="0,0"/>
              <v:stroke on="f" weight="0.5pt"/>
              <v:imagedata o:title=""/>
              <o:lock v:ext="edit" aspectratio="f"/>
              <v:textbox inset="0mm,0mm,0mm,0mm" style="mso-fit-shape-to-text:t;">
                <w:txbxContent>
                  <w:p w14:paraId="0233ABDF">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BE14CE"/>
    <w:multiLevelType w:val="singleLevel"/>
    <w:tmpl w:val="ABBE14C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E03D7B"/>
    <w:rsid w:val="027A76EE"/>
    <w:rsid w:val="04327D44"/>
    <w:rsid w:val="049B6828"/>
    <w:rsid w:val="05A36F5B"/>
    <w:rsid w:val="07416A2C"/>
    <w:rsid w:val="099B621D"/>
    <w:rsid w:val="0C085D6A"/>
    <w:rsid w:val="11C42733"/>
    <w:rsid w:val="1249240B"/>
    <w:rsid w:val="1917583F"/>
    <w:rsid w:val="19A76BC3"/>
    <w:rsid w:val="1ADA4D76"/>
    <w:rsid w:val="2E426A62"/>
    <w:rsid w:val="31321010"/>
    <w:rsid w:val="3AF06F2A"/>
    <w:rsid w:val="420C1409"/>
    <w:rsid w:val="465670F7"/>
    <w:rsid w:val="4B330DAC"/>
    <w:rsid w:val="4D490286"/>
    <w:rsid w:val="4F566AC9"/>
    <w:rsid w:val="4FC4186E"/>
    <w:rsid w:val="566E3FE9"/>
    <w:rsid w:val="58FE1654"/>
    <w:rsid w:val="5C6049BF"/>
    <w:rsid w:val="699D0A15"/>
    <w:rsid w:val="70C300CD"/>
    <w:rsid w:val="71F80EDE"/>
    <w:rsid w:val="74DB6895"/>
    <w:rsid w:val="75792336"/>
    <w:rsid w:val="75C43A88"/>
    <w:rsid w:val="77067D4E"/>
    <w:rsid w:val="78B418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pageBreakBefore w:val="0"/>
      <w:widowControl w:val="0"/>
      <w:kinsoku/>
      <w:wordWrap/>
      <w:overflowPunct/>
      <w:topLinePunct w:val="0"/>
      <w:autoSpaceDE/>
      <w:autoSpaceDN/>
      <w:bidi w:val="0"/>
      <w:spacing w:line="600" w:lineRule="exact"/>
      <w:ind w:firstLine="640" w:firstLineChars="200"/>
      <w:jc w:val="both"/>
      <w:textAlignment w:val="auto"/>
    </w:pPr>
    <w:rPr>
      <w:rFonts w:ascii="Times New Roman" w:hAnsi="Times New Roman" w:eastAsia="仿宋_GB2312" w:cs="Times New Roman"/>
      <w:color w:val="auto"/>
      <w:kern w:val="2"/>
      <w:sz w:val="28"/>
      <w:szCs w:val="28"/>
      <w:lang w:val="en-US" w:eastAsia="zh-CN" w:bidi="ar-SA"/>
    </w:rPr>
  </w:style>
  <w:style w:type="paragraph" w:styleId="3">
    <w:name w:val="heading 1"/>
    <w:basedOn w:val="1"/>
    <w:next w:val="1"/>
    <w:qFormat/>
    <w:uiPriority w:val="0"/>
    <w:pPr>
      <w:keepNext/>
      <w:keepLines/>
      <w:widowControl w:val="0"/>
      <w:spacing w:line="600" w:lineRule="exact"/>
      <w:ind w:firstLine="0" w:firstLineChars="0"/>
      <w:jc w:val="center"/>
      <w:outlineLvl w:val="0"/>
    </w:pPr>
    <w:rPr>
      <w:rFonts w:ascii="Times New Roman" w:hAnsi="Times New Roman" w:eastAsia="方正小标宋_GBK" w:cs="Times New Roman"/>
      <w:bCs/>
      <w:kern w:val="44"/>
      <w:sz w:val="44"/>
      <w:szCs w:val="4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Cambria" w:hAnsi="Cambria"/>
      <w:b/>
      <w:bCs/>
    </w:rPr>
  </w:style>
  <w:style w:type="paragraph" w:styleId="4">
    <w:name w:val="caption"/>
    <w:basedOn w:val="1"/>
    <w:next w:val="1"/>
    <w:unhideWhenUsed/>
    <w:qFormat/>
    <w:uiPriority w:val="0"/>
    <w:rPr>
      <w:rFonts w:ascii="Arial" w:hAnsi="Arial" w:eastAsia="黑体"/>
      <w:sz w:val="20"/>
    </w:rPr>
  </w:style>
  <w:style w:type="paragraph" w:styleId="5">
    <w:name w:val="Body Text"/>
    <w:basedOn w:val="1"/>
    <w:qFormat/>
    <w:uiPriority w:val="0"/>
    <w:pPr>
      <w:spacing w:after="120"/>
    </w:pPr>
  </w:style>
  <w:style w:type="paragraph" w:styleId="6">
    <w:name w:val="Balloon Text"/>
    <w:basedOn w:val="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qFormat/>
    <w:uiPriority w:val="99"/>
    <w:rPr>
      <w:color w:val="0000FF"/>
      <w:u w:val="single"/>
    </w:rPr>
  </w:style>
  <w:style w:type="paragraph" w:customStyle="1" w:styleId="13">
    <w:name w:val="Heading #3|1"/>
    <w:basedOn w:val="1"/>
    <w:qFormat/>
    <w:uiPriority w:val="0"/>
    <w:pPr>
      <w:spacing w:after="490"/>
      <w:jc w:val="center"/>
      <w:outlineLvl w:val="2"/>
    </w:pPr>
    <w:rPr>
      <w:rFonts w:ascii="宋体" w:hAnsi="宋体" w:eastAsia="宋体" w:cs="宋体"/>
      <w:sz w:val="34"/>
      <w:szCs w:val="34"/>
      <w:lang w:val="zh-TW" w:eastAsia="zh-TW" w:bidi="zh-TW"/>
    </w:rPr>
  </w:style>
  <w:style w:type="paragraph" w:customStyle="1" w:styleId="14">
    <w:name w:val="Body text|1"/>
    <w:basedOn w:val="1"/>
    <w:qFormat/>
    <w:uiPriority w:val="0"/>
    <w:pPr>
      <w:spacing w:line="422" w:lineRule="auto"/>
      <w:ind w:firstLine="400"/>
    </w:pPr>
    <w:rPr>
      <w:rFonts w:ascii="宋体" w:hAnsi="宋体" w:eastAsia="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11831</Words>
  <Characters>13006</Characters>
  <Lines>0</Lines>
  <Paragraphs>0</Paragraphs>
  <TotalTime>22</TotalTime>
  <ScaleCrop>false</ScaleCrop>
  <LinksUpToDate>false</LinksUpToDate>
  <CharactersWithSpaces>13049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2025-05-28T06:32:00Z</dcterms:created>
  <dc:creator>Administrator</dc:creator>
  <cp:lastModifiedBy>韩里佳</cp:lastModifiedBy>
  <dcterms:modified xsi:type="dcterms:W3CDTF">2026-03-25T08:51:18Z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77E637A5E0C64312B71EB43390300725_12</vt:lpwstr>
  </property>
  <property fmtid="{D5CDD505-2E9C-101B-9397-08002B2CF9AE}" pid="4" name="KSOTemplateDocerSaveRecord">
    <vt:lpwstr>eyJoZGlkIjoiOTM4ZWQ0YjNjNDI1MTdlMDQ1NTI1ODExNDFlMDhmMTYiLCJ1c2VySWQiOiIyOTMzNDMyMzkifQ==</vt:lpwstr>
  </property>
</Properties>
</file>