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300" w:lineRule="exact"/>
        <w:rPr>
          <w:rFonts w:ascii="方正黑体_GBK" w:hAnsi="Times New Roman" w:eastAsia="方正黑体_GBK"/>
          <w:color w:val="000000"/>
          <w:szCs w:val="32"/>
        </w:rPr>
      </w:pPr>
    </w:p>
    <w:p>
      <w:pPr>
        <w:overflowPunct w:val="0"/>
        <w:spacing w:line="700" w:lineRule="exact"/>
        <w:jc w:val="center"/>
        <w:rPr>
          <w:rFonts w:ascii="方正小标宋_GBK" w:hAnsi="Times New Roman" w:eastAsia="方正小标宋_GBK"/>
          <w:color w:val="000000"/>
          <w:sz w:val="36"/>
          <w:szCs w:val="36"/>
        </w:rPr>
      </w:pPr>
      <w:r>
        <w:rPr>
          <w:rFonts w:hint="eastAsia" w:ascii="方正小标宋_GBK" w:hAnsi="Times New Roman" w:eastAsia="方正小标宋_GBK"/>
          <w:color w:val="000000"/>
          <w:sz w:val="36"/>
          <w:szCs w:val="36"/>
          <w:lang w:val="en-US" w:eastAsia="zh-CN"/>
        </w:rPr>
        <w:t>重庆市荣昌区</w:t>
      </w:r>
      <w:r>
        <w:rPr>
          <w:rFonts w:hint="eastAsia" w:ascii="方正小标宋_GBK" w:hAnsi="Times New Roman" w:eastAsia="方正小标宋_GBK"/>
          <w:color w:val="000000"/>
          <w:sz w:val="36"/>
          <w:szCs w:val="36"/>
        </w:rPr>
        <w:t>涉贫涉乡村振兴领域政务公开标准目录</w:t>
      </w:r>
    </w:p>
    <w:p>
      <w:pPr>
        <w:overflowPunct w:val="0"/>
        <w:spacing w:line="300" w:lineRule="exact"/>
        <w:jc w:val="center"/>
        <w:rPr>
          <w:rFonts w:ascii="方正小标宋_GBK" w:hAnsi="Times New Roman" w:eastAsia="方正小标宋_GBK"/>
          <w:color w:val="000000"/>
          <w:sz w:val="44"/>
          <w:szCs w:val="44"/>
        </w:rPr>
      </w:pPr>
    </w:p>
    <w:tbl>
      <w:tblPr>
        <w:tblStyle w:val="15"/>
        <w:tblW w:w="12252" w:type="dxa"/>
        <w:jc w:val="center"/>
        <w:tblInd w:w="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
      <w:tblGrid>
        <w:gridCol w:w="487"/>
        <w:gridCol w:w="666"/>
        <w:gridCol w:w="731"/>
        <w:gridCol w:w="2698"/>
        <w:gridCol w:w="2520"/>
        <w:gridCol w:w="1270"/>
        <w:gridCol w:w="938"/>
        <w:gridCol w:w="472"/>
        <w:gridCol w:w="494"/>
        <w:gridCol w:w="346"/>
        <w:gridCol w:w="642"/>
        <w:gridCol w:w="512"/>
        <w:gridCol w:w="476"/>
      </w:tblGrid>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0" w:hRule="atLeast"/>
          <w:tblHeader/>
          <w:jc w:val="center"/>
        </w:trPr>
        <w:tc>
          <w:tcPr>
            <w:tcW w:w="487" w:type="dxa"/>
            <w:vMerge w:val="restart"/>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序号</w:t>
            </w:r>
          </w:p>
        </w:tc>
        <w:tc>
          <w:tcPr>
            <w:tcW w:w="1397" w:type="dxa"/>
            <w:gridSpan w:val="2"/>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公开事项</w:t>
            </w:r>
          </w:p>
        </w:tc>
        <w:tc>
          <w:tcPr>
            <w:tcW w:w="2698" w:type="dxa"/>
            <w:vMerge w:val="restart"/>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公开内容（要素）</w:t>
            </w:r>
          </w:p>
        </w:tc>
        <w:tc>
          <w:tcPr>
            <w:tcW w:w="2520" w:type="dxa"/>
            <w:vMerge w:val="restart"/>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w:t>
            </w:r>
            <w:r>
              <w:rPr>
                <w:rFonts w:hint="eastAsia" w:ascii="方正黑体_GBK" w:hAnsi="方正黑体_GBK" w:eastAsia="方正黑体_GBK" w:cs="方正黑体_GBK"/>
                <w:color w:val="000000"/>
                <w:sz w:val="22"/>
                <w:szCs w:val="22"/>
                <w:lang w:eastAsia="zh-CN"/>
              </w:rPr>
              <w:t>要求</w:t>
            </w:r>
          </w:p>
        </w:tc>
        <w:tc>
          <w:tcPr>
            <w:tcW w:w="1270" w:type="dxa"/>
            <w:vMerge w:val="restart"/>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公开主体</w:t>
            </w:r>
          </w:p>
        </w:tc>
        <w:tc>
          <w:tcPr>
            <w:tcW w:w="938" w:type="dxa"/>
            <w:vMerge w:val="restart"/>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公开渠道和载体</w:t>
            </w:r>
          </w:p>
        </w:tc>
        <w:tc>
          <w:tcPr>
            <w:tcW w:w="966" w:type="dxa"/>
            <w:gridSpan w:val="2"/>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公开对象</w:t>
            </w:r>
          </w:p>
        </w:tc>
        <w:tc>
          <w:tcPr>
            <w:tcW w:w="988" w:type="dxa"/>
            <w:gridSpan w:val="2"/>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公开方式</w:t>
            </w:r>
          </w:p>
        </w:tc>
        <w:tc>
          <w:tcPr>
            <w:tcW w:w="988" w:type="dxa"/>
            <w:gridSpan w:val="2"/>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lang w:val="en-US" w:eastAsia="zh-CN"/>
              </w:rPr>
            </w:pPr>
            <w:r>
              <w:rPr>
                <w:rFonts w:hint="eastAsia" w:ascii="方正黑体_GBK" w:hAnsi="方正黑体_GBK" w:eastAsia="方正黑体_GBK" w:cs="方正黑体_GBK"/>
                <w:color w:val="000000"/>
                <w:sz w:val="22"/>
                <w:szCs w:val="22"/>
                <w:lang w:val="en-US" w:eastAsia="zh-CN"/>
              </w:rPr>
              <w:t>公开层级</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0" w:hRule="atLeast"/>
          <w:tblHeader/>
          <w:jc w:val="center"/>
        </w:trPr>
        <w:tc>
          <w:tcPr>
            <w:tcW w:w="487" w:type="dxa"/>
            <w:vMerge w:val="continue"/>
            <w:tcBorders>
              <w:tl2br w:val="nil"/>
              <w:tr2bl w:val="nil"/>
            </w:tcBorders>
            <w:vAlign w:val="center"/>
          </w:tcPr>
          <w:p>
            <w:pPr>
              <w:widowControl/>
              <w:wordWrap/>
              <w:adjustRightInd/>
              <w:snapToGrid w:val="0"/>
              <w:spacing w:line="240" w:lineRule="exact"/>
              <w:ind w:left="0" w:leftChars="0" w:right="0" w:firstLine="0" w:firstLineChars="0"/>
              <w:jc w:val="left"/>
              <w:textAlignment w:val="auto"/>
              <w:outlineLvl w:val="9"/>
              <w:rPr>
                <w:rFonts w:hint="eastAsia" w:ascii="方正黑体_GBK" w:hAnsi="方正黑体_GBK" w:eastAsia="方正黑体_GBK" w:cs="方正黑体_GBK"/>
                <w:color w:val="000000"/>
                <w:sz w:val="22"/>
                <w:szCs w:val="22"/>
              </w:rPr>
            </w:pPr>
          </w:p>
        </w:tc>
        <w:tc>
          <w:tcPr>
            <w:tcW w:w="666"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一级事项</w:t>
            </w:r>
          </w:p>
        </w:tc>
        <w:tc>
          <w:tcPr>
            <w:tcW w:w="731"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二级</w:t>
            </w:r>
          </w:p>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事项</w:t>
            </w:r>
          </w:p>
        </w:tc>
        <w:tc>
          <w:tcPr>
            <w:tcW w:w="2698" w:type="dxa"/>
            <w:vMerge w:val="continue"/>
            <w:tcBorders>
              <w:left w:val="nil"/>
              <w:right w:val="nil"/>
              <w:tl2br w:val="nil"/>
              <w:tr2bl w:val="nil"/>
            </w:tcBorders>
            <w:vAlign w:val="center"/>
          </w:tcPr>
          <w:p>
            <w:pPr>
              <w:widowControl/>
              <w:wordWrap/>
              <w:adjustRightInd/>
              <w:snapToGrid w:val="0"/>
              <w:spacing w:line="240" w:lineRule="exact"/>
              <w:ind w:left="0" w:leftChars="0" w:right="0" w:firstLine="0" w:firstLineChars="0"/>
              <w:jc w:val="left"/>
              <w:textAlignment w:val="auto"/>
              <w:outlineLvl w:val="9"/>
              <w:rPr>
                <w:rFonts w:hint="eastAsia" w:ascii="方正黑体_GBK" w:hAnsi="方正黑体_GBK" w:eastAsia="方正黑体_GBK" w:cs="方正黑体_GBK"/>
                <w:color w:val="000000"/>
                <w:sz w:val="22"/>
                <w:szCs w:val="22"/>
              </w:rPr>
            </w:pPr>
          </w:p>
        </w:tc>
        <w:tc>
          <w:tcPr>
            <w:tcW w:w="2520" w:type="dxa"/>
            <w:vMerge w:val="continue"/>
            <w:tcBorders>
              <w:left w:val="nil"/>
              <w:right w:val="nil"/>
              <w:tl2br w:val="nil"/>
              <w:tr2bl w:val="nil"/>
            </w:tcBorders>
            <w:vAlign w:val="center"/>
          </w:tcPr>
          <w:p>
            <w:pPr>
              <w:widowControl/>
              <w:wordWrap/>
              <w:adjustRightInd/>
              <w:snapToGrid w:val="0"/>
              <w:spacing w:line="240" w:lineRule="exact"/>
              <w:ind w:left="0" w:leftChars="0" w:right="0" w:firstLine="0" w:firstLineChars="0"/>
              <w:jc w:val="left"/>
              <w:textAlignment w:val="auto"/>
              <w:outlineLvl w:val="9"/>
              <w:rPr>
                <w:rFonts w:hint="eastAsia" w:ascii="方正黑体_GBK" w:hAnsi="方正黑体_GBK" w:eastAsia="方正黑体_GBK" w:cs="方正黑体_GBK"/>
                <w:color w:val="000000"/>
                <w:sz w:val="22"/>
                <w:szCs w:val="22"/>
              </w:rPr>
            </w:pPr>
          </w:p>
        </w:tc>
        <w:tc>
          <w:tcPr>
            <w:tcW w:w="1270" w:type="dxa"/>
            <w:vMerge w:val="continue"/>
            <w:tcBorders>
              <w:left w:val="nil"/>
              <w:right w:val="nil"/>
              <w:tl2br w:val="nil"/>
              <w:tr2bl w:val="nil"/>
            </w:tcBorders>
            <w:vAlign w:val="center"/>
          </w:tcPr>
          <w:p>
            <w:pPr>
              <w:widowControl/>
              <w:wordWrap/>
              <w:adjustRightInd/>
              <w:snapToGrid w:val="0"/>
              <w:spacing w:line="240" w:lineRule="exact"/>
              <w:ind w:left="0" w:leftChars="0" w:right="0" w:firstLine="0" w:firstLineChars="0"/>
              <w:jc w:val="left"/>
              <w:textAlignment w:val="auto"/>
              <w:outlineLvl w:val="9"/>
              <w:rPr>
                <w:rFonts w:hint="eastAsia" w:ascii="方正黑体_GBK" w:hAnsi="方正黑体_GBK" w:eastAsia="方正黑体_GBK" w:cs="方正黑体_GBK"/>
                <w:color w:val="000000"/>
                <w:sz w:val="22"/>
                <w:szCs w:val="22"/>
              </w:rPr>
            </w:pPr>
          </w:p>
        </w:tc>
        <w:tc>
          <w:tcPr>
            <w:tcW w:w="938" w:type="dxa"/>
            <w:vMerge w:val="continue"/>
            <w:tcBorders>
              <w:left w:val="nil"/>
              <w:right w:val="nil"/>
              <w:tl2br w:val="nil"/>
              <w:tr2bl w:val="nil"/>
            </w:tcBorders>
            <w:vAlign w:val="center"/>
          </w:tcPr>
          <w:p>
            <w:pPr>
              <w:widowControl/>
              <w:wordWrap/>
              <w:adjustRightInd/>
              <w:snapToGrid w:val="0"/>
              <w:spacing w:line="240" w:lineRule="exact"/>
              <w:ind w:left="0" w:leftChars="0" w:right="0" w:firstLine="0" w:firstLineChars="0"/>
              <w:jc w:val="left"/>
              <w:textAlignment w:val="auto"/>
              <w:outlineLvl w:val="9"/>
              <w:rPr>
                <w:rFonts w:hint="eastAsia" w:ascii="方正黑体_GBK" w:hAnsi="方正黑体_GBK" w:eastAsia="方正黑体_GBK" w:cs="方正黑体_GBK"/>
                <w:color w:val="000000"/>
                <w:sz w:val="22"/>
                <w:szCs w:val="22"/>
              </w:rPr>
            </w:pPr>
          </w:p>
        </w:tc>
        <w:tc>
          <w:tcPr>
            <w:tcW w:w="472"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全社会</w:t>
            </w:r>
          </w:p>
        </w:tc>
        <w:tc>
          <w:tcPr>
            <w:tcW w:w="494"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特定群众</w:t>
            </w:r>
          </w:p>
        </w:tc>
        <w:tc>
          <w:tcPr>
            <w:tcW w:w="346"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主动</w:t>
            </w:r>
          </w:p>
        </w:tc>
        <w:tc>
          <w:tcPr>
            <w:tcW w:w="642"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依申请公开</w:t>
            </w:r>
          </w:p>
        </w:tc>
        <w:tc>
          <w:tcPr>
            <w:tcW w:w="512"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rPr>
            </w:pPr>
            <w:r>
              <w:rPr>
                <w:rFonts w:hint="eastAsia" w:ascii="方正黑体_GBK" w:hAnsi="方正黑体_GBK" w:eastAsia="方正黑体_GBK" w:cs="方正黑体_GBK"/>
                <w:color w:val="000000"/>
                <w:sz w:val="22"/>
                <w:szCs w:val="22"/>
              </w:rPr>
              <w:t>区级</w:t>
            </w:r>
          </w:p>
        </w:tc>
        <w:tc>
          <w:tcPr>
            <w:tcW w:w="476" w:type="dxa"/>
            <w:tcBorders>
              <w:tl2br w:val="nil"/>
              <w:tr2bl w:val="nil"/>
            </w:tcBorders>
            <w:vAlign w:val="center"/>
          </w:tcPr>
          <w:p>
            <w:pPr>
              <w:widowControl/>
              <w:wordWrap/>
              <w:adjustRightInd/>
              <w:snapToGrid w:val="0"/>
              <w:spacing w:line="240" w:lineRule="exact"/>
              <w:ind w:left="0" w:leftChars="0" w:right="0" w:firstLine="0" w:firstLineChars="0"/>
              <w:jc w:val="center"/>
              <w:textAlignment w:val="auto"/>
              <w:outlineLvl w:val="9"/>
              <w:rPr>
                <w:rFonts w:hint="eastAsia" w:ascii="方正黑体_GBK" w:hAnsi="方正黑体_GBK" w:eastAsia="方正黑体_GBK" w:cs="方正黑体_GBK"/>
                <w:color w:val="000000"/>
                <w:sz w:val="22"/>
                <w:szCs w:val="22"/>
                <w:lang w:val="en-US" w:eastAsia="zh-CN"/>
              </w:rPr>
            </w:pPr>
            <w:r>
              <w:rPr>
                <w:rFonts w:hint="eastAsia" w:ascii="方正黑体_GBK" w:hAnsi="方正黑体_GBK" w:eastAsia="方正黑体_GBK" w:cs="方正黑体_GBK"/>
                <w:color w:val="000000"/>
                <w:sz w:val="22"/>
                <w:szCs w:val="22"/>
                <w:lang w:eastAsia="zh-CN"/>
              </w:rPr>
              <w:t>镇街级</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1077"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666" w:type="dxa"/>
            <w:vMerge w:val="restart"/>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履职依据</w:t>
            </w: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lang w:eastAsia="zh-CN"/>
              </w:rPr>
              <w:t>行政法规、规章</w:t>
            </w:r>
            <w:r>
              <w:rPr>
                <w:rFonts w:hint="eastAsia" w:ascii="宋体" w:hAnsi="宋体" w:eastAsia="宋体" w:cs="宋体"/>
                <w:color w:val="000000"/>
                <w:sz w:val="22"/>
                <w:szCs w:val="22"/>
              </w:rPr>
              <w:t xml:space="preserve"> </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现行涉贫涉乡村振兴领域相关法律、规章。</w:t>
            </w:r>
          </w:p>
        </w:tc>
        <w:tc>
          <w:tcPr>
            <w:tcW w:w="2520" w:type="dxa"/>
            <w:vMerge w:val="restart"/>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条目化展示、信息形成（变更）20 个工作日内。可 链接至市级（区县）乡村振兴局“政府信息公开”有 关栏目，但要保持数据同源。</w:t>
            </w:r>
          </w:p>
        </w:tc>
        <w:tc>
          <w:tcPr>
            <w:tcW w:w="1270" w:type="dxa"/>
            <w:vMerge w:val="restart"/>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区</w:t>
            </w:r>
            <w:r>
              <w:rPr>
                <w:rFonts w:hint="eastAsia" w:ascii="宋体" w:hAnsi="宋体" w:eastAsia="宋体" w:cs="宋体"/>
                <w:color w:val="000000"/>
                <w:sz w:val="22"/>
                <w:szCs w:val="22"/>
                <w:lang w:eastAsia="zh-CN"/>
              </w:rPr>
              <w:t>乡村振兴局</w:t>
            </w: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1077"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666" w:type="dxa"/>
            <w:vMerge w:val="continue"/>
            <w:tcBorders>
              <w:left w:val="nil"/>
              <w:right w:val="nil"/>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ascii="宋体" w:hAnsi="宋体" w:eastAsia="宋体" w:cs="宋体"/>
                <w:sz w:val="24"/>
                <w:szCs w:val="24"/>
              </w:rPr>
              <w:t>行政规范性文件</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本机关制定的涉贫涉乡村振兴领域规范性文件。</w:t>
            </w:r>
          </w:p>
        </w:tc>
        <w:tc>
          <w:tcPr>
            <w:tcW w:w="2520" w:type="dxa"/>
            <w:vMerge w:val="continue"/>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1270" w:type="dxa"/>
            <w:vMerge w:val="continue"/>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r>
              <w:rPr>
                <w:rFonts w:hint="eastAsia" w:ascii="宋体" w:hAnsi="宋体" w:eastAsia="宋体" w:cs="宋体"/>
                <w:color w:val="000000"/>
                <w:sz w:val="22"/>
                <w:szCs w:val="22"/>
              </w:rPr>
              <w:t xml:space="preserve">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1077"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666" w:type="dxa"/>
            <w:vMerge w:val="continue"/>
            <w:tcBorders>
              <w:left w:val="nil"/>
              <w:right w:val="nil"/>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ascii="宋体" w:hAnsi="宋体" w:eastAsia="宋体" w:cs="宋体"/>
                <w:sz w:val="24"/>
                <w:szCs w:val="24"/>
              </w:rPr>
              <w:t>其他文件</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涉贫涉乡村振兴领域其他政策文件（可能是其他 行业部门牵头制定的）。</w:t>
            </w:r>
          </w:p>
        </w:tc>
        <w:tc>
          <w:tcPr>
            <w:tcW w:w="2520" w:type="dxa"/>
            <w:vMerge w:val="continue"/>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1270" w:type="dxa"/>
            <w:vMerge w:val="continue"/>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r>
              <w:rPr>
                <w:rFonts w:hint="eastAsia" w:ascii="宋体" w:hAnsi="宋体" w:eastAsia="宋体" w:cs="宋体"/>
                <w:color w:val="000000"/>
                <w:sz w:val="22"/>
                <w:szCs w:val="22"/>
              </w:rPr>
              <w:t xml:space="preserve">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2666"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val="en-US" w:eastAsia="zh-CN"/>
              </w:rPr>
              <w:t>4</w:t>
            </w:r>
          </w:p>
        </w:tc>
        <w:tc>
          <w:tcPr>
            <w:tcW w:w="666" w:type="dxa"/>
            <w:vMerge w:val="restart"/>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衔接资金及项目</w:t>
            </w:r>
          </w:p>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项目库建设</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经审定后的项目库，含项目名称、项目类别、建 设性质、实施地点、时间进度、责任单位、建设 任务、资金规模和筹资方式、受益对象、绩效目 标、利益联结机制等信息。</w:t>
            </w:r>
          </w:p>
        </w:tc>
        <w:tc>
          <w:tcPr>
            <w:tcW w:w="252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条目化展示、信息形成（变更）20 个工作日内。可 链接至区县乡村振兴局“政府信息公开”有关栏目， 但要保持数据同源。</w:t>
            </w:r>
          </w:p>
        </w:tc>
        <w:tc>
          <w:tcPr>
            <w:tcW w:w="127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区</w:t>
            </w:r>
            <w:r>
              <w:rPr>
                <w:rFonts w:hint="eastAsia" w:ascii="宋体" w:hAnsi="宋体" w:eastAsia="宋体" w:cs="宋体"/>
                <w:color w:val="000000"/>
                <w:sz w:val="22"/>
                <w:szCs w:val="22"/>
                <w:lang w:eastAsia="zh-CN"/>
              </w:rPr>
              <w:t>乡村振兴局</w:t>
            </w: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r>
              <w:rPr>
                <w:rFonts w:hint="eastAsia" w:ascii="宋体" w:hAnsi="宋体" w:eastAsia="宋体" w:cs="宋体"/>
                <w:color w:val="000000"/>
                <w:sz w:val="22"/>
                <w:szCs w:val="22"/>
              </w:rPr>
              <w:t xml:space="preserve">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bookmarkStart w:id="0" w:name="_GoBack"/>
            <w:bookmarkEnd w:id="0"/>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3029"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val="en-US" w:eastAsia="zh-CN"/>
              </w:rPr>
              <w:t>5</w:t>
            </w:r>
          </w:p>
        </w:tc>
        <w:tc>
          <w:tcPr>
            <w:tcW w:w="666" w:type="dxa"/>
            <w:vMerge w:val="continue"/>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年度计划</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衔接资金项目年度计划。</w:t>
            </w:r>
          </w:p>
        </w:tc>
        <w:tc>
          <w:tcPr>
            <w:tcW w:w="252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条目化展示、信息形成（变更）20 个工作日内。可 链接至区县乡村振兴局“政府信息公开”有关栏目， 但要保持数据同源。</w:t>
            </w:r>
          </w:p>
        </w:tc>
        <w:tc>
          <w:tcPr>
            <w:tcW w:w="127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区</w:t>
            </w:r>
            <w:r>
              <w:rPr>
                <w:rFonts w:hint="eastAsia" w:ascii="宋体" w:hAnsi="宋体" w:eastAsia="宋体" w:cs="宋体"/>
                <w:color w:val="000000"/>
                <w:sz w:val="22"/>
                <w:szCs w:val="22"/>
                <w:lang w:eastAsia="zh-CN"/>
              </w:rPr>
              <w:t>乡村振兴局</w:t>
            </w: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2704"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w:t>
            </w:r>
          </w:p>
        </w:tc>
        <w:tc>
          <w:tcPr>
            <w:tcW w:w="666" w:type="dxa"/>
            <w:vMerge w:val="continue"/>
            <w:tcBorders>
              <w:tl2br w:val="nil"/>
              <w:tr2bl w:val="nil"/>
            </w:tcBorders>
            <w:textDirection w:val="lrTb"/>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分配结果</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ascii="宋体" w:hAnsi="宋体" w:eastAsia="宋体" w:cs="宋体"/>
                <w:sz w:val="24"/>
                <w:szCs w:val="24"/>
              </w:rPr>
              <w:t>市级及区县衔接资金分配结果。</w:t>
            </w:r>
          </w:p>
        </w:tc>
        <w:tc>
          <w:tcPr>
            <w:tcW w:w="252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条目化展示、信息形成（变更）20 个工作日内。可 链接至区县乡村振兴局“政府信息公开”有关栏目， 但要保持数据同源。</w:t>
            </w:r>
          </w:p>
        </w:tc>
        <w:tc>
          <w:tcPr>
            <w:tcW w:w="127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区</w:t>
            </w:r>
            <w:r>
              <w:rPr>
                <w:rFonts w:hint="eastAsia" w:ascii="宋体" w:hAnsi="宋体" w:eastAsia="宋体" w:cs="宋体"/>
                <w:color w:val="000000"/>
                <w:sz w:val="22"/>
                <w:szCs w:val="22"/>
                <w:lang w:eastAsia="zh-CN"/>
              </w:rPr>
              <w:t>乡村振兴局</w:t>
            </w: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r>
              <w:rPr>
                <w:rFonts w:hint="eastAsia" w:ascii="宋体" w:hAnsi="宋体" w:eastAsia="宋体" w:cs="宋体"/>
                <w:color w:val="000000"/>
                <w:sz w:val="22"/>
                <w:szCs w:val="22"/>
              </w:rPr>
              <w:t xml:space="preserve">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2704"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w:t>
            </w:r>
          </w:p>
        </w:tc>
        <w:tc>
          <w:tcPr>
            <w:tcW w:w="666" w:type="dxa"/>
            <w:vMerge w:val="continue"/>
            <w:tcBorders>
              <w:tl2br w:val="nil"/>
              <w:tr2bl w:val="nil"/>
            </w:tcBorders>
            <w:textDirection w:val="lrTb"/>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年度计划完成情况</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ascii="宋体" w:hAnsi="宋体" w:eastAsia="宋体" w:cs="宋体"/>
                <w:sz w:val="24"/>
                <w:szCs w:val="24"/>
              </w:rPr>
              <w:t>资金计划完成情况（项目建设完成、资金使用、 绩效目标等）。</w:t>
            </w:r>
          </w:p>
        </w:tc>
        <w:tc>
          <w:tcPr>
            <w:tcW w:w="252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条目化展示、信息形成（变更）20 个工作日内。可 链接至区县乡村振兴局“政府信息公开”有关栏目， 但要保持数据同源。</w:t>
            </w:r>
          </w:p>
        </w:tc>
        <w:tc>
          <w:tcPr>
            <w:tcW w:w="127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区</w:t>
            </w:r>
            <w:r>
              <w:rPr>
                <w:rFonts w:hint="eastAsia" w:ascii="宋体" w:hAnsi="宋体" w:eastAsia="宋体" w:cs="宋体"/>
                <w:color w:val="000000"/>
                <w:sz w:val="22"/>
                <w:szCs w:val="22"/>
                <w:lang w:eastAsia="zh-CN"/>
              </w:rPr>
              <w:t>乡村振兴局</w:t>
            </w: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公开查阅点</w:t>
            </w:r>
          </w:p>
        </w:tc>
        <w:tc>
          <w:tcPr>
            <w:tcW w:w="472" w:type="dxa"/>
            <w:tcBorders>
              <w:tl2br w:val="nil"/>
              <w:tr2bl w:val="nil"/>
            </w:tcBorders>
            <w:textDirection w:val="lrTb"/>
            <w:vAlign w:val="center"/>
          </w:tcPr>
          <w:p>
            <w:pPr>
              <w:widowControl/>
              <w:wordWrap/>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textDirection w:val="lrTb"/>
            <w:vAlign w:val="center"/>
          </w:tcPr>
          <w:p>
            <w:pPr>
              <w:widowControl/>
              <w:wordWrap/>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textDirection w:val="lrTb"/>
            <w:vAlign w:val="center"/>
          </w:tcPr>
          <w:p>
            <w:pPr>
              <w:widowControl/>
              <w:wordWrap/>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textDirection w:val="lrTb"/>
            <w:vAlign w:val="center"/>
          </w:tcPr>
          <w:p>
            <w:pPr>
              <w:widowControl/>
              <w:wordWrap/>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textDirection w:val="lrTb"/>
            <w:vAlign w:val="center"/>
          </w:tcPr>
          <w:p>
            <w:pPr>
              <w:widowControl/>
              <w:wordWrap/>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textDirection w:val="lrTb"/>
            <w:vAlign w:val="center"/>
          </w:tcPr>
          <w:p>
            <w:pPr>
              <w:widowControl/>
              <w:wordWrap/>
              <w:adjustRightInd/>
              <w:snapToGrid w:val="0"/>
              <w:spacing w:line="240" w:lineRule="auto"/>
              <w:ind w:left="0" w:leftChars="0" w:right="0" w:rightChars="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23" w:type="dxa"/>
            <w:bottom w:w="0" w:type="dxa"/>
            <w:right w:w="23" w:type="dxa"/>
          </w:tblCellMar>
        </w:tblPrEx>
        <w:trPr>
          <w:trHeight w:val="2363" w:hRule="atLeast"/>
          <w:jc w:val="center"/>
        </w:trPr>
        <w:tc>
          <w:tcPr>
            <w:tcW w:w="487"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val="en-US" w:eastAsia="zh-CN"/>
              </w:rPr>
              <w:t>8</w:t>
            </w:r>
          </w:p>
        </w:tc>
        <w:tc>
          <w:tcPr>
            <w:tcW w:w="66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监督</w:t>
            </w:r>
            <w:r>
              <w:rPr>
                <w:rFonts w:hint="eastAsia" w:ascii="宋体" w:hAnsi="宋体" w:eastAsia="宋体" w:cs="宋体"/>
                <w:color w:val="000000"/>
                <w:sz w:val="22"/>
                <w:szCs w:val="22"/>
                <w:lang w:eastAsia="zh-CN"/>
              </w:rPr>
              <w:t>举报</w:t>
            </w:r>
          </w:p>
        </w:tc>
        <w:tc>
          <w:tcPr>
            <w:tcW w:w="731"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val="en-US" w:eastAsia="zh-CN"/>
              </w:rPr>
              <w:t>12345监督举报</w:t>
            </w:r>
          </w:p>
        </w:tc>
        <w:tc>
          <w:tcPr>
            <w:tcW w:w="2698"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ascii="宋体" w:hAnsi="宋体" w:eastAsia="宋体" w:cs="宋体"/>
                <w:sz w:val="24"/>
                <w:szCs w:val="24"/>
              </w:rPr>
              <w:t>区县行业主管部门监督电话+区县纪委监委监督 电话+12345 政务服务便民热线。</w:t>
            </w:r>
          </w:p>
        </w:tc>
        <w:tc>
          <w:tcPr>
            <w:tcW w:w="252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p>
        </w:tc>
        <w:tc>
          <w:tcPr>
            <w:tcW w:w="1270" w:type="dxa"/>
            <w:tcBorders>
              <w:tl2br w:val="nil"/>
              <w:tr2bl w:val="nil"/>
            </w:tcBorders>
            <w:vAlign w:val="center"/>
          </w:tcPr>
          <w:p>
            <w:pPr>
              <w:widowControl/>
              <w:wordWrap/>
              <w:adjustRightInd/>
              <w:snapToGrid w:val="0"/>
              <w:spacing w:line="240" w:lineRule="auto"/>
              <w:ind w:left="0" w:leftChars="0" w:right="0" w:firstLine="0" w:firstLineChars="0"/>
              <w:jc w:val="left"/>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区</w:t>
            </w:r>
            <w:r>
              <w:rPr>
                <w:rFonts w:hint="eastAsia" w:ascii="宋体" w:hAnsi="宋体" w:eastAsia="宋体" w:cs="宋体"/>
                <w:color w:val="000000"/>
                <w:sz w:val="22"/>
                <w:szCs w:val="22"/>
                <w:lang w:eastAsia="zh-CN"/>
              </w:rPr>
              <w:t>乡村振兴局</w:t>
            </w:r>
          </w:p>
        </w:tc>
        <w:tc>
          <w:tcPr>
            <w:tcW w:w="938"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政府网站、</w:t>
            </w:r>
            <w:r>
              <w:rPr>
                <w:rFonts w:hint="eastAsia" w:ascii="宋体" w:hAnsi="宋体" w:eastAsia="宋体" w:cs="宋体"/>
                <w:color w:val="000000"/>
                <w:sz w:val="22"/>
                <w:szCs w:val="22"/>
                <w:lang w:eastAsia="zh-CN"/>
              </w:rPr>
              <w:t xml:space="preserve">公开查阅点                 </w:t>
            </w:r>
            <w:r>
              <w:rPr>
                <w:rFonts w:hint="eastAsia" w:ascii="宋体" w:hAnsi="宋体" w:eastAsia="宋体" w:cs="宋体"/>
                <w:color w:val="000000"/>
                <w:sz w:val="22"/>
                <w:szCs w:val="22"/>
              </w:rPr>
              <w:t xml:space="preserve"> </w:t>
            </w:r>
          </w:p>
        </w:tc>
        <w:tc>
          <w:tcPr>
            <w:tcW w:w="47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94"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34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64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　</w:t>
            </w:r>
          </w:p>
        </w:tc>
        <w:tc>
          <w:tcPr>
            <w:tcW w:w="512"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476" w:type="dxa"/>
            <w:tcBorders>
              <w:tl2br w:val="nil"/>
              <w:tr2bl w:val="nil"/>
            </w:tcBorders>
            <w:vAlign w:val="center"/>
          </w:tcPr>
          <w:p>
            <w:pPr>
              <w:widowControl/>
              <w:wordWrap/>
              <w:adjustRightInd/>
              <w:snapToGrid w:val="0"/>
              <w:spacing w:line="240" w:lineRule="auto"/>
              <w:ind w:left="0" w:leftChars="0" w:right="0" w:firstLine="0" w:firstLineChars="0"/>
              <w:jc w:val="center"/>
              <w:textAlignment w:val="auto"/>
              <w:outlineLvl w:val="9"/>
              <w:rPr>
                <w:rFonts w:hint="eastAsia" w:ascii="宋体" w:hAnsi="宋体" w:eastAsia="宋体" w:cs="宋体"/>
                <w:color w:val="000000"/>
                <w:sz w:val="22"/>
                <w:szCs w:val="22"/>
              </w:rPr>
            </w:pPr>
          </w:p>
        </w:tc>
      </w:tr>
    </w:tbl>
    <w:p>
      <w:pPr>
        <w:overflowPunct w:val="0"/>
        <w:spacing w:line="700" w:lineRule="exact"/>
        <w:jc w:val="center"/>
        <w:rPr>
          <w:rFonts w:ascii="方正小标宋_GBK" w:hAnsi="Times New Roman" w:eastAsia="方正小标宋_GBK"/>
          <w:sz w:val="44"/>
          <w:szCs w:val="44"/>
        </w:rPr>
      </w:pPr>
    </w:p>
    <w:sectPr>
      <w:footerReference r:id="rId7" w:type="first"/>
      <w:headerReference r:id="rId3" w:type="default"/>
      <w:footerReference r:id="rId5" w:type="default"/>
      <w:headerReference r:id="rId4" w:type="even"/>
      <w:footerReference r:id="rId6" w:type="even"/>
      <w:pgSz w:w="16838" w:h="11906" w:orient="landscape"/>
      <w:pgMar w:top="1531" w:right="1531" w:bottom="1531" w:left="1531" w:header="851" w:footer="1191" w:gutter="0"/>
      <w:paperSrc/>
      <w:pgBorders>
        <w:top w:val="none" w:color="auto" w:sz="0" w:space="0"/>
        <w:left w:val="none" w:color="auto" w:sz="0" w:space="0"/>
        <w:bottom w:val="none" w:color="auto" w:sz="0" w:space="0"/>
        <w:right w:val="none" w:color="auto" w:sz="0" w:space="0"/>
      </w:pgBorders>
      <w:pgNumType w:fmt="numberInDash"/>
      <w:cols w:space="0" w:num="1"/>
      <w:titlePg/>
      <w:rtlGutter w:val="0"/>
      <w:docGrid w:linePitch="57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隶书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20" w:right="320"/>
      <w:jc w:val="right"/>
    </w:pPr>
    <w:r>
      <w:fldChar w:fldCharType="begin"/>
    </w:r>
    <w:r>
      <w:instrText xml:space="preserve">PAGE   \* MERGEFORMAT</w:instrText>
    </w:r>
    <w:r>
      <w:fldChar w:fldCharType="separate"/>
    </w:r>
    <w:r>
      <w:rPr>
        <w:lang w:val="zh-CN"/>
      </w:rPr>
      <w:t>-</w:t>
    </w:r>
    <w:r>
      <w:t xml:space="preserve"> 3 -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0" w:leftChars="0" w:right="320"/>
      <w:jc w:val="center"/>
    </w:pPr>
    <w:r>
      <w:fldChar w:fldCharType="begin"/>
    </w:r>
    <w:r>
      <w:instrText xml:space="preserve">PAGE   \* MERGEFORMAT</w:instrText>
    </w:r>
    <w:r>
      <w:fldChar w:fldCharType="separate"/>
    </w:r>
    <w:r>
      <w:rPr>
        <w:lang w:val="zh-CN"/>
      </w:rPr>
      <w:t>-</w:t>
    </w:r>
    <w:r>
      <w:t xml:space="preserve"> 2 -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20" w:right="320"/>
      <w:jc w:val="center"/>
    </w:pPr>
    <w:r>
      <w:fldChar w:fldCharType="begin"/>
    </w:r>
    <w:r>
      <w:instrText xml:space="preserve">PAGE   \* MERGEFORMAT</w:instrText>
    </w:r>
    <w:r>
      <w:fldChar w:fldCharType="separate"/>
    </w:r>
    <w:r>
      <w:rPr>
        <w:lang w:val="zh-CN"/>
      </w:rPr>
      <w:t>-</w:t>
    </w:r>
    <w:r>
      <w:t xml:space="preserve"> 1 -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val="0"/>
  <w:bordersDoNotSurroundFooter w:val="0"/>
  <w:documentProtection w:enforcement="0"/>
  <w:defaultTabStop w:val="420"/>
  <w:evenAndOddHeaders w:val="1"/>
  <w:drawingGridHorizontalSpacing w:val="320"/>
  <w:drawingGridVerticalSpacing w:val="28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026243"/>
    <w:rsid w:val="000509F0"/>
    <w:rsid w:val="0005616B"/>
    <w:rsid w:val="000A0D09"/>
    <w:rsid w:val="000A246C"/>
    <w:rsid w:val="000B718D"/>
    <w:rsid w:val="000C1929"/>
    <w:rsid w:val="000C593C"/>
    <w:rsid w:val="000F3BED"/>
    <w:rsid w:val="000F772C"/>
    <w:rsid w:val="001343EF"/>
    <w:rsid w:val="00140416"/>
    <w:rsid w:val="00172A27"/>
    <w:rsid w:val="001E6728"/>
    <w:rsid w:val="001E6A75"/>
    <w:rsid w:val="00244E5E"/>
    <w:rsid w:val="00247A48"/>
    <w:rsid w:val="002726C9"/>
    <w:rsid w:val="00274212"/>
    <w:rsid w:val="00282D5E"/>
    <w:rsid w:val="002A0C15"/>
    <w:rsid w:val="002D2437"/>
    <w:rsid w:val="002D7445"/>
    <w:rsid w:val="00314EDC"/>
    <w:rsid w:val="00320933"/>
    <w:rsid w:val="00323E18"/>
    <w:rsid w:val="00360E75"/>
    <w:rsid w:val="00373E73"/>
    <w:rsid w:val="003A0287"/>
    <w:rsid w:val="003C1661"/>
    <w:rsid w:val="003E7BAE"/>
    <w:rsid w:val="004211BA"/>
    <w:rsid w:val="00434CD9"/>
    <w:rsid w:val="00447DB0"/>
    <w:rsid w:val="004C7FB8"/>
    <w:rsid w:val="005321B7"/>
    <w:rsid w:val="00535C2E"/>
    <w:rsid w:val="00564422"/>
    <w:rsid w:val="00566A8C"/>
    <w:rsid w:val="00592B76"/>
    <w:rsid w:val="005B51C5"/>
    <w:rsid w:val="005C3603"/>
    <w:rsid w:val="005E08EA"/>
    <w:rsid w:val="005E6ED2"/>
    <w:rsid w:val="00630028"/>
    <w:rsid w:val="00637E0E"/>
    <w:rsid w:val="006535B9"/>
    <w:rsid w:val="00654450"/>
    <w:rsid w:val="00671205"/>
    <w:rsid w:val="006867EA"/>
    <w:rsid w:val="006D73F3"/>
    <w:rsid w:val="006F276D"/>
    <w:rsid w:val="00715938"/>
    <w:rsid w:val="00740E4C"/>
    <w:rsid w:val="00750AA2"/>
    <w:rsid w:val="00792F29"/>
    <w:rsid w:val="007948BD"/>
    <w:rsid w:val="007B035E"/>
    <w:rsid w:val="007C34F9"/>
    <w:rsid w:val="007D06FE"/>
    <w:rsid w:val="007D2598"/>
    <w:rsid w:val="008000C1"/>
    <w:rsid w:val="00812AE3"/>
    <w:rsid w:val="00821B73"/>
    <w:rsid w:val="008359AD"/>
    <w:rsid w:val="008418E7"/>
    <w:rsid w:val="00865638"/>
    <w:rsid w:val="00886164"/>
    <w:rsid w:val="00887982"/>
    <w:rsid w:val="008948AB"/>
    <w:rsid w:val="008A0049"/>
    <w:rsid w:val="008A56AE"/>
    <w:rsid w:val="008B47A8"/>
    <w:rsid w:val="008C3B50"/>
    <w:rsid w:val="008C4AD1"/>
    <w:rsid w:val="008D5902"/>
    <w:rsid w:val="00906830"/>
    <w:rsid w:val="00922C4D"/>
    <w:rsid w:val="00927BBF"/>
    <w:rsid w:val="00931F4D"/>
    <w:rsid w:val="0093718F"/>
    <w:rsid w:val="009548F3"/>
    <w:rsid w:val="00954DF6"/>
    <w:rsid w:val="00961454"/>
    <w:rsid w:val="00980818"/>
    <w:rsid w:val="009913FA"/>
    <w:rsid w:val="00994A91"/>
    <w:rsid w:val="009A3E49"/>
    <w:rsid w:val="009F0752"/>
    <w:rsid w:val="009F6660"/>
    <w:rsid w:val="00A03060"/>
    <w:rsid w:val="00A1079B"/>
    <w:rsid w:val="00A3679E"/>
    <w:rsid w:val="00A679D6"/>
    <w:rsid w:val="00AF484C"/>
    <w:rsid w:val="00AF7030"/>
    <w:rsid w:val="00B00724"/>
    <w:rsid w:val="00B206AC"/>
    <w:rsid w:val="00B346E1"/>
    <w:rsid w:val="00B376BB"/>
    <w:rsid w:val="00B54B26"/>
    <w:rsid w:val="00BA244C"/>
    <w:rsid w:val="00BA6AF3"/>
    <w:rsid w:val="00BB25E8"/>
    <w:rsid w:val="00BB5982"/>
    <w:rsid w:val="00BD1974"/>
    <w:rsid w:val="00BD34C5"/>
    <w:rsid w:val="00BF484B"/>
    <w:rsid w:val="00C21FCD"/>
    <w:rsid w:val="00C51AEB"/>
    <w:rsid w:val="00C5661C"/>
    <w:rsid w:val="00C609DB"/>
    <w:rsid w:val="00C64337"/>
    <w:rsid w:val="00C821CE"/>
    <w:rsid w:val="00C873D5"/>
    <w:rsid w:val="00C92571"/>
    <w:rsid w:val="00CB5E91"/>
    <w:rsid w:val="00CB7AAE"/>
    <w:rsid w:val="00CE1B48"/>
    <w:rsid w:val="00CF5776"/>
    <w:rsid w:val="00D04A6F"/>
    <w:rsid w:val="00D440A1"/>
    <w:rsid w:val="00DE2863"/>
    <w:rsid w:val="00DE543F"/>
    <w:rsid w:val="00E00536"/>
    <w:rsid w:val="00E15EB1"/>
    <w:rsid w:val="00E2660C"/>
    <w:rsid w:val="00E40A88"/>
    <w:rsid w:val="00E65204"/>
    <w:rsid w:val="00E819E1"/>
    <w:rsid w:val="00EB7483"/>
    <w:rsid w:val="00EC7A79"/>
    <w:rsid w:val="00ED7D66"/>
    <w:rsid w:val="00EF7B32"/>
    <w:rsid w:val="00EF7EA1"/>
    <w:rsid w:val="00F07898"/>
    <w:rsid w:val="00F10B75"/>
    <w:rsid w:val="00F169B4"/>
    <w:rsid w:val="00F32994"/>
    <w:rsid w:val="00F34839"/>
    <w:rsid w:val="00F578AB"/>
    <w:rsid w:val="00F90235"/>
    <w:rsid w:val="00FA6353"/>
    <w:rsid w:val="00FA6381"/>
    <w:rsid w:val="00FD2F59"/>
    <w:rsid w:val="00FE01ED"/>
    <w:rsid w:val="03D739E2"/>
    <w:rsid w:val="03F25F91"/>
    <w:rsid w:val="059D18D6"/>
    <w:rsid w:val="05F9628E"/>
    <w:rsid w:val="061832FE"/>
    <w:rsid w:val="07D212E2"/>
    <w:rsid w:val="083716F7"/>
    <w:rsid w:val="097D5245"/>
    <w:rsid w:val="09E24519"/>
    <w:rsid w:val="09FF1752"/>
    <w:rsid w:val="0A010D3A"/>
    <w:rsid w:val="0CD30F32"/>
    <w:rsid w:val="0EAB19C0"/>
    <w:rsid w:val="0ECA2278"/>
    <w:rsid w:val="0EF22D98"/>
    <w:rsid w:val="100D2856"/>
    <w:rsid w:val="12542EAD"/>
    <w:rsid w:val="1390379F"/>
    <w:rsid w:val="13D3327A"/>
    <w:rsid w:val="13E90A52"/>
    <w:rsid w:val="149245B2"/>
    <w:rsid w:val="14A12621"/>
    <w:rsid w:val="16475325"/>
    <w:rsid w:val="16F93CDA"/>
    <w:rsid w:val="184D11B0"/>
    <w:rsid w:val="188303E4"/>
    <w:rsid w:val="189E01C4"/>
    <w:rsid w:val="18C4303E"/>
    <w:rsid w:val="1906550E"/>
    <w:rsid w:val="192348A9"/>
    <w:rsid w:val="1933127E"/>
    <w:rsid w:val="19613E32"/>
    <w:rsid w:val="198915FA"/>
    <w:rsid w:val="19E535DD"/>
    <w:rsid w:val="1A394FB1"/>
    <w:rsid w:val="1BF77E5E"/>
    <w:rsid w:val="1C440819"/>
    <w:rsid w:val="1C765C9B"/>
    <w:rsid w:val="1CD1051D"/>
    <w:rsid w:val="1D055BD4"/>
    <w:rsid w:val="1D6C2127"/>
    <w:rsid w:val="1D6F5E5A"/>
    <w:rsid w:val="1D885683"/>
    <w:rsid w:val="1DE818C4"/>
    <w:rsid w:val="1ED3416D"/>
    <w:rsid w:val="21016A4D"/>
    <w:rsid w:val="216D37CF"/>
    <w:rsid w:val="21EE4BDD"/>
    <w:rsid w:val="2314429E"/>
    <w:rsid w:val="235C5FCD"/>
    <w:rsid w:val="23EA5B37"/>
    <w:rsid w:val="24D12B8E"/>
    <w:rsid w:val="274C2E6D"/>
    <w:rsid w:val="27586BA7"/>
    <w:rsid w:val="29310F6A"/>
    <w:rsid w:val="29992B59"/>
    <w:rsid w:val="29FC34A2"/>
    <w:rsid w:val="2B890973"/>
    <w:rsid w:val="2B9737AD"/>
    <w:rsid w:val="2B9A5307"/>
    <w:rsid w:val="2C0D5511"/>
    <w:rsid w:val="30274D43"/>
    <w:rsid w:val="32280560"/>
    <w:rsid w:val="334524C4"/>
    <w:rsid w:val="33B03B62"/>
    <w:rsid w:val="33C85E15"/>
    <w:rsid w:val="34051B74"/>
    <w:rsid w:val="35460058"/>
    <w:rsid w:val="36771768"/>
    <w:rsid w:val="369165DD"/>
    <w:rsid w:val="36DD0A4E"/>
    <w:rsid w:val="36F968D5"/>
    <w:rsid w:val="383D2A2C"/>
    <w:rsid w:val="39123CF3"/>
    <w:rsid w:val="3A732E27"/>
    <w:rsid w:val="3CF76C85"/>
    <w:rsid w:val="3E23748D"/>
    <w:rsid w:val="3F64223C"/>
    <w:rsid w:val="40111541"/>
    <w:rsid w:val="40531725"/>
    <w:rsid w:val="408F6952"/>
    <w:rsid w:val="40D347D9"/>
    <w:rsid w:val="40E113BA"/>
    <w:rsid w:val="41CA6EC6"/>
    <w:rsid w:val="428034B6"/>
    <w:rsid w:val="43073A88"/>
    <w:rsid w:val="463A045B"/>
    <w:rsid w:val="46993E69"/>
    <w:rsid w:val="46A664CE"/>
    <w:rsid w:val="475500DC"/>
    <w:rsid w:val="481D3EB8"/>
    <w:rsid w:val="49771BA7"/>
    <w:rsid w:val="4A084525"/>
    <w:rsid w:val="4A5F48E6"/>
    <w:rsid w:val="4AD67F97"/>
    <w:rsid w:val="4B257F44"/>
    <w:rsid w:val="4BC10D56"/>
    <w:rsid w:val="4BC44E13"/>
    <w:rsid w:val="4BC937A4"/>
    <w:rsid w:val="4BED7B71"/>
    <w:rsid w:val="4C8119D3"/>
    <w:rsid w:val="4CF952A6"/>
    <w:rsid w:val="4D797DCC"/>
    <w:rsid w:val="4E96478E"/>
    <w:rsid w:val="4F6951FA"/>
    <w:rsid w:val="50BD6E11"/>
    <w:rsid w:val="511C7A2F"/>
    <w:rsid w:val="512E3483"/>
    <w:rsid w:val="51702D78"/>
    <w:rsid w:val="51EF5CB4"/>
    <w:rsid w:val="52830BD7"/>
    <w:rsid w:val="52CE680A"/>
    <w:rsid w:val="53266312"/>
    <w:rsid w:val="53584664"/>
    <w:rsid w:val="53F249DC"/>
    <w:rsid w:val="56B21DFE"/>
    <w:rsid w:val="588239EA"/>
    <w:rsid w:val="59244F24"/>
    <w:rsid w:val="5B214ABE"/>
    <w:rsid w:val="5B8C5AF5"/>
    <w:rsid w:val="5C676772"/>
    <w:rsid w:val="5CA87E0A"/>
    <w:rsid w:val="5CCF7465"/>
    <w:rsid w:val="5D0224DC"/>
    <w:rsid w:val="5DF6739B"/>
    <w:rsid w:val="5ECA1E2F"/>
    <w:rsid w:val="5ED7141E"/>
    <w:rsid w:val="5F466E1D"/>
    <w:rsid w:val="601F78EC"/>
    <w:rsid w:val="604220E8"/>
    <w:rsid w:val="609158D9"/>
    <w:rsid w:val="61903044"/>
    <w:rsid w:val="621013F2"/>
    <w:rsid w:val="62964CD6"/>
    <w:rsid w:val="64EE2A9E"/>
    <w:rsid w:val="65083BF8"/>
    <w:rsid w:val="655C3128"/>
    <w:rsid w:val="657D4936"/>
    <w:rsid w:val="66A20C62"/>
    <w:rsid w:val="67323E54"/>
    <w:rsid w:val="692B3D88"/>
    <w:rsid w:val="69597CA4"/>
    <w:rsid w:val="69A85D95"/>
    <w:rsid w:val="6B92692A"/>
    <w:rsid w:val="6BBD2808"/>
    <w:rsid w:val="6C32272A"/>
    <w:rsid w:val="6D4A13F6"/>
    <w:rsid w:val="6DCB7FF2"/>
    <w:rsid w:val="6DF14E82"/>
    <w:rsid w:val="6E181BCC"/>
    <w:rsid w:val="6E7C6EB8"/>
    <w:rsid w:val="6E867001"/>
    <w:rsid w:val="6FBC3B53"/>
    <w:rsid w:val="70EA35D1"/>
    <w:rsid w:val="713A176B"/>
    <w:rsid w:val="71AC4FBD"/>
    <w:rsid w:val="7255794E"/>
    <w:rsid w:val="732137F6"/>
    <w:rsid w:val="74193740"/>
    <w:rsid w:val="742A1A4D"/>
    <w:rsid w:val="74F13835"/>
    <w:rsid w:val="75D53DBE"/>
    <w:rsid w:val="75EE1C44"/>
    <w:rsid w:val="76487413"/>
    <w:rsid w:val="77257CB9"/>
    <w:rsid w:val="772C623B"/>
    <w:rsid w:val="77BE7295"/>
    <w:rsid w:val="77D87094"/>
    <w:rsid w:val="788840EF"/>
    <w:rsid w:val="78BD36BD"/>
    <w:rsid w:val="78DB6E75"/>
    <w:rsid w:val="793031DC"/>
    <w:rsid w:val="797771A8"/>
    <w:rsid w:val="7A781255"/>
    <w:rsid w:val="7ACC1F70"/>
    <w:rsid w:val="7BB345F3"/>
    <w:rsid w:val="7D175061"/>
    <w:rsid w:val="7D666CD7"/>
    <w:rsid w:val="7D7642D5"/>
    <w:rsid w:val="7D7E1B1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方正仿宋_GBK" w:hAnsi="方正仿宋_GBK" w:eastAsia="方正仿宋_GBK" w:cs="Times New Roman"/>
      <w:sz w:val="32"/>
      <w:szCs w:val="24"/>
      <w:lang w:val="en-US" w:eastAsia="zh-CN" w:bidi="ar-SA"/>
    </w:rPr>
  </w:style>
  <w:style w:type="paragraph" w:styleId="2">
    <w:name w:val="heading 1"/>
    <w:basedOn w:val="1"/>
    <w:next w:val="1"/>
    <w:qFormat/>
    <w:uiPriority w:val="0"/>
    <w:pPr>
      <w:keepNext/>
      <w:keepLines/>
      <w:spacing w:line="580" w:lineRule="exact"/>
      <w:jc w:val="center"/>
      <w:outlineLvl w:val="0"/>
    </w:pPr>
    <w:rPr>
      <w:rFonts w:ascii="方正小标宋_GBK" w:eastAsia="方正小标宋_GBK"/>
      <w:bCs/>
      <w:sz w:val="44"/>
      <w:szCs w:val="44"/>
    </w:rPr>
  </w:style>
  <w:style w:type="paragraph" w:styleId="3">
    <w:name w:val="heading 2"/>
    <w:basedOn w:val="1"/>
    <w:next w:val="1"/>
    <w:qFormat/>
    <w:uiPriority w:val="0"/>
    <w:pPr>
      <w:ind w:firstLine="200" w:firstLineChars="200"/>
      <w:outlineLvl w:val="1"/>
    </w:pPr>
    <w:rPr>
      <w:rFonts w:ascii="黑体" w:hAnsi="Arial" w:eastAsia="黑体"/>
      <w:bCs/>
      <w:szCs w:val="32"/>
    </w:rPr>
  </w:style>
  <w:style w:type="paragraph" w:styleId="4">
    <w:name w:val="heading 3"/>
    <w:basedOn w:val="1"/>
    <w:next w:val="1"/>
    <w:qFormat/>
    <w:uiPriority w:val="0"/>
    <w:pPr>
      <w:ind w:firstLine="200" w:firstLineChars="200"/>
      <w:outlineLvl w:val="2"/>
    </w:pPr>
    <w:rPr>
      <w:rFonts w:ascii="方正楷体_GBK" w:eastAsia="方正楷体_GBK"/>
      <w:bCs/>
      <w:szCs w:val="32"/>
    </w:rPr>
  </w:style>
  <w:style w:type="character" w:default="1" w:styleId="11">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5">
    <w:name w:val="Plain Text"/>
    <w:basedOn w:val="1"/>
    <w:qFormat/>
    <w:uiPriority w:val="0"/>
    <w:pPr>
      <w:adjustRightInd/>
    </w:pPr>
    <w:rPr>
      <w:rFonts w:ascii="宋体" w:hAnsi="Courier New" w:eastAsia="宋体"/>
      <w:sz w:val="21"/>
      <w:szCs w:val="21"/>
    </w:rPr>
  </w:style>
  <w:style w:type="paragraph" w:styleId="6">
    <w:name w:val="Date"/>
    <w:basedOn w:val="1"/>
    <w:next w:val="1"/>
    <w:link w:val="26"/>
    <w:qFormat/>
    <w:uiPriority w:val="0"/>
    <w:pPr>
      <w:ind w:left="100" w:leftChars="2500"/>
    </w:pPr>
  </w:style>
  <w:style w:type="paragraph" w:styleId="7">
    <w:name w:val="Balloon Text"/>
    <w:basedOn w:val="1"/>
    <w:link w:val="28"/>
    <w:qFormat/>
    <w:uiPriority w:val="0"/>
    <w:rPr>
      <w:sz w:val="18"/>
      <w:szCs w:val="18"/>
    </w:rPr>
  </w:style>
  <w:style w:type="paragraph" w:styleId="8">
    <w:name w:val="footer"/>
    <w:basedOn w:val="1"/>
    <w:link w:val="27"/>
    <w:qFormat/>
    <w:uiPriority w:val="99"/>
    <w:pPr>
      <w:tabs>
        <w:tab w:val="center" w:pos="4153"/>
        <w:tab w:val="right" w:pos="8306"/>
      </w:tabs>
      <w:snapToGrid w:val="0"/>
      <w:ind w:left="100" w:leftChars="100" w:right="100" w:rightChars="100"/>
    </w:pPr>
    <w:rPr>
      <w:rFonts w:ascii="宋体" w:eastAsia="宋体"/>
      <w:sz w:val="2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sz w:val="24"/>
      <w:szCs w:val="20"/>
    </w:rPr>
  </w:style>
  <w:style w:type="character" w:styleId="12">
    <w:name w:val="Strong"/>
    <w:qFormat/>
    <w:uiPriority w:val="0"/>
    <w:rPr>
      <w:rFonts w:ascii="方正楷体_GBK" w:hAnsi="Verdana" w:eastAsia="方正楷体_GBK"/>
      <w:bCs/>
      <w:kern w:val="0"/>
      <w:sz w:val="32"/>
      <w:szCs w:val="20"/>
      <w:lang w:eastAsia="en-US"/>
    </w:rPr>
  </w:style>
  <w:style w:type="character" w:styleId="13">
    <w:name w:val="page number"/>
    <w:qFormat/>
    <w:uiPriority w:val="0"/>
    <w:rPr>
      <w:rFonts w:ascii="宋体" w:hAnsi="Verdana" w:eastAsia="宋体"/>
      <w:kern w:val="0"/>
      <w:sz w:val="28"/>
      <w:szCs w:val="20"/>
      <w:lang w:eastAsia="en-US"/>
    </w:rPr>
  </w:style>
  <w:style w:type="character" w:styleId="14">
    <w:name w:val="Hyperlink"/>
    <w:qFormat/>
    <w:uiPriority w:val="0"/>
    <w:rPr>
      <w:rFonts w:ascii="Verdana" w:hAnsi="Verdana" w:eastAsia="仿宋_GB2312"/>
      <w:color w:val="333333"/>
      <w:sz w:val="24"/>
      <w:szCs w:val="20"/>
      <w:u w:val="none"/>
      <w:lang w:eastAsia="en-US"/>
    </w:rPr>
  </w:style>
  <w:style w:type="table" w:styleId="16">
    <w:name w:val="Table Grid"/>
    <w:basedOn w:val="1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18">
    <w:name w:val="Char Char1 Char"/>
    <w:basedOn w:val="1"/>
    <w:qFormat/>
    <w:uiPriority w:val="0"/>
    <w:pPr>
      <w:widowControl/>
      <w:spacing w:after="160" w:line="240" w:lineRule="exact"/>
      <w:jc w:val="left"/>
    </w:pPr>
  </w:style>
  <w:style w:type="paragraph" w:customStyle="1" w:styleId="19">
    <w:name w:val="默认段落字体 Para Char Char Char Char Char Char Char Char Char Char Char Char"/>
    <w:basedOn w:val="1"/>
    <w:qFormat/>
    <w:uiPriority w:val="0"/>
    <w:pPr>
      <w:tabs>
        <w:tab w:val="right" w:pos="-2120"/>
      </w:tabs>
      <w:adjustRightInd/>
      <w:snapToGrid w:val="0"/>
    </w:pPr>
    <w:rPr>
      <w:rFonts w:ascii="Times New Roman" w:hAnsi="Times New Roman" w:eastAsia="宋体"/>
      <w:kern w:val="2"/>
      <w:sz w:val="21"/>
    </w:rPr>
  </w:style>
  <w:style w:type="paragraph" w:customStyle="1" w:styleId="20">
    <w:name w:val="默认段落字体 Para Char Char Char Char Char Char Char Char Char Char"/>
    <w:basedOn w:val="1"/>
    <w:qFormat/>
    <w:uiPriority w:val="0"/>
    <w:pPr>
      <w:adjustRightInd/>
    </w:pPr>
    <w:rPr>
      <w:rFonts w:ascii="Arial" w:hAnsi="Arial" w:cs="Arial"/>
      <w:kern w:val="2"/>
      <w:sz w:val="20"/>
      <w:szCs w:val="20"/>
    </w:rPr>
  </w:style>
  <w:style w:type="paragraph" w:customStyle="1" w:styleId="21">
    <w:name w:val="Char Char Char Char Char Char Char Char Char Char Char Char Char Char Char Char"/>
    <w:basedOn w:val="1"/>
    <w:qFormat/>
    <w:uiPriority w:val="0"/>
    <w:pPr>
      <w:widowControl/>
      <w:adjustRightInd/>
      <w:spacing w:after="160" w:line="240" w:lineRule="exact"/>
      <w:jc w:val="left"/>
    </w:pPr>
    <w:rPr>
      <w:rFonts w:ascii="Verdana" w:hAnsi="Verdana" w:eastAsia="仿宋_GB2312"/>
      <w:sz w:val="30"/>
      <w:szCs w:val="30"/>
      <w:lang w:eastAsia="en-US"/>
    </w:rPr>
  </w:style>
  <w:style w:type="paragraph" w:customStyle="1" w:styleId="22">
    <w:name w:val="默认段落字体 Para Char"/>
    <w:basedOn w:val="1"/>
    <w:qFormat/>
    <w:uiPriority w:val="0"/>
    <w:pPr>
      <w:adjustRightInd/>
    </w:pPr>
  </w:style>
  <w:style w:type="paragraph" w:customStyle="1" w:styleId="23">
    <w:name w:val="Char Char Char Char Char Char Char Char Char Char Char Char Char Char Char Char Char Char Char Char Char Char"/>
    <w:basedOn w:val="1"/>
    <w:qFormat/>
    <w:uiPriority w:val="0"/>
    <w:pPr>
      <w:adjustRightInd/>
    </w:pPr>
    <w:rPr>
      <w:rFonts w:ascii="宋体" w:hAnsi="宋体" w:eastAsia="宋体" w:cs="Courier New"/>
      <w:kern w:val="2"/>
      <w:szCs w:val="32"/>
    </w:rPr>
  </w:style>
  <w:style w:type="paragraph" w:customStyle="1" w:styleId="24">
    <w:name w:val="Char Char Char Char Char Char Char"/>
    <w:basedOn w:val="1"/>
    <w:qFormat/>
    <w:uiPriority w:val="0"/>
    <w:pPr>
      <w:widowControl/>
      <w:adjustRightInd/>
      <w:spacing w:after="160" w:line="240" w:lineRule="exact"/>
      <w:jc w:val="left"/>
    </w:pPr>
    <w:rPr>
      <w:rFonts w:ascii="Verdana" w:hAnsi="Verdana" w:eastAsia="仿宋_GB2312"/>
      <w:sz w:val="24"/>
      <w:szCs w:val="20"/>
      <w:lang w:eastAsia="en-US"/>
    </w:rPr>
  </w:style>
  <w:style w:type="paragraph" w:customStyle="1" w:styleId="25">
    <w:name w:val="Char Char Char Char Char Char"/>
    <w:basedOn w:val="1"/>
    <w:qFormat/>
    <w:uiPriority w:val="0"/>
    <w:pPr>
      <w:spacing w:line="360" w:lineRule="auto"/>
      <w:ind w:firstLine="200" w:firstLineChars="200"/>
    </w:pPr>
    <w:rPr>
      <w:rFonts w:ascii="宋体" w:hAnsi="宋体" w:cs="宋体"/>
      <w:sz w:val="24"/>
    </w:rPr>
  </w:style>
  <w:style w:type="character" w:customStyle="1" w:styleId="26">
    <w:name w:val="日期 Char"/>
    <w:link w:val="6"/>
    <w:qFormat/>
    <w:uiPriority w:val="0"/>
    <w:rPr>
      <w:rFonts w:ascii="方正仿宋_GBK" w:hAnsi="方正仿宋_GBK" w:eastAsia="方正仿宋_GBK"/>
      <w:sz w:val="32"/>
      <w:szCs w:val="24"/>
      <w:lang w:eastAsia="en-US"/>
    </w:rPr>
  </w:style>
  <w:style w:type="character" w:customStyle="1" w:styleId="27">
    <w:name w:val="页脚 Char"/>
    <w:link w:val="8"/>
    <w:qFormat/>
    <w:uiPriority w:val="99"/>
    <w:rPr>
      <w:rFonts w:ascii="宋体" w:hAnsi="方正仿宋_GBK"/>
      <w:sz w:val="28"/>
      <w:szCs w:val="18"/>
    </w:rPr>
  </w:style>
  <w:style w:type="character" w:customStyle="1" w:styleId="28">
    <w:name w:val="批注框文本 Char"/>
    <w:link w:val="7"/>
    <w:qFormat/>
    <w:uiPriority w:val="0"/>
    <w:rPr>
      <w:rFonts w:ascii="方正仿宋_GBK" w:hAnsi="方正仿宋_GBK" w:eastAsia="方正仿宋_GBK"/>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625</Words>
  <Characters>3569</Characters>
  <Lines>29</Lines>
  <Paragraphs>8</Paragraphs>
  <ScaleCrop>false</ScaleCrop>
  <LinksUpToDate>false</LinksUpToDate>
  <CharactersWithSpaces>0</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2020-09-09T07:44:00Z</dcterms:created>
  <dc:creator>Administrator</dc:creator>
  <cp:lastModifiedBy>Administrator</cp:lastModifiedBy>
  <cp:lastPrinted>2020-09-15T02:33:00Z</cp:lastPrinted>
  <dcterms:modified xsi:type="dcterms:W3CDTF">2023-08-10T02:13:52Z</dcterms:modified>
  <dc:title>重庆市万盛经济技术经开区管委会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KSOVERCOUNTS">
    <vt:lpwstr>20</vt:lpwstr>
  </property>
  <property fmtid="{D5CDD505-2E9C-101B-9397-08002B2CF9AE}" pid="4" name="KSOVERGUID">
    <vt:lpwstr>86e7d1b9da56517fb3ea6bd64dbf9d5c|5b23f810ffdfd90967b10041d2adf045</vt:lpwstr>
  </property>
</Properties>
</file>