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text" w:horzAnchor="page" w:tblpX="329" w:tblpY="235"/>
        <w:tblOverlap w:val="never"/>
        <w:tblW w:w="16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8"/>
        <w:gridCol w:w="1461"/>
        <w:gridCol w:w="1666"/>
        <w:gridCol w:w="667"/>
        <w:gridCol w:w="750"/>
        <w:gridCol w:w="567"/>
        <w:gridCol w:w="1716"/>
        <w:gridCol w:w="1084"/>
        <w:gridCol w:w="650"/>
        <w:gridCol w:w="1083"/>
        <w:gridCol w:w="3017"/>
        <w:gridCol w:w="2283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16200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0"/>
                <w:szCs w:val="30"/>
                <w:lang w:val="en-US" w:eastAsia="zh-CN"/>
              </w:rPr>
              <w:t>2022年下半年农牧公司公开招聘控制数人员岗位情况一览表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招聘名额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职位描述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（学位）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现代农业及畜牧业管委会</w:t>
            </w:r>
          </w:p>
        </w:tc>
        <w:tc>
          <w:tcPr>
            <w:tcW w:w="1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重庆荣昌农牧科技集团有限公司</w:t>
            </w:r>
          </w:p>
        </w:tc>
        <w:tc>
          <w:tcPr>
            <w:tcW w:w="6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国有企业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法务审计岗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本科及以上学历并取得相应学位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01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限重庆市荣昌区籍贯的2022届普通高校毕业生报考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现代农业及畜牧业管委会</w:t>
            </w:r>
          </w:p>
        </w:tc>
        <w:tc>
          <w:tcPr>
            <w:tcW w:w="1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重庆荣昌农牧科技集团有限公司</w:t>
            </w:r>
          </w:p>
        </w:tc>
        <w:tc>
          <w:tcPr>
            <w:tcW w:w="6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国有企业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投融资岗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本科及以上学历并取得相应学位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金融学类</w:t>
            </w:r>
          </w:p>
        </w:tc>
        <w:tc>
          <w:tcPr>
            <w:tcW w:w="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3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现代农业及畜牧业管委会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重庆荣昌农牧科技集团有限公司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国有企业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BFBFBF" w:themeColor="background1" w:themeShade="B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会计岗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本科及以上学历并取得相应学位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现代农业及畜牧业管委会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重庆荣昌农牧科技集团有限公司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国有企业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市场营销岗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工商管理类、经济与贸易类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现代农业及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畜牧业管委会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重庆荣昌农牧科技集团有限公司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国有企业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畜牧兽医岗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动物医学类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rPr>
          <w:rFonts w:hint="eastAsia" w:eastAsia="宋体"/>
          <w:color w:val="auto"/>
          <w:lang w:eastAsia="zh-CN"/>
        </w:rPr>
        <w:sectPr>
          <w:footerReference r:id="rId5" w:type="default"/>
          <w:footnotePr>
            <w:numFmt w:val="decimal"/>
          </w:footnotePr>
          <w:pgSz w:w="16840" w:h="11900" w:orient="landscape"/>
          <w:pgMar w:top="739" w:right="450" w:bottom="739" w:left="457" w:header="311" w:footer="3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荣昌农牧科技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集团有限公司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2022年下半年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公开招聘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控制数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工作人员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报名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表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left"/>
        <w:rPr>
          <w:rFonts w:hint="eastAsia" w:ascii="方正黑体_GBK" w:hAnsi="Verdana" w:eastAsia="方正黑体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报考单位：                 </w:t>
      </w:r>
      <w:r>
        <w:rPr>
          <w:rFonts w:hint="eastAsia" w:ascii="方正仿宋_GBK" w:hAnsi="宋体" w:eastAsia="方正仿宋_GBK" w:cs="宋体"/>
          <w:kern w:val="0"/>
          <w:sz w:val="24"/>
          <w:lang w:val="en-US" w:eastAsia="zh-CN"/>
        </w:rPr>
        <w:t xml:space="preserve">                            </w:t>
      </w:r>
      <w:r>
        <w:rPr>
          <w:rFonts w:hint="eastAsia" w:ascii="方正仿宋_GBK" w:hAnsi="宋体" w:eastAsia="方正仿宋_GBK" w:cs="宋体"/>
          <w:kern w:val="0"/>
          <w:sz w:val="24"/>
        </w:rPr>
        <w:t xml:space="preserve">             报考岗位：</w:t>
      </w:r>
    </w:p>
    <w:tbl>
      <w:tblPr>
        <w:tblStyle w:val="6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992"/>
        <w:gridCol w:w="1134"/>
        <w:gridCol w:w="1134"/>
        <w:gridCol w:w="1642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照片（1寸近期免冠彩照）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（应与毕业证上专业一字不差）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（高中及以后学历和工作经历）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诚信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本人自愿参加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重庆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val="en-US" w:eastAsia="zh-CN"/>
              </w:rPr>
              <w:t>荣昌农牧科技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  <w:lang w:eastAsia="zh-CN"/>
              </w:rPr>
              <w:t>集团有限公司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公开招聘，并郑重承诺：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5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1.本人已认真阅读并理解了《简章》中的所有规定和要求，保证严格遵守招聘的各项规定，诚实守信，严守纪律，按要求参加招聘。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5"/>
              <w:jc w:val="left"/>
              <w:textAlignment w:val="auto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简章》规定或违反招聘纪律规定，自愿取消此次聘用资格，由此造成的一切后果概由本人承担。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20" w:lineRule="exact"/>
              <w:ind w:left="5954" w:leftChars="2031" w:hanging="1080" w:hangingChars="450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单位负责人签字（盖章）：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审查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审查意见：                               经办人（签字）：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                                   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注：1. 本表适用于所有考生，请如实填写；</w:t>
      </w:r>
    </w:p>
    <w:p>
      <w:pPr>
        <w:widowControl/>
        <w:spacing w:line="240" w:lineRule="exact"/>
        <w:ind w:firstLine="48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2. 报考单位、报考岗位须按照《简章》岗位情况一览表填写；</w:t>
      </w:r>
    </w:p>
    <w:p>
      <w:pPr>
        <w:widowControl/>
        <w:spacing w:line="240" w:lineRule="exact"/>
        <w:ind w:firstLine="48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3. 考生须在“诚信承诺”栏由本人亲笔签名；</w:t>
      </w:r>
    </w:p>
    <w:p>
      <w:pPr>
        <w:widowControl/>
        <w:spacing w:line="240" w:lineRule="exact"/>
        <w:ind w:firstLine="48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4. 考生如系机关事业单位工作人员或国有企业控制数内工作人员，还须征求具有人事管理权限的</w:t>
      </w:r>
      <w:r>
        <w:rPr>
          <w:rFonts w:hint="eastAsia" w:ascii="方正仿宋_GBK" w:eastAsia="方正仿宋_GBK"/>
          <w:szCs w:val="21"/>
        </w:rPr>
        <w:t>主管部门</w:t>
      </w:r>
      <w:r>
        <w:rPr>
          <w:rFonts w:hint="eastAsia" w:ascii="方正仿宋_GBK" w:hAnsi="宋体" w:eastAsia="方正仿宋_GBK" w:cs="宋体"/>
          <w:kern w:val="0"/>
          <w:szCs w:val="21"/>
        </w:rPr>
        <w:t>意见并加盖公章。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eastAsia="zh-CN"/>
        </w:rPr>
        <w:sectPr>
          <w:footnotePr>
            <w:numFmt w:val="decimal"/>
          </w:footnotePr>
          <w:pgSz w:w="11900" w:h="16840"/>
          <w:pgMar w:top="450" w:right="739" w:bottom="457" w:left="739" w:header="311" w:footer="3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6"/>
        <w:tblW w:w="12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970"/>
        <w:gridCol w:w="3406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eastAsia="zh-CN"/>
        </w:rPr>
      </w:pPr>
    </w:p>
    <w:sectPr>
      <w:footerReference r:id="rId6" w:type="default"/>
      <w:footerReference r:id="rId7" w:type="even"/>
      <w:pgSz w:w="16838" w:h="11906" w:orient="landscape"/>
      <w:pgMar w:top="1588" w:right="2098" w:bottom="1474" w:left="1985" w:header="170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t>－</w:t>
    </w:r>
    <w:r>
      <w:rPr>
        <w:rFonts w:hint="eastAsia" w:asciiTheme="minorEastAsia" w:hAnsiTheme="minorEastAsia" w:eastAsiaTheme="minorEastAsia" w:cstheme="minorEastAsia"/>
        <w:sz w:val="28"/>
        <w:szCs w:val="44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44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44"/>
        <w:lang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44"/>
        <w:lang w:val="en-US" w:eastAsia="zh-CN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zRhOWI3ZjVjMjIzYzA5NGM4NDc3MTBkNjZjNGYyMDMifQ=="/>
  </w:docVars>
  <w:rsids>
    <w:rsidRoot w:val="00172A27"/>
    <w:rsid w:val="01633F38"/>
    <w:rsid w:val="041803D4"/>
    <w:rsid w:val="059C4FBC"/>
    <w:rsid w:val="07E26ADF"/>
    <w:rsid w:val="084E3C10"/>
    <w:rsid w:val="09221F46"/>
    <w:rsid w:val="0B155C45"/>
    <w:rsid w:val="0B8E6E70"/>
    <w:rsid w:val="0C6F7F08"/>
    <w:rsid w:val="0D0B50C6"/>
    <w:rsid w:val="0D3A53A3"/>
    <w:rsid w:val="0D3D1A44"/>
    <w:rsid w:val="0F063D0C"/>
    <w:rsid w:val="0FDA3128"/>
    <w:rsid w:val="11FF0D07"/>
    <w:rsid w:val="12362866"/>
    <w:rsid w:val="173619DD"/>
    <w:rsid w:val="1B965255"/>
    <w:rsid w:val="25DC5053"/>
    <w:rsid w:val="25EE2A74"/>
    <w:rsid w:val="27CC2A8F"/>
    <w:rsid w:val="29377A56"/>
    <w:rsid w:val="2ABA2F0D"/>
    <w:rsid w:val="2E7352B3"/>
    <w:rsid w:val="2FC8743B"/>
    <w:rsid w:val="30A204D3"/>
    <w:rsid w:val="316A7678"/>
    <w:rsid w:val="32F42CE3"/>
    <w:rsid w:val="338B1AC9"/>
    <w:rsid w:val="338F6972"/>
    <w:rsid w:val="33EA6468"/>
    <w:rsid w:val="370D3807"/>
    <w:rsid w:val="372244B2"/>
    <w:rsid w:val="38A722E3"/>
    <w:rsid w:val="3A843C1B"/>
    <w:rsid w:val="3ABC5869"/>
    <w:rsid w:val="3AC516DD"/>
    <w:rsid w:val="3BFB7CBF"/>
    <w:rsid w:val="3CD9470D"/>
    <w:rsid w:val="3DD1395F"/>
    <w:rsid w:val="3E0B6E71"/>
    <w:rsid w:val="400C74CD"/>
    <w:rsid w:val="424F535E"/>
    <w:rsid w:val="42955FE8"/>
    <w:rsid w:val="42E501E2"/>
    <w:rsid w:val="43757D78"/>
    <w:rsid w:val="45BF01E9"/>
    <w:rsid w:val="467D0C4D"/>
    <w:rsid w:val="46E85F45"/>
    <w:rsid w:val="482014C5"/>
    <w:rsid w:val="4B1D4C41"/>
    <w:rsid w:val="4B36116F"/>
    <w:rsid w:val="4B9C20A2"/>
    <w:rsid w:val="4BF8219C"/>
    <w:rsid w:val="4F106461"/>
    <w:rsid w:val="51A346BB"/>
    <w:rsid w:val="520E1710"/>
    <w:rsid w:val="532D05D4"/>
    <w:rsid w:val="53B15D62"/>
    <w:rsid w:val="58124E41"/>
    <w:rsid w:val="5D113EDB"/>
    <w:rsid w:val="5E7A79CF"/>
    <w:rsid w:val="5E8A4DBB"/>
    <w:rsid w:val="5F553F98"/>
    <w:rsid w:val="5FF303C6"/>
    <w:rsid w:val="60125B03"/>
    <w:rsid w:val="63B82D47"/>
    <w:rsid w:val="65D624D9"/>
    <w:rsid w:val="65FD1390"/>
    <w:rsid w:val="667016B7"/>
    <w:rsid w:val="673D6829"/>
    <w:rsid w:val="68262418"/>
    <w:rsid w:val="68324C48"/>
    <w:rsid w:val="68A5292C"/>
    <w:rsid w:val="690A415D"/>
    <w:rsid w:val="6AE63EB8"/>
    <w:rsid w:val="6B1E4ED9"/>
    <w:rsid w:val="6B6967C8"/>
    <w:rsid w:val="6BA02A84"/>
    <w:rsid w:val="6BA85D88"/>
    <w:rsid w:val="6C2E1066"/>
    <w:rsid w:val="6C527E90"/>
    <w:rsid w:val="6D8F24A9"/>
    <w:rsid w:val="6F662488"/>
    <w:rsid w:val="6F6E7ABA"/>
    <w:rsid w:val="71023A8A"/>
    <w:rsid w:val="73E03AAA"/>
    <w:rsid w:val="752F0953"/>
    <w:rsid w:val="75E5289B"/>
    <w:rsid w:val="771F6F0D"/>
    <w:rsid w:val="786B1D80"/>
    <w:rsid w:val="7A2F56B9"/>
    <w:rsid w:val="7AF10BC1"/>
    <w:rsid w:val="7B6E3FBF"/>
    <w:rsid w:val="7BC04990"/>
    <w:rsid w:val="7C275B48"/>
    <w:rsid w:val="7C523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Heading #1|1_"/>
    <w:basedOn w:val="7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480" w:line="598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7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Body text|1_"/>
    <w:basedOn w:val="7"/>
    <w:link w:val="1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7"/>
    <w:link w:val="16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line="605" w:lineRule="exact"/>
      <w:ind w:firstLine="6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7">
    <w:name w:val="Body text|4_"/>
    <w:basedOn w:val="7"/>
    <w:link w:val="18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Body text|4"/>
    <w:basedOn w:val="1"/>
    <w:link w:val="17"/>
    <w:qFormat/>
    <w:uiPriority w:val="0"/>
    <w:pPr>
      <w:widowControl w:val="0"/>
      <w:shd w:val="clear" w:color="auto" w:fill="auto"/>
      <w:spacing w:after="8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9">
    <w:name w:val="Header or footer|1_"/>
    <w:basedOn w:val="7"/>
    <w:link w:val="2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7"/>
    <w:link w:val="22"/>
    <w:qFormat/>
    <w:uiPriority w:val="0"/>
    <w:rPr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  <w:ind w:right="580"/>
      <w:jc w:val="right"/>
    </w:pPr>
    <w:rPr>
      <w:sz w:val="8"/>
      <w:szCs w:val="8"/>
      <w:u w:val="none"/>
      <w:shd w:val="clear" w:color="auto" w:fill="auto"/>
      <w:lang w:val="zh-TW" w:eastAsia="zh-TW" w:bidi="zh-TW"/>
    </w:rPr>
  </w:style>
  <w:style w:type="character" w:customStyle="1" w:styleId="23">
    <w:name w:val="Other|1_"/>
    <w:basedOn w:val="7"/>
    <w:link w:val="2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5">
    <w:name w:val="Other|2_"/>
    <w:basedOn w:val="7"/>
    <w:link w:val="26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6">
    <w:name w:val="Other|2"/>
    <w:basedOn w:val="1"/>
    <w:link w:val="25"/>
    <w:qFormat/>
    <w:uiPriority w:val="0"/>
    <w:pPr>
      <w:widowControl w:val="0"/>
      <w:shd w:val="clear" w:color="auto" w:fill="auto"/>
      <w:ind w:firstLine="3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7">
    <w:name w:val="标题 2 Char"/>
    <w:basedOn w:val="7"/>
    <w:link w:val="3"/>
    <w:semiHidden/>
    <w:qFormat/>
    <w:uiPriority w:val="99"/>
    <w:rPr>
      <w:rFonts w:ascii="Arial" w:hAnsi="Arial" w:eastAsia="黑体"/>
      <w:b/>
      <w:bCs/>
      <w:sz w:val="32"/>
      <w:szCs w:val="32"/>
    </w:rPr>
  </w:style>
  <w:style w:type="character" w:customStyle="1" w:styleId="28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0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1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21690</Words>
  <Characters>21718</Characters>
  <Lines>0</Lines>
  <Paragraphs>0</Paragraphs>
  <TotalTime>6</TotalTime>
  <ScaleCrop>false</ScaleCrop>
  <LinksUpToDate>false</LinksUpToDate>
  <CharactersWithSpaces>22112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2021-12-22T10:30:00Z</dcterms:created>
  <dc:creator>User</dc:creator>
  <cp:lastModifiedBy>WPS_1478759197</cp:lastModifiedBy>
  <cp:lastPrinted>2022-11-01T07:21:53Z</cp:lastPrinted>
  <dcterms:modified xsi:type="dcterms:W3CDTF">2022-11-01T07:26:33Z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B413198F7A3447FAB4479C1000BB5B46</vt:lpwstr>
  </property>
</Properties>
</file>