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100" w:beforeAutospacing="1" w:after="100" w:afterAutospacing="1"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Style w:val="5"/>
          <w:rFonts w:hint="eastAsia" w:ascii="方正小标宋_GBK" w:hAnsi="方正小标宋_GBK" w:eastAsia="方正小标宋_GBK" w:cs="方正小标宋_GBK"/>
          <w:sz w:val="44"/>
          <w:szCs w:val="44"/>
        </w:rPr>
        <w:t>重庆市荣昌区司法局</w:t>
      </w:r>
      <w:r>
        <w:rPr>
          <w:rFonts w:hint="eastAsia" w:ascii="方正小标宋_GBK" w:hAnsi="方正小标宋_GBK" w:eastAsia="方正小标宋_GBK" w:cs="方正小标宋_GBK"/>
          <w:b/>
          <w:bCs/>
          <w:sz w:val="44"/>
          <w:szCs w:val="44"/>
        </w:rPr>
        <w:br w:type="textWrapping"/>
      </w:r>
      <w:r>
        <w:rPr>
          <w:rStyle w:val="5"/>
          <w:rFonts w:hint="eastAsia" w:ascii="方正小标宋_GBK" w:hAnsi="方正小标宋_GBK" w:eastAsia="方正小标宋_GBK" w:cs="方正小标宋_GBK"/>
          <w:sz w:val="44"/>
          <w:szCs w:val="44"/>
        </w:rPr>
        <w:t>2017年部门决算情况说明</w:t>
      </w:r>
    </w:p>
    <w:p>
      <w:pPr>
        <w:pStyle w:val="2"/>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line="560" w:lineRule="exact"/>
        <w:ind w:left="0" w:leftChars="0" w:right="0" w:rightChars="0"/>
        <w:jc w:val="left"/>
        <w:textAlignment w:val="auto"/>
        <w:outlineLvl w:val="9"/>
        <w:rPr>
          <w:rStyle w:val="5"/>
          <w:rFonts w:hint="eastAsia" w:ascii="方正楷体_GBK" w:hAnsi="方正楷体_GBK" w:eastAsia="方正楷体_GBK" w:cs="方正楷体_GBK"/>
          <w:sz w:val="32"/>
          <w:szCs w:val="32"/>
          <w:lang w:val="en-US" w:eastAsia="zh-CN"/>
        </w:rPr>
      </w:pPr>
      <w:r>
        <w:rPr>
          <w:rStyle w:val="5"/>
          <w:rFonts w:hint="eastAsia" w:ascii="方正黑体_GBK" w:hAnsi="方正黑体_GBK" w:eastAsia="方正黑体_GBK" w:cs="方正黑体_GBK"/>
          <w:sz w:val="32"/>
          <w:szCs w:val="32"/>
        </w:rPr>
        <w:t>部门基本情况</w:t>
      </w:r>
      <w:r>
        <w:rPr>
          <w:rFonts w:hint="eastAsia" w:ascii="方正黑体_GBK" w:hAnsi="方正黑体_GBK" w:eastAsia="方正黑体_GBK" w:cs="方正黑体_GBK"/>
          <w:sz w:val="32"/>
          <w:szCs w:val="32"/>
        </w:rPr>
        <w:br w:type="textWrapping"/>
      </w:r>
      <w:r>
        <w:t xml:space="preserve">    </w:t>
      </w:r>
      <w:r>
        <w:rPr>
          <w:rStyle w:val="5"/>
          <w:rFonts w:hint="eastAsia" w:ascii="方正楷体_GBK" w:hAnsi="方正楷体_GBK" w:eastAsia="方正楷体_GBK" w:cs="方正楷体_GBK"/>
          <w:sz w:val="32"/>
          <w:szCs w:val="32"/>
        </w:rPr>
        <w:t>（一）职能职责。</w:t>
      </w:r>
      <w:r>
        <w:rPr>
          <w:rStyle w:val="5"/>
          <w:rFonts w:hint="eastAsia" w:ascii="方正楷体_GBK" w:hAnsi="方正楷体_GBK" w:eastAsia="方正楷体_GBK" w:cs="方正楷体_GBK"/>
          <w:sz w:val="32"/>
          <w:szCs w:val="32"/>
          <w:lang w:val="en-US" w:eastAsia="zh-CN"/>
        </w:rPr>
        <w:t xml:space="preserve">        </w:t>
      </w:r>
      <w:r>
        <w:rPr>
          <w:rStyle w:val="5"/>
          <w:rFonts w:hint="eastAsia"/>
          <w:lang w:val="en-US" w:eastAsia="zh-CN"/>
        </w:rPr>
        <w:t xml:space="preserve">                              </w:t>
      </w:r>
      <w:r>
        <w:rPr>
          <w:rFonts w:hint="eastAsia" w:ascii="方正仿宋_GBK" w:hAnsi="方正仿宋_GBK" w:eastAsia="方正仿宋_GBK" w:cs="方正仿宋_GBK"/>
          <w:sz w:val="32"/>
          <w:szCs w:val="32"/>
          <w:lang w:val="en-US" w:eastAsia="zh-CN"/>
        </w:rPr>
        <w:t xml:space="preserve"> </w:t>
      </w:r>
    </w:p>
    <w:p>
      <w:pPr>
        <w:pStyle w:val="2"/>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560" w:lineRule="exact"/>
        <w:ind w:right="0" w:rightChars="0" w:firstLine="640" w:firstLineChars="200"/>
        <w:jc w:val="left"/>
        <w:textAlignment w:val="auto"/>
        <w:outlineLvl w:val="9"/>
        <w:rPr>
          <w:rStyle w:val="5"/>
          <w:rFonts w:hint="eastAsia" w:ascii="方正楷体_GBK" w:hAnsi="方正楷体_GBK" w:eastAsia="方正楷体_GBK" w:cs="方正楷体_GBK"/>
          <w:sz w:val="32"/>
          <w:szCs w:val="32"/>
          <w:lang w:val="en-US" w:eastAsia="zh-CN"/>
        </w:rPr>
      </w:pPr>
      <w:r>
        <w:rPr>
          <w:rFonts w:hint="eastAsia" w:ascii="方正仿宋_GBK" w:hAnsi="方正仿宋_GBK" w:eastAsia="方正仿宋_GBK" w:cs="方正仿宋_GBK"/>
          <w:sz w:val="32"/>
          <w:szCs w:val="32"/>
          <w:lang w:val="en-US" w:eastAsia="zh-CN"/>
        </w:rPr>
        <w:t>贯彻执行国家司法行政工作的方针、政策、法律、法规以及地方性法规、规章；编制全区司法行政工作发展规划及年度计划并组织实施。制定全区普及法律常识规划和法治宣传教育计划并组织实施，指导全区法治宣传工作。指导、管理、监督律师工作、公证工作、基层法律服务工作和司法鉴定工作。监督、管理全区法律援助和“123</w:t>
      </w:r>
      <w:bookmarkStart w:id="0" w:name="_GoBack"/>
      <w:bookmarkEnd w:id="0"/>
      <w:r>
        <w:rPr>
          <w:rFonts w:hint="eastAsia" w:ascii="方正仿宋_GBK" w:hAnsi="方正仿宋_GBK" w:eastAsia="方正仿宋_GBK" w:cs="方正仿宋_GBK"/>
          <w:sz w:val="32"/>
          <w:szCs w:val="32"/>
          <w:lang w:val="en-US" w:eastAsia="zh-CN"/>
        </w:rPr>
        <w:t xml:space="preserve">48”法律服务工作。负责全区基层司法所工作；指导、管理全区人民调解工作。指导、管理并组织实施全区社区矫正工作；指导、协调全区刑满释放人员安置帮教工作。负责组织实施国家司法考试的有关工作。负责本系统干部职工队伍建设、思想政治工作。承办区政府交办的其他事项。                         </w:t>
      </w:r>
      <w:r>
        <w:rPr>
          <w:rStyle w:val="5"/>
          <w:rFonts w:hint="eastAsia" w:ascii="方正楷体_GBK" w:hAnsi="方正楷体_GBK" w:eastAsia="方正楷体_GBK" w:cs="方正楷体_GBK"/>
          <w:sz w:val="32"/>
          <w:szCs w:val="32"/>
          <w:lang w:val="en-US" w:eastAsia="zh-CN"/>
        </w:rPr>
        <w:t xml:space="preserve">   </w:t>
      </w:r>
    </w:p>
    <w:p>
      <w:pPr>
        <w:pStyle w:val="2"/>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560" w:lineRule="exact"/>
        <w:ind w:left="0" w:leftChars="0" w:right="0" w:rightChars="0" w:firstLine="643" w:firstLineChars="200"/>
        <w:jc w:val="left"/>
        <w:textAlignment w:val="auto"/>
        <w:outlineLvl w:val="9"/>
        <w:rPr>
          <w:rFonts w:hint="eastAsia" w:ascii="方正仿宋_GBK" w:hAnsi="方正仿宋_GBK" w:eastAsia="方正仿宋_GBK" w:cs="方正仿宋_GBK"/>
          <w:sz w:val="32"/>
          <w:szCs w:val="32"/>
          <w:lang w:val="en-US" w:eastAsia="zh-CN"/>
        </w:rPr>
      </w:pPr>
      <w:r>
        <w:rPr>
          <w:rStyle w:val="5"/>
          <w:rFonts w:hint="eastAsia" w:ascii="方正楷体_GBK" w:hAnsi="方正楷体_GBK" w:eastAsia="方正楷体_GBK" w:cs="方正楷体_GBK"/>
          <w:sz w:val="32"/>
          <w:szCs w:val="32"/>
        </w:rPr>
        <w:t>机构设置。</w:t>
      </w:r>
      <w:r>
        <w:rPr>
          <w:rFonts w:hint="eastAsia" w:ascii="方正仿宋_GBK" w:hAnsi="方正仿宋_GBK" w:eastAsia="方正仿宋_GBK" w:cs="方正仿宋_GBK"/>
          <w:sz w:val="32"/>
          <w:szCs w:val="32"/>
          <w:lang w:val="en-US" w:eastAsia="zh-CN"/>
        </w:rPr>
        <w:t>重庆市荣昌区司法局设9个内设机构：办公室（挂审计科牌子）、政治处、法治宣传教育科、研究室、基层工作管理科、社区矫正科（挂重庆市荣昌区社区矫正管理局牌子）、法制科、法律服务管理科、财务科。司法局下属事业单位3个：重庆市荣昌区法律援助中心，重庆市荣昌公证处，重庆市荣昌区矫正帮教管理服务中心。派出机构设基层司法所21个，实行“一镇（街道）一所”。</w:t>
      </w:r>
    </w:p>
    <w:p>
      <w:pPr>
        <w:pStyle w:val="2"/>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560" w:lineRule="exact"/>
        <w:ind w:left="0" w:leftChars="0" w:right="0" w:rightChars="0"/>
        <w:jc w:val="left"/>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 w:val="32"/>
          <w:szCs w:val="32"/>
          <w:lang w:val="en-US" w:eastAsia="zh-CN"/>
        </w:rPr>
        <w:t>2017年度，纳入本部门决算汇编范围的独立核算单位共2个，其中荣昌公证处为独立核算单位。独立编制机构共4个，编制人数94名，年末实有职工在编人员81名，其中行政编制人员56名，参公编制人员19名，事业编制人员6名，退休人员31名。</w:t>
      </w:r>
      <w:r>
        <w:br w:type="textWrapping"/>
      </w:r>
      <w:r>
        <w:rPr>
          <w:rStyle w:val="5"/>
          <w:rFonts w:hint="eastAsia" w:ascii="方正黑体_GBK" w:hAnsi="方正黑体_GBK" w:eastAsia="方正黑体_GBK" w:cs="方正黑体_GBK"/>
          <w:sz w:val="32"/>
          <w:szCs w:val="32"/>
        </w:rPr>
        <w:t>二、部门决算情况说明</w:t>
      </w:r>
      <w:r>
        <w:rPr>
          <w:rFonts w:hint="eastAsia" w:ascii="方正黑体_GBK" w:hAnsi="方正黑体_GBK" w:eastAsia="方正黑体_GBK" w:cs="方正黑体_GBK"/>
          <w:sz w:val="32"/>
          <w:szCs w:val="32"/>
        </w:rPr>
        <w:br w:type="textWrapping"/>
      </w:r>
      <w:r>
        <w:rPr>
          <w:rStyle w:val="5"/>
        </w:rPr>
        <w:t>   </w:t>
      </w:r>
      <w:r>
        <w:rPr>
          <w:rStyle w:val="5"/>
          <w:rFonts w:hint="eastAsia" w:ascii="方正楷体_GBK" w:hAnsi="方正楷体_GBK" w:eastAsia="方正楷体_GBK" w:cs="方正楷体_GBK"/>
          <w:sz w:val="32"/>
          <w:szCs w:val="32"/>
        </w:rPr>
        <w:t xml:space="preserve"> （一）收入支出决算总体情况说明</w:t>
      </w:r>
      <w:r>
        <w:rPr>
          <w:rFonts w:hint="eastAsia" w:ascii="方正楷体_GBK" w:hAnsi="方正楷体_GBK" w:eastAsia="方正楷体_GBK" w:cs="方正楷体_GBK"/>
          <w:sz w:val="32"/>
          <w:szCs w:val="32"/>
        </w:rPr>
        <w:br w:type="textWrapping"/>
      </w:r>
      <w:r>
        <w:t xml:space="preserve">    </w:t>
      </w:r>
      <w:r>
        <w:rPr>
          <w:rFonts w:hint="eastAsia" w:ascii="方正仿宋_GBK" w:hAnsi="方正仿宋_GBK" w:eastAsia="方正仿宋_GBK" w:cs="方正仿宋_GBK"/>
          <w:sz w:val="32"/>
          <w:szCs w:val="32"/>
        </w:rPr>
        <w:t>本部门2017年度收入总计2,776.89万元，支出总计2,776.89万元。与2016年决算数相比，收支增加</w:t>
      </w:r>
      <w:r>
        <w:rPr>
          <w:rFonts w:hint="eastAsia" w:ascii="方正仿宋_GBK" w:hAnsi="方正仿宋_GBK" w:eastAsia="方正仿宋_GBK" w:cs="方正仿宋_GBK"/>
          <w:sz w:val="32"/>
          <w:szCs w:val="32"/>
          <w:lang w:val="en-US" w:eastAsia="zh-CN"/>
        </w:rPr>
        <w:t>496.31</w:t>
      </w:r>
      <w:r>
        <w:rPr>
          <w:rFonts w:hint="eastAsia" w:ascii="方正仿宋_GBK" w:hAnsi="方正仿宋_GBK" w:eastAsia="方正仿宋_GBK" w:cs="方正仿宋_GBK"/>
          <w:sz w:val="32"/>
          <w:szCs w:val="32"/>
        </w:rPr>
        <w:t>万元、增长</w:t>
      </w:r>
      <w:r>
        <w:rPr>
          <w:rFonts w:hint="eastAsia" w:ascii="方正仿宋_GBK" w:hAnsi="方正仿宋_GBK" w:eastAsia="方正仿宋_GBK" w:cs="方正仿宋_GBK"/>
          <w:sz w:val="32"/>
          <w:szCs w:val="32"/>
          <w:lang w:val="en-US" w:eastAsia="zh-CN"/>
        </w:rPr>
        <w:t>21.76</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eastAsia="zh-CN"/>
        </w:rPr>
        <w:t>增加人民调解员案件补贴、矫正帮教中心经费，社区矫正社会工作者经费提高，新增</w:t>
      </w:r>
      <w:r>
        <w:rPr>
          <w:rFonts w:hint="eastAsia" w:ascii="方正仿宋_GBK" w:hAnsi="方正仿宋_GBK" w:eastAsia="方正仿宋_GBK" w:cs="方正仿宋_GBK"/>
          <w:color w:val="auto"/>
          <w:sz w:val="32"/>
          <w:szCs w:val="32"/>
          <w:lang w:val="en-US" w:eastAsia="zh-CN"/>
        </w:rPr>
        <w:t>养老保险和职业年金缴纳，平时考核发放标准提高。</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本部门2017年度收入合计2,490.60万元，其中：财政拨款收入2,480.13万元，占99.58%；其他收入10.48万元，占0.42%。</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本部门2017年度支出合计2,478.11万元，其中：基本支出1,725.27万元，占69.62%；项目支出752.84万元，占30.38%</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本部门2017年度年末结转和结余298.78万元，较上年增加</w:t>
      </w:r>
      <w:r>
        <w:rPr>
          <w:rFonts w:hint="eastAsia" w:ascii="方正仿宋_GBK" w:hAnsi="方正仿宋_GBK" w:eastAsia="方正仿宋_GBK" w:cs="方正仿宋_GBK"/>
          <w:sz w:val="32"/>
          <w:szCs w:val="32"/>
          <w:lang w:val="en-US" w:eastAsia="zh-CN"/>
        </w:rPr>
        <w:t>12.49</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2016年</w:t>
      </w:r>
      <w:r>
        <w:rPr>
          <w:rFonts w:hint="eastAsia" w:ascii="方正仿宋_GBK" w:hAnsi="方正仿宋_GBK" w:eastAsia="方正仿宋_GBK" w:cs="方正仿宋_GBK"/>
          <w:color w:val="auto"/>
          <w:sz w:val="32"/>
          <w:szCs w:val="32"/>
          <w:lang w:eastAsia="zh-CN"/>
        </w:rPr>
        <w:t>部分市级资金于年底下达未使用。</w:t>
      </w:r>
      <w:r>
        <w:rPr>
          <w:rFonts w:hint="eastAsia" w:ascii="方正仿宋_GBK" w:hAnsi="方正仿宋_GBK" w:eastAsia="方正仿宋_GBK" w:cs="方正仿宋_GBK"/>
          <w:sz w:val="32"/>
          <w:szCs w:val="32"/>
        </w:rPr>
        <w:br w:type="textWrapping"/>
      </w:r>
      <w:r>
        <w:rPr>
          <w:rStyle w:val="5"/>
        </w:rPr>
        <w:t xml:space="preserve">  </w:t>
      </w:r>
      <w:r>
        <w:rPr>
          <w:rStyle w:val="5"/>
          <w:rFonts w:hint="eastAsia" w:ascii="方正楷体_GBK" w:hAnsi="方正楷体_GBK" w:eastAsia="方正楷体_GBK" w:cs="方正楷体_GBK"/>
          <w:sz w:val="32"/>
          <w:szCs w:val="32"/>
        </w:rPr>
        <w:t>（二）财政拨款收入支出决算总体情况说明</w:t>
      </w:r>
      <w:r>
        <w:rPr>
          <w:rFonts w:hint="eastAsia" w:ascii="方正楷体_GBK" w:hAnsi="方正楷体_GBK" w:eastAsia="方正楷体_GBK" w:cs="方正楷体_GBK"/>
          <w:sz w:val="32"/>
          <w:szCs w:val="32"/>
        </w:rPr>
        <w:br w:type="textWrapping"/>
      </w:r>
      <w:r>
        <w:t>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本部门2017年度财政拨款收入2,480.13万元，较上年决算数增加</w:t>
      </w:r>
      <w:r>
        <w:rPr>
          <w:rFonts w:hint="eastAsia" w:ascii="方正仿宋_GBK" w:hAnsi="方正仿宋_GBK" w:eastAsia="方正仿宋_GBK" w:cs="方正仿宋_GBK"/>
          <w:sz w:val="32"/>
          <w:szCs w:val="32"/>
          <w:lang w:val="en-US" w:eastAsia="zh-CN"/>
        </w:rPr>
        <w:t>557.88</w:t>
      </w:r>
      <w:r>
        <w:rPr>
          <w:rFonts w:hint="eastAsia" w:ascii="方正仿宋_GBK" w:hAnsi="方正仿宋_GBK" w:eastAsia="方正仿宋_GBK" w:cs="方正仿宋_GBK"/>
          <w:sz w:val="32"/>
          <w:szCs w:val="32"/>
        </w:rPr>
        <w:t>万元，增长</w:t>
      </w:r>
      <w:r>
        <w:rPr>
          <w:rFonts w:hint="eastAsia" w:ascii="方正仿宋_GBK" w:hAnsi="方正仿宋_GBK" w:eastAsia="方正仿宋_GBK" w:cs="方正仿宋_GBK"/>
          <w:sz w:val="32"/>
          <w:szCs w:val="32"/>
          <w:lang w:val="en-US" w:eastAsia="zh-CN"/>
        </w:rPr>
        <w:t>29.02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eastAsia="zh-CN"/>
        </w:rPr>
        <w:t>年初增加人民调解员案件补贴</w:t>
      </w:r>
      <w:r>
        <w:rPr>
          <w:rFonts w:hint="eastAsia" w:ascii="方正仿宋_GBK" w:hAnsi="方正仿宋_GBK" w:eastAsia="方正仿宋_GBK" w:cs="方正仿宋_GBK"/>
          <w:color w:val="auto"/>
          <w:sz w:val="32"/>
          <w:szCs w:val="32"/>
          <w:lang w:val="en-US" w:eastAsia="zh-CN"/>
        </w:rPr>
        <w:t>21万元</w:t>
      </w:r>
      <w:r>
        <w:rPr>
          <w:rFonts w:hint="eastAsia" w:ascii="方正仿宋_GBK" w:hAnsi="方正仿宋_GBK" w:eastAsia="方正仿宋_GBK" w:cs="方正仿宋_GBK"/>
          <w:color w:val="auto"/>
          <w:sz w:val="32"/>
          <w:szCs w:val="32"/>
          <w:lang w:eastAsia="zh-CN"/>
        </w:rPr>
        <w:t>、矫正帮教中心经费</w:t>
      </w:r>
      <w:r>
        <w:rPr>
          <w:rFonts w:hint="eastAsia" w:ascii="方正仿宋_GBK" w:hAnsi="方正仿宋_GBK" w:eastAsia="方正仿宋_GBK" w:cs="方正仿宋_GBK"/>
          <w:color w:val="auto"/>
          <w:sz w:val="32"/>
          <w:szCs w:val="32"/>
          <w:lang w:val="en-US" w:eastAsia="zh-CN"/>
        </w:rPr>
        <w:t>20万元</w:t>
      </w:r>
      <w:r>
        <w:rPr>
          <w:rFonts w:hint="eastAsia" w:ascii="方正仿宋_GBK" w:hAnsi="方正仿宋_GBK" w:eastAsia="方正仿宋_GBK" w:cs="方正仿宋_GBK"/>
          <w:color w:val="auto"/>
          <w:sz w:val="32"/>
          <w:szCs w:val="32"/>
          <w:lang w:eastAsia="zh-CN"/>
        </w:rPr>
        <w:t>，社区矫正社会工作者经费提高</w:t>
      </w:r>
      <w:r>
        <w:rPr>
          <w:rFonts w:hint="eastAsia" w:ascii="方正仿宋_GBK" w:hAnsi="方正仿宋_GBK" w:eastAsia="方正仿宋_GBK" w:cs="方正仿宋_GBK"/>
          <w:color w:val="auto"/>
          <w:sz w:val="32"/>
          <w:szCs w:val="32"/>
          <w:lang w:val="en-US" w:eastAsia="zh-CN"/>
        </w:rPr>
        <w:t>22万元</w:t>
      </w:r>
      <w:r>
        <w:rPr>
          <w:rFonts w:hint="eastAsia" w:ascii="方正仿宋_GBK" w:hAnsi="方正仿宋_GBK" w:eastAsia="方正仿宋_GBK" w:cs="方正仿宋_GBK"/>
          <w:color w:val="auto"/>
          <w:sz w:val="32"/>
          <w:szCs w:val="32"/>
          <w:lang w:eastAsia="zh-CN"/>
        </w:rPr>
        <w:t>，增加养老保险和职业年金缴纳</w:t>
      </w:r>
      <w:r>
        <w:rPr>
          <w:rFonts w:hint="eastAsia" w:ascii="方正仿宋_GBK" w:hAnsi="方正仿宋_GBK" w:eastAsia="方正仿宋_GBK" w:cs="方正仿宋_GBK"/>
          <w:color w:val="auto"/>
          <w:sz w:val="32"/>
          <w:szCs w:val="32"/>
          <w:lang w:val="en-US" w:eastAsia="zh-CN"/>
        </w:rPr>
        <w:t>116.74万元</w:t>
      </w:r>
      <w:r>
        <w:rPr>
          <w:rFonts w:hint="eastAsia" w:ascii="方正仿宋_GBK" w:hAnsi="方正仿宋_GBK" w:eastAsia="方正仿宋_GBK" w:cs="方正仿宋_GBK"/>
          <w:color w:val="auto"/>
          <w:sz w:val="32"/>
          <w:szCs w:val="32"/>
          <w:lang w:eastAsia="zh-CN"/>
        </w:rPr>
        <w:t>，平时考核发放标准提高</w:t>
      </w:r>
      <w:r>
        <w:rPr>
          <w:rFonts w:hint="eastAsia" w:ascii="方正仿宋_GBK" w:hAnsi="方正仿宋_GBK" w:eastAsia="方正仿宋_GBK" w:cs="方正仿宋_GBK"/>
          <w:color w:val="auto"/>
          <w:sz w:val="32"/>
          <w:szCs w:val="32"/>
          <w:lang w:val="en-US" w:eastAsia="zh-CN"/>
        </w:rPr>
        <w:t>107.84万元</w:t>
      </w:r>
      <w:r>
        <w:rPr>
          <w:rFonts w:hint="eastAsia" w:ascii="方正仿宋_GBK" w:hAnsi="方正仿宋_GBK" w:eastAsia="方正仿宋_GBK" w:cs="方正仿宋_GBK"/>
          <w:color w:val="auto"/>
          <w:sz w:val="32"/>
          <w:szCs w:val="32"/>
          <w:lang w:eastAsia="zh-CN"/>
        </w:rPr>
        <w:t>；年中追加安排司法所业务用房建设经费</w:t>
      </w:r>
      <w:r>
        <w:rPr>
          <w:rFonts w:hint="eastAsia" w:ascii="方正仿宋_GBK" w:hAnsi="方正仿宋_GBK" w:eastAsia="方正仿宋_GBK" w:cs="方正仿宋_GBK"/>
          <w:color w:val="auto"/>
          <w:sz w:val="32"/>
          <w:szCs w:val="32"/>
          <w:lang w:val="en-US" w:eastAsia="zh-CN"/>
        </w:rPr>
        <w:t>196.76万元，增加工资福利支出。</w:t>
      </w:r>
      <w:r>
        <w:rPr>
          <w:rFonts w:hint="eastAsia" w:ascii="方正仿宋_GBK" w:hAnsi="方正仿宋_GBK" w:eastAsia="方正仿宋_GBK" w:cs="方正仿宋_GBK"/>
          <w:color w:val="auto"/>
          <w:sz w:val="32"/>
          <w:szCs w:val="32"/>
        </w:rPr>
        <w:t>较年初预算数增加700.53万元，增长39.36%。主要原因是</w:t>
      </w:r>
      <w:r>
        <w:rPr>
          <w:rFonts w:hint="eastAsia" w:ascii="方正仿宋_GBK" w:hAnsi="方正仿宋_GBK" w:eastAsia="方正仿宋_GBK" w:cs="方正仿宋_GBK"/>
          <w:color w:val="auto"/>
          <w:sz w:val="32"/>
          <w:szCs w:val="32"/>
          <w:lang w:eastAsia="zh-CN"/>
        </w:rPr>
        <w:t>年初增加人民调解员案件补贴</w:t>
      </w:r>
      <w:r>
        <w:rPr>
          <w:rFonts w:hint="eastAsia" w:ascii="方正仿宋_GBK" w:hAnsi="方正仿宋_GBK" w:eastAsia="方正仿宋_GBK" w:cs="方正仿宋_GBK"/>
          <w:color w:val="auto"/>
          <w:sz w:val="32"/>
          <w:szCs w:val="32"/>
          <w:lang w:val="en-US" w:eastAsia="zh-CN"/>
        </w:rPr>
        <w:t>21万元</w:t>
      </w:r>
      <w:r>
        <w:rPr>
          <w:rFonts w:hint="eastAsia" w:ascii="方正仿宋_GBK" w:hAnsi="方正仿宋_GBK" w:eastAsia="方正仿宋_GBK" w:cs="方正仿宋_GBK"/>
          <w:color w:val="auto"/>
          <w:sz w:val="32"/>
          <w:szCs w:val="32"/>
          <w:lang w:eastAsia="zh-CN"/>
        </w:rPr>
        <w:t>、矫正帮教中心经费</w:t>
      </w:r>
      <w:r>
        <w:rPr>
          <w:rFonts w:hint="eastAsia" w:ascii="方正仿宋_GBK" w:hAnsi="方正仿宋_GBK" w:eastAsia="方正仿宋_GBK" w:cs="方正仿宋_GBK"/>
          <w:color w:val="auto"/>
          <w:sz w:val="32"/>
          <w:szCs w:val="32"/>
          <w:lang w:val="en-US" w:eastAsia="zh-CN"/>
        </w:rPr>
        <w:t>20万元</w:t>
      </w:r>
      <w:r>
        <w:rPr>
          <w:rFonts w:hint="eastAsia" w:ascii="方正仿宋_GBK" w:hAnsi="方正仿宋_GBK" w:eastAsia="方正仿宋_GBK" w:cs="方正仿宋_GBK"/>
          <w:color w:val="auto"/>
          <w:sz w:val="32"/>
          <w:szCs w:val="32"/>
          <w:lang w:eastAsia="zh-CN"/>
        </w:rPr>
        <w:t>，社区矫正社会工作者经费提高</w:t>
      </w:r>
      <w:r>
        <w:rPr>
          <w:rFonts w:hint="eastAsia" w:ascii="方正仿宋_GBK" w:hAnsi="方正仿宋_GBK" w:eastAsia="方正仿宋_GBK" w:cs="方正仿宋_GBK"/>
          <w:color w:val="auto"/>
          <w:sz w:val="32"/>
          <w:szCs w:val="32"/>
          <w:lang w:val="en-US" w:eastAsia="zh-CN"/>
        </w:rPr>
        <w:t>22万元</w:t>
      </w:r>
      <w:r>
        <w:rPr>
          <w:rFonts w:hint="eastAsia" w:ascii="方正仿宋_GBK" w:hAnsi="方正仿宋_GBK" w:eastAsia="方正仿宋_GBK" w:cs="方正仿宋_GBK"/>
          <w:color w:val="auto"/>
          <w:sz w:val="32"/>
          <w:szCs w:val="32"/>
          <w:lang w:eastAsia="zh-CN"/>
        </w:rPr>
        <w:t>，增加养老保险和职业年金缴纳</w:t>
      </w:r>
      <w:r>
        <w:rPr>
          <w:rFonts w:hint="eastAsia" w:ascii="方正仿宋_GBK" w:hAnsi="方正仿宋_GBK" w:eastAsia="方正仿宋_GBK" w:cs="方正仿宋_GBK"/>
          <w:color w:val="auto"/>
          <w:sz w:val="32"/>
          <w:szCs w:val="32"/>
          <w:lang w:val="en-US" w:eastAsia="zh-CN"/>
        </w:rPr>
        <w:t>116.74万元</w:t>
      </w:r>
      <w:r>
        <w:rPr>
          <w:rFonts w:hint="eastAsia" w:ascii="方正仿宋_GBK" w:hAnsi="方正仿宋_GBK" w:eastAsia="方正仿宋_GBK" w:cs="方正仿宋_GBK"/>
          <w:color w:val="auto"/>
          <w:sz w:val="32"/>
          <w:szCs w:val="32"/>
          <w:lang w:eastAsia="zh-CN"/>
        </w:rPr>
        <w:t>，平时考核发放标准提高</w:t>
      </w:r>
      <w:r>
        <w:rPr>
          <w:rFonts w:hint="eastAsia" w:ascii="方正仿宋_GBK" w:hAnsi="方正仿宋_GBK" w:eastAsia="方正仿宋_GBK" w:cs="方正仿宋_GBK"/>
          <w:color w:val="auto"/>
          <w:sz w:val="32"/>
          <w:szCs w:val="32"/>
          <w:lang w:val="en-US" w:eastAsia="zh-CN"/>
        </w:rPr>
        <w:t>107.84万元</w:t>
      </w:r>
      <w:r>
        <w:rPr>
          <w:rFonts w:hint="eastAsia" w:ascii="方正仿宋_GBK" w:hAnsi="方正仿宋_GBK" w:eastAsia="方正仿宋_GBK" w:cs="方正仿宋_GBK"/>
          <w:color w:val="auto"/>
          <w:sz w:val="32"/>
          <w:szCs w:val="32"/>
          <w:lang w:eastAsia="zh-CN"/>
        </w:rPr>
        <w:t>；年中追加安排司法所业务用房建设经费</w:t>
      </w:r>
      <w:r>
        <w:rPr>
          <w:rFonts w:hint="eastAsia" w:ascii="方正仿宋_GBK" w:hAnsi="方正仿宋_GBK" w:eastAsia="方正仿宋_GBK" w:cs="方正仿宋_GBK"/>
          <w:color w:val="auto"/>
          <w:sz w:val="32"/>
          <w:szCs w:val="32"/>
          <w:lang w:val="en-US" w:eastAsia="zh-CN"/>
        </w:rPr>
        <w:t>196.76万元，市级资金未纳入年初预算，市级资金255万元。</w:t>
      </w:r>
    </w:p>
    <w:p>
      <w:pPr>
        <w:pStyle w:val="2"/>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56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本部门2017年度财政拨款支出2,467.64万元，较上年决算数增加</w:t>
      </w:r>
      <w:r>
        <w:rPr>
          <w:rFonts w:hint="eastAsia" w:ascii="方正仿宋_GBK" w:hAnsi="方正仿宋_GBK" w:eastAsia="方正仿宋_GBK" w:cs="方正仿宋_GBK"/>
          <w:color w:val="auto"/>
          <w:sz w:val="32"/>
          <w:szCs w:val="32"/>
          <w:lang w:val="en-US" w:eastAsia="zh-CN"/>
        </w:rPr>
        <w:t>473.35</w:t>
      </w:r>
      <w:r>
        <w:rPr>
          <w:rFonts w:hint="eastAsia" w:ascii="方正仿宋_GBK" w:hAnsi="方正仿宋_GBK" w:eastAsia="方正仿宋_GBK" w:cs="方正仿宋_GBK"/>
          <w:color w:val="auto"/>
          <w:sz w:val="32"/>
          <w:szCs w:val="32"/>
        </w:rPr>
        <w:t>万元，增长</w:t>
      </w:r>
      <w:r>
        <w:rPr>
          <w:rFonts w:hint="eastAsia" w:ascii="方正仿宋_GBK" w:hAnsi="方正仿宋_GBK" w:eastAsia="方正仿宋_GBK" w:cs="方正仿宋_GBK"/>
          <w:color w:val="auto"/>
          <w:sz w:val="32"/>
          <w:szCs w:val="32"/>
          <w:lang w:val="en-US" w:eastAsia="zh-CN"/>
        </w:rPr>
        <w:t>23.73</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eastAsia="zh-CN"/>
        </w:rPr>
        <w:t>增加人民调解员案件补贴、矫正帮教中心经费开支，社区矫正社会工作者经费提高，增加养老保险和职业年金缴纳，平时考核发放标准提高，司法所业务用房建设经费支出。</w:t>
      </w:r>
      <w:r>
        <w:rPr>
          <w:rFonts w:hint="eastAsia" w:ascii="方正仿宋_GBK" w:hAnsi="方正仿宋_GBK" w:eastAsia="方正仿宋_GBK" w:cs="方正仿宋_GBK"/>
          <w:color w:val="auto"/>
          <w:sz w:val="32"/>
          <w:szCs w:val="32"/>
        </w:rPr>
        <w:t>较年初预算数增加688.04万元，增长38.66%。主要原因是</w:t>
      </w:r>
      <w:r>
        <w:rPr>
          <w:rFonts w:hint="eastAsia" w:ascii="方正仿宋_GBK" w:hAnsi="方正仿宋_GBK" w:eastAsia="方正仿宋_GBK" w:cs="方正仿宋_GBK"/>
          <w:color w:val="auto"/>
          <w:sz w:val="32"/>
          <w:szCs w:val="32"/>
          <w:lang w:eastAsia="zh-CN"/>
        </w:rPr>
        <w:t>增加人民调解员案件补贴、矫正帮教中心经费开支，社区矫正社会工作者经费提高，增加养老保险和职业年金缴纳，平时考核发放标准提高，司法所业务用房建设经费支出。</w:t>
      </w:r>
      <w:r>
        <w:rPr>
          <w:rFonts w:hint="eastAsia" w:ascii="方正仿宋_GBK" w:hAnsi="方正仿宋_GBK" w:eastAsia="方正仿宋_GBK" w:cs="方正仿宋_GBK"/>
          <w:color w:val="auto"/>
          <w:sz w:val="32"/>
          <w:szCs w:val="32"/>
        </w:rPr>
        <w:br w:type="textWrapping"/>
      </w:r>
      <w:r>
        <w:rPr>
          <w:color w:val="auto"/>
        </w:rPr>
        <w:t xml:space="preserve">  </w:t>
      </w:r>
      <w:r>
        <w:rPr>
          <w:rFonts w:hint="eastAsia"/>
          <w:color w:val="auto"/>
          <w:lang w:val="en-US" w:eastAsia="zh-CN"/>
        </w:rPr>
        <w:t xml:space="preserve">  </w:t>
      </w:r>
      <w:r>
        <w:rPr>
          <w:rFonts w:hint="eastAsia" w:ascii="方正仿宋_GBK" w:hAnsi="方正仿宋_GBK" w:eastAsia="方正仿宋_GBK" w:cs="方正仿宋_GBK"/>
          <w:color w:val="auto"/>
          <w:sz w:val="32"/>
          <w:szCs w:val="32"/>
        </w:rPr>
        <w:t>本部门2017年度财政拨款支出主要用于以下方面：一般公共服务支出5.00万元，占0.20%，较年初预算数增加0.00万元，主要原因是</w:t>
      </w:r>
      <w:r>
        <w:rPr>
          <w:rFonts w:hint="eastAsia" w:ascii="方正仿宋_GBK" w:hAnsi="方正仿宋_GBK" w:eastAsia="方正仿宋_GBK" w:cs="方正仿宋_GBK"/>
          <w:color w:val="auto"/>
          <w:sz w:val="32"/>
          <w:szCs w:val="32"/>
          <w:lang w:eastAsia="zh-CN"/>
        </w:rPr>
        <w:t>纪委派驻机构工作经费未增加</w:t>
      </w:r>
      <w:r>
        <w:rPr>
          <w:rFonts w:hint="eastAsia" w:ascii="方正仿宋_GBK" w:hAnsi="方正仿宋_GBK" w:eastAsia="方正仿宋_GBK" w:cs="方正仿宋_GBK"/>
          <w:color w:val="auto"/>
          <w:sz w:val="32"/>
          <w:szCs w:val="32"/>
        </w:rPr>
        <w:t>；公共安全支出2,055.27万元，占83.29%，较年初预算数增加656.84万元，主要原因是</w:t>
      </w:r>
      <w:r>
        <w:rPr>
          <w:rFonts w:hint="eastAsia" w:ascii="方正仿宋_GBK" w:hAnsi="方正仿宋_GBK" w:eastAsia="方正仿宋_GBK" w:cs="方正仿宋_GBK"/>
          <w:color w:val="auto"/>
          <w:sz w:val="32"/>
          <w:szCs w:val="32"/>
          <w:lang w:eastAsia="zh-CN"/>
        </w:rPr>
        <w:t>增加人民调解员案件补贴、矫正帮教中心经费开支，社区矫正社会工作者经费提高，增加养老保险和职业年金缴纳，平时考核发放标准提高，司法所业务用房建设经费支出，市级资金未纳入年初预算。</w:t>
      </w:r>
      <w:r>
        <w:rPr>
          <w:rFonts w:hint="eastAsia" w:ascii="方正仿宋_GBK" w:hAnsi="方正仿宋_GBK" w:eastAsia="方正仿宋_GBK" w:cs="方正仿宋_GBK"/>
          <w:color w:val="auto"/>
          <w:sz w:val="32"/>
          <w:szCs w:val="32"/>
        </w:rPr>
        <w:t>教育支出8.95万元，占0.36%，较年初预算数减少0.32万元，主要原因是</w:t>
      </w:r>
      <w:r>
        <w:rPr>
          <w:rFonts w:hint="eastAsia" w:ascii="方正仿宋_GBK" w:hAnsi="方正仿宋_GBK" w:eastAsia="方正仿宋_GBK" w:cs="方正仿宋_GBK"/>
          <w:color w:val="auto"/>
          <w:sz w:val="32"/>
          <w:szCs w:val="32"/>
          <w:lang w:eastAsia="zh-CN"/>
        </w:rPr>
        <w:t>公证处教育支出未使用完</w:t>
      </w:r>
      <w:r>
        <w:rPr>
          <w:rFonts w:hint="eastAsia" w:ascii="方正仿宋_GBK" w:hAnsi="方正仿宋_GBK" w:eastAsia="方正仿宋_GBK" w:cs="方正仿宋_GBK"/>
          <w:color w:val="auto"/>
          <w:sz w:val="32"/>
          <w:szCs w:val="32"/>
        </w:rPr>
        <w:t>；社会保障与就业支出222.10万元，占9.00%，较年初预算数增加33.80万元，主要原因是</w:t>
      </w:r>
      <w:r>
        <w:rPr>
          <w:rFonts w:hint="eastAsia" w:ascii="方正仿宋_GBK" w:hAnsi="方正仿宋_GBK" w:eastAsia="方正仿宋_GBK" w:cs="方正仿宋_GBK"/>
          <w:color w:val="auto"/>
          <w:sz w:val="32"/>
          <w:szCs w:val="32"/>
          <w:lang w:eastAsia="zh-CN"/>
        </w:rPr>
        <w:t>增加养老保险和职业年金缴纳</w:t>
      </w:r>
      <w:r>
        <w:rPr>
          <w:rFonts w:hint="eastAsia" w:ascii="方正仿宋_GBK" w:hAnsi="方正仿宋_GBK" w:eastAsia="方正仿宋_GBK" w:cs="方正仿宋_GBK"/>
          <w:color w:val="auto"/>
          <w:sz w:val="32"/>
          <w:szCs w:val="32"/>
        </w:rPr>
        <w:t>；医疗卫生与计划生育支出90.72万元，占3.68%，较年初预算数减少2.08万元，主要原因是</w:t>
      </w:r>
      <w:r>
        <w:rPr>
          <w:rFonts w:hint="eastAsia" w:ascii="方正仿宋_GBK" w:hAnsi="方正仿宋_GBK" w:eastAsia="方正仿宋_GBK" w:cs="方正仿宋_GBK"/>
          <w:color w:val="auto"/>
          <w:sz w:val="32"/>
          <w:szCs w:val="32"/>
          <w:lang w:eastAsia="zh-CN"/>
        </w:rPr>
        <w:t>公务员医疗补助开支减少</w:t>
      </w:r>
      <w:r>
        <w:rPr>
          <w:rFonts w:hint="eastAsia" w:ascii="方正仿宋_GBK" w:hAnsi="方正仿宋_GBK" w:eastAsia="方正仿宋_GBK" w:cs="方正仿宋_GBK"/>
          <w:color w:val="auto"/>
          <w:sz w:val="32"/>
          <w:szCs w:val="32"/>
        </w:rPr>
        <w:t>；住房保障支出85.60万元，占3.47%，较年初预算数减少0.20万元，主要原因是</w:t>
      </w:r>
      <w:r>
        <w:rPr>
          <w:rFonts w:hint="eastAsia" w:ascii="方正仿宋_GBK" w:hAnsi="方正仿宋_GBK" w:eastAsia="方正仿宋_GBK" w:cs="方正仿宋_GBK"/>
          <w:color w:val="auto"/>
          <w:sz w:val="32"/>
          <w:szCs w:val="32"/>
          <w:lang w:eastAsia="zh-CN"/>
        </w:rPr>
        <w:t>人员减少，住房公积金开支减少。</w:t>
      </w:r>
      <w:r>
        <w:rPr>
          <w:rFonts w:hint="eastAsia" w:ascii="方正仿宋_GBK" w:hAnsi="方正仿宋_GBK" w:eastAsia="方正仿宋_GBK" w:cs="方正仿宋_GBK"/>
          <w:color w:val="auto"/>
          <w:sz w:val="32"/>
          <w:szCs w:val="32"/>
        </w:rPr>
        <w:br w:type="textWrapping"/>
      </w:r>
      <w:r>
        <w:rPr>
          <w:rStyle w:val="5"/>
        </w:rPr>
        <w:t xml:space="preserve">  </w:t>
      </w:r>
      <w:r>
        <w:rPr>
          <w:rStyle w:val="5"/>
          <w:rFonts w:hint="eastAsia" w:ascii="方正楷体_GBK" w:hAnsi="方正楷体_GBK" w:eastAsia="方正楷体_GBK" w:cs="方正楷体_GBK"/>
          <w:sz w:val="32"/>
          <w:szCs w:val="32"/>
        </w:rPr>
        <w:t>（三）一般公共预算财政拨款基本支出决算情况说明</w:t>
      </w:r>
      <w:r>
        <w:rPr>
          <w:rFonts w:hint="eastAsia" w:ascii="方正楷体_GBK" w:hAnsi="方正楷体_GBK" w:eastAsia="方正楷体_GBK" w:cs="方正楷体_GBK"/>
          <w:sz w:val="32"/>
          <w:szCs w:val="32"/>
        </w:rPr>
        <w:br w:type="textWrapping"/>
      </w:r>
      <w:r>
        <w:t xml:space="preserve">  </w:t>
      </w:r>
      <w:r>
        <w:rPr>
          <w:rFonts w:hint="eastAsia"/>
          <w:lang w:val="en-US" w:eastAsia="zh-CN"/>
        </w:rPr>
        <w:t xml:space="preserve">  </w:t>
      </w:r>
      <w:r>
        <w:rPr>
          <w:rFonts w:hint="eastAsia" w:ascii="方正仿宋_GBK" w:hAnsi="方正仿宋_GBK" w:eastAsia="方正仿宋_GBK" w:cs="方正仿宋_GBK"/>
          <w:color w:val="auto"/>
          <w:sz w:val="32"/>
          <w:szCs w:val="32"/>
        </w:rPr>
        <w:t>本部门2017年度一般公共财政拨款基本支出1,725.27万元。其中：人员经费1,514.72万元，较上年增加</w:t>
      </w:r>
      <w:r>
        <w:rPr>
          <w:rFonts w:hint="eastAsia" w:ascii="方正仿宋_GBK" w:hAnsi="方正仿宋_GBK" w:eastAsia="方正仿宋_GBK" w:cs="方正仿宋_GBK"/>
          <w:color w:val="auto"/>
          <w:sz w:val="32"/>
          <w:szCs w:val="32"/>
          <w:lang w:val="en-US" w:eastAsia="zh-CN"/>
        </w:rPr>
        <w:t>433.26</w:t>
      </w:r>
      <w:r>
        <w:rPr>
          <w:rFonts w:hint="eastAsia" w:ascii="方正仿宋_GBK" w:hAnsi="方正仿宋_GBK" w:eastAsia="方正仿宋_GBK" w:cs="方正仿宋_GBK"/>
          <w:color w:val="auto"/>
          <w:sz w:val="32"/>
          <w:szCs w:val="32"/>
        </w:rPr>
        <w:t>万元，主要原因是</w:t>
      </w:r>
      <w:r>
        <w:rPr>
          <w:rFonts w:hint="eastAsia" w:ascii="方正仿宋_GBK" w:hAnsi="方正仿宋_GBK" w:eastAsia="方正仿宋_GBK" w:cs="方正仿宋_GBK"/>
          <w:color w:val="auto"/>
          <w:sz w:val="32"/>
          <w:szCs w:val="32"/>
          <w:lang w:eastAsia="zh-CN"/>
        </w:rPr>
        <w:t>平时考核标准提高，健康修养费标准提高，增加养老保险和职业年金缴纳</w:t>
      </w:r>
      <w:r>
        <w:rPr>
          <w:rFonts w:hint="eastAsia" w:ascii="方正仿宋_GBK" w:hAnsi="方正仿宋_GBK" w:eastAsia="方正仿宋_GBK" w:cs="方正仿宋_GBK"/>
          <w:color w:val="auto"/>
          <w:sz w:val="32"/>
          <w:szCs w:val="32"/>
        </w:rPr>
        <w:t>。人员经费用途主要包括基本工资、津贴补贴、奖金、社会保障缴费</w:t>
      </w:r>
      <w:r>
        <w:rPr>
          <w:rFonts w:hint="eastAsia" w:ascii="方正仿宋_GBK" w:hAnsi="方正仿宋_GBK" w:eastAsia="方正仿宋_GBK" w:cs="方正仿宋_GBK"/>
          <w:color w:val="auto"/>
          <w:sz w:val="32"/>
          <w:szCs w:val="32"/>
          <w:lang w:eastAsia="zh-CN"/>
        </w:rPr>
        <w:t>、其他工资福利支出、住房公积金、生活补助等</w:t>
      </w:r>
      <w:r>
        <w:rPr>
          <w:rFonts w:hint="eastAsia" w:ascii="方正仿宋_GBK" w:hAnsi="方正仿宋_GBK" w:eastAsia="方正仿宋_GBK" w:cs="方正仿宋_GBK"/>
          <w:color w:val="auto"/>
          <w:sz w:val="32"/>
          <w:szCs w:val="32"/>
        </w:rPr>
        <w:t>。公用经费210.54万元，较上年增加</w:t>
      </w:r>
      <w:r>
        <w:rPr>
          <w:rFonts w:hint="eastAsia" w:ascii="方正仿宋_GBK" w:hAnsi="方正仿宋_GBK" w:eastAsia="方正仿宋_GBK" w:cs="方正仿宋_GBK"/>
          <w:color w:val="auto"/>
          <w:sz w:val="32"/>
          <w:szCs w:val="32"/>
          <w:lang w:val="en-US" w:eastAsia="zh-CN"/>
        </w:rPr>
        <w:t>123.1</w:t>
      </w:r>
      <w:r>
        <w:rPr>
          <w:rFonts w:hint="eastAsia" w:ascii="方正仿宋_GBK" w:hAnsi="方正仿宋_GBK" w:eastAsia="方正仿宋_GBK" w:cs="方正仿宋_GBK"/>
          <w:color w:val="auto"/>
          <w:sz w:val="32"/>
          <w:szCs w:val="32"/>
        </w:rPr>
        <w:t>万元，主要原因是</w:t>
      </w:r>
      <w:r>
        <w:rPr>
          <w:rFonts w:hint="eastAsia" w:ascii="方正仿宋_GBK" w:hAnsi="方正仿宋_GBK" w:eastAsia="方正仿宋_GBK" w:cs="方正仿宋_GBK"/>
          <w:color w:val="auto"/>
          <w:sz w:val="32"/>
          <w:szCs w:val="32"/>
          <w:lang w:eastAsia="zh-CN"/>
        </w:rPr>
        <w:t>增加公务通讯费和其他交通费用开支</w:t>
      </w:r>
      <w:r>
        <w:rPr>
          <w:rFonts w:hint="eastAsia" w:ascii="方正仿宋_GBK" w:hAnsi="方正仿宋_GBK" w:eastAsia="方正仿宋_GBK" w:cs="方正仿宋_GBK"/>
          <w:color w:val="auto"/>
          <w:sz w:val="32"/>
          <w:szCs w:val="32"/>
        </w:rPr>
        <w:t>，公用经费用途主要包括办公费、印刷费、咨询费、手续费</w:t>
      </w:r>
      <w:r>
        <w:rPr>
          <w:rFonts w:hint="eastAsia" w:ascii="方正仿宋_GBK" w:hAnsi="方正仿宋_GBK" w:eastAsia="方正仿宋_GBK" w:cs="方正仿宋_GBK"/>
          <w:color w:val="auto"/>
          <w:sz w:val="32"/>
          <w:szCs w:val="32"/>
          <w:lang w:eastAsia="zh-CN"/>
        </w:rPr>
        <w:t>、水费、电费、邮电费、差旅费、维修（护）费、培训费、公务接待费、劳务费、工会经费、其他交通费用、其他商品和服务支出。</w:t>
      </w:r>
      <w:r>
        <w:rPr>
          <w:rFonts w:hint="eastAsia" w:ascii="方正仿宋_GBK" w:hAnsi="方正仿宋_GBK" w:eastAsia="方正仿宋_GBK" w:cs="方正仿宋_GBK"/>
          <w:color w:val="auto"/>
          <w:sz w:val="32"/>
          <w:szCs w:val="32"/>
        </w:rPr>
        <w:br w:type="textWrapping"/>
      </w:r>
      <w:r>
        <w:rPr>
          <w:rStyle w:val="5"/>
          <w:rFonts w:hint="eastAsia" w:ascii="方正黑体_GBK" w:hAnsi="方正黑体_GBK" w:eastAsia="方正黑体_GBK" w:cs="方正黑体_GBK"/>
          <w:sz w:val="32"/>
          <w:szCs w:val="32"/>
        </w:rPr>
        <w:t>三、“三公”经费情况说明 </w:t>
      </w:r>
      <w:r>
        <w:rPr>
          <w:rFonts w:hint="eastAsia" w:ascii="方正黑体_GBK" w:hAnsi="方正黑体_GBK" w:eastAsia="方正黑体_GBK" w:cs="方正黑体_GBK"/>
          <w:sz w:val="32"/>
          <w:szCs w:val="32"/>
        </w:rPr>
        <w:br w:type="textWrapping"/>
      </w:r>
      <w:r>
        <w:rPr>
          <w:rStyle w:val="5"/>
        </w:rPr>
        <w:t> </w:t>
      </w:r>
      <w:r>
        <w:rPr>
          <w:rStyle w:val="5"/>
          <w:rFonts w:hint="eastAsia" w:ascii="方正楷体_GBK" w:hAnsi="方正楷体_GBK" w:eastAsia="方正楷体_GBK" w:cs="方正楷体_GBK"/>
          <w:sz w:val="32"/>
          <w:szCs w:val="32"/>
        </w:rPr>
        <w:t xml:space="preserve"> （一）“三公”经费支出总额情况。</w:t>
      </w:r>
      <w:r>
        <w:rPr>
          <w:rFonts w:hint="eastAsia" w:ascii="方正楷体_GBK" w:hAnsi="方正楷体_GBK" w:eastAsia="方正楷体_GBK" w:cs="方正楷体_GBK"/>
          <w:sz w:val="32"/>
          <w:szCs w:val="32"/>
        </w:rPr>
        <w:br w:type="textWrapping"/>
      </w:r>
      <w:r>
        <w:t> </w:t>
      </w:r>
      <w:r>
        <w:rPr>
          <w:rFonts w:hint="eastAsia"/>
          <w:lang w:val="en-US" w:eastAsia="zh-CN"/>
        </w:rPr>
        <w:t xml:space="preserve"> </w:t>
      </w:r>
      <w:r>
        <w:t xml:space="preserve"> </w:t>
      </w:r>
      <w:r>
        <w:rPr>
          <w:rFonts w:hint="eastAsia"/>
          <w:lang w:val="en-US" w:eastAsia="zh-CN"/>
        </w:rPr>
        <w:t xml:space="preserve">  </w:t>
      </w:r>
      <w:r>
        <w:rPr>
          <w:rFonts w:hint="eastAsia" w:ascii="方正仿宋_GBK" w:hAnsi="方正仿宋_GBK" w:eastAsia="方正仿宋_GBK" w:cs="方正仿宋_GBK"/>
          <w:color w:val="auto"/>
          <w:sz w:val="32"/>
          <w:szCs w:val="32"/>
        </w:rPr>
        <w:t>2017年度本部门“三公”经费支出共计29.84万元，较年初预算数减少72.81万元，主要原因是</w:t>
      </w:r>
      <w:r>
        <w:rPr>
          <w:rFonts w:hint="eastAsia" w:ascii="方正仿宋_GBK" w:hAnsi="方正仿宋_GBK" w:eastAsia="方正仿宋_GBK" w:cs="方正仿宋_GBK"/>
          <w:color w:val="auto"/>
          <w:sz w:val="32"/>
          <w:szCs w:val="32"/>
          <w:lang w:eastAsia="zh-CN"/>
        </w:rPr>
        <w:t>严格按照公务接待管理要求和公务用车使用要求降低了接待和运行成本。</w:t>
      </w:r>
      <w:r>
        <w:rPr>
          <w:rFonts w:hint="eastAsia" w:ascii="方正仿宋_GBK" w:hAnsi="方正仿宋_GBK" w:eastAsia="方正仿宋_GBK" w:cs="方正仿宋_GBK"/>
          <w:color w:val="auto"/>
          <w:sz w:val="32"/>
          <w:szCs w:val="32"/>
        </w:rPr>
        <w:t>较上年支出数</w:t>
      </w:r>
      <w:r>
        <w:rPr>
          <w:rFonts w:hint="eastAsia" w:ascii="方正仿宋_GBK" w:hAnsi="方正仿宋_GBK" w:eastAsia="方正仿宋_GBK" w:cs="方正仿宋_GBK"/>
          <w:color w:val="auto"/>
          <w:sz w:val="32"/>
          <w:szCs w:val="32"/>
          <w:lang w:eastAsia="zh-CN"/>
        </w:rPr>
        <w:t>减少</w:t>
      </w:r>
      <w:r>
        <w:rPr>
          <w:rFonts w:hint="eastAsia" w:ascii="方正仿宋_GBK" w:hAnsi="方正仿宋_GBK" w:eastAsia="方正仿宋_GBK" w:cs="方正仿宋_GBK"/>
          <w:color w:val="auto"/>
          <w:sz w:val="32"/>
          <w:szCs w:val="32"/>
          <w:lang w:val="en-US" w:eastAsia="zh-CN"/>
        </w:rPr>
        <w:t>43.33</w:t>
      </w:r>
      <w:r>
        <w:rPr>
          <w:rFonts w:hint="eastAsia" w:ascii="方正仿宋_GBK" w:hAnsi="方正仿宋_GBK" w:eastAsia="方正仿宋_GBK" w:cs="方正仿宋_GBK"/>
          <w:color w:val="auto"/>
          <w:sz w:val="32"/>
          <w:szCs w:val="32"/>
        </w:rPr>
        <w:t>万元，主要原因一是认真贯彻落实中央八项规定精神和厉行节约要求，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w:t>
      </w:r>
      <w:r>
        <w:rPr>
          <w:rFonts w:hint="eastAsia" w:ascii="方正仿宋_GBK" w:hAnsi="方正仿宋_GBK" w:eastAsia="方正仿宋_GBK" w:cs="方正仿宋_GBK"/>
          <w:color w:val="auto"/>
          <w:sz w:val="32"/>
          <w:szCs w:val="32"/>
          <w:lang w:eastAsia="zh-CN"/>
        </w:rPr>
        <w:t>在机关食堂用餐接待严控成本，</w:t>
      </w:r>
      <w:r>
        <w:rPr>
          <w:rFonts w:hint="eastAsia" w:ascii="方正仿宋_GBK" w:hAnsi="方正仿宋_GBK" w:eastAsia="方正仿宋_GBK" w:cs="方正仿宋_GBK"/>
          <w:color w:val="auto"/>
          <w:sz w:val="32"/>
          <w:szCs w:val="32"/>
        </w:rPr>
        <w:t>公务接待费大幅下降。四是进一步规范因公出国（境）活动，今年未安排单位人员出国出访</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br w:type="textWrapping"/>
      </w:r>
      <w:r>
        <w:rPr>
          <w:rStyle w:val="5"/>
        </w:rPr>
        <w:t xml:space="preserve">  </w:t>
      </w:r>
      <w:r>
        <w:rPr>
          <w:rStyle w:val="5"/>
          <w:rFonts w:hint="eastAsia" w:ascii="方正楷体_GBK" w:hAnsi="方正楷体_GBK" w:eastAsia="方正楷体_GBK" w:cs="方正楷体_GBK"/>
          <w:sz w:val="32"/>
          <w:szCs w:val="32"/>
        </w:rPr>
        <w:t>（二）“三公”经费分项支出情况。</w:t>
      </w:r>
      <w:r>
        <w:rPr>
          <w:rFonts w:hint="eastAsia" w:ascii="方正楷体_GBK" w:hAnsi="方正楷体_GBK" w:eastAsia="方正楷体_GBK" w:cs="方正楷体_GBK"/>
          <w:sz w:val="32"/>
          <w:szCs w:val="32"/>
        </w:rPr>
        <w:br w:type="textWrapping"/>
      </w:r>
      <w:r>
        <w:t xml:space="preserve">  </w:t>
      </w:r>
      <w:r>
        <w:rPr>
          <w:rFonts w:hint="eastAsia"/>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2017年度本部门因公出国（境）费用0.00万元，费用支出较年初预算数增加0.00万元，较上年支出数增加0.00万元</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公务车购置费0.00万元，费用支出较年初预算数增加0.00万元，较上年支出数增加0.00万元</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公务车运行维护费17.07万元，</w:t>
      </w:r>
      <w:r>
        <w:rPr>
          <w:rFonts w:hint="eastAsia" w:ascii="方正仿宋_GBK" w:hAnsi="方正仿宋_GBK" w:eastAsia="方正仿宋_GBK" w:cs="方正仿宋_GBK"/>
          <w:color w:val="auto"/>
          <w:sz w:val="32"/>
          <w:szCs w:val="32"/>
        </w:rPr>
        <w:t>主要用于业务检查</w:t>
      </w:r>
      <w:r>
        <w:rPr>
          <w:rFonts w:hint="eastAsia" w:ascii="方正仿宋_GBK" w:hAnsi="方正仿宋_GBK" w:eastAsia="方正仿宋_GBK" w:cs="方正仿宋_GBK"/>
          <w:color w:val="auto"/>
          <w:sz w:val="32"/>
          <w:szCs w:val="32"/>
          <w:lang w:eastAsia="zh-CN"/>
        </w:rPr>
        <w:t>、人民调解、社区矫正走访</w:t>
      </w:r>
      <w:r>
        <w:rPr>
          <w:rFonts w:hint="eastAsia" w:ascii="方正仿宋_GBK" w:hAnsi="方正仿宋_GBK" w:eastAsia="方正仿宋_GBK" w:cs="方正仿宋_GBK"/>
          <w:color w:val="auto"/>
          <w:sz w:val="32"/>
          <w:szCs w:val="32"/>
        </w:rPr>
        <w:t>等工作所需车辆的燃料费、维修费、过桥过路费、保险费，费用支出较年初预算数减少29.82万元，主要原因是</w:t>
      </w:r>
      <w:r>
        <w:rPr>
          <w:rFonts w:hint="eastAsia" w:ascii="方正仿宋_GBK" w:hAnsi="方正仿宋_GBK" w:eastAsia="方正仿宋_GBK" w:cs="方正仿宋_GBK"/>
          <w:color w:val="auto"/>
          <w:sz w:val="32"/>
          <w:szCs w:val="32"/>
          <w:lang w:eastAsia="zh-CN"/>
        </w:rPr>
        <w:t>严格落实公车使用规定，严禁公车私用，</w:t>
      </w:r>
      <w:r>
        <w:rPr>
          <w:rFonts w:hint="eastAsia" w:ascii="方正仿宋_GBK" w:hAnsi="方正仿宋_GBK" w:eastAsia="方正仿宋_GBK" w:cs="方正仿宋_GBK"/>
          <w:color w:val="auto"/>
          <w:sz w:val="32"/>
          <w:szCs w:val="32"/>
        </w:rPr>
        <w:t>较上年支出数增加</w:t>
      </w:r>
      <w:r>
        <w:rPr>
          <w:rFonts w:hint="eastAsia" w:ascii="方正仿宋_GBK" w:hAnsi="方正仿宋_GBK" w:eastAsia="方正仿宋_GBK" w:cs="方正仿宋_GBK"/>
          <w:color w:val="auto"/>
          <w:sz w:val="32"/>
          <w:szCs w:val="32"/>
          <w:lang w:val="en-US" w:eastAsia="zh-CN"/>
        </w:rPr>
        <w:t>7.36</w:t>
      </w:r>
      <w:r>
        <w:rPr>
          <w:rFonts w:hint="eastAsia" w:ascii="方正仿宋_GBK" w:hAnsi="方正仿宋_GBK" w:eastAsia="方正仿宋_GBK" w:cs="方正仿宋_GBK"/>
          <w:color w:val="auto"/>
          <w:sz w:val="32"/>
          <w:szCs w:val="32"/>
        </w:rPr>
        <w:t>万元，主要原因是</w:t>
      </w:r>
      <w:r>
        <w:rPr>
          <w:rFonts w:hint="eastAsia" w:ascii="方正仿宋_GBK" w:hAnsi="方正仿宋_GBK" w:eastAsia="方正仿宋_GBK" w:cs="方正仿宋_GBK"/>
          <w:color w:val="auto"/>
          <w:sz w:val="32"/>
          <w:szCs w:val="32"/>
          <w:lang w:eastAsia="zh-CN"/>
        </w:rPr>
        <w:t>对部分车辆进行维修保养</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公务接待费12.76万元，主要用于接待</w:t>
      </w:r>
      <w:r>
        <w:rPr>
          <w:rFonts w:hint="eastAsia" w:ascii="方正仿宋_GBK" w:hAnsi="方正仿宋_GBK" w:eastAsia="方正仿宋_GBK" w:cs="方正仿宋_GBK"/>
          <w:color w:val="auto"/>
          <w:sz w:val="32"/>
          <w:szCs w:val="32"/>
          <w:lang w:eastAsia="zh-CN"/>
        </w:rPr>
        <w:t>市局业务科室检查指导工作、其他区县司法局调研考察司法行政工作，区级各部门联系工作</w:t>
      </w:r>
      <w:r>
        <w:rPr>
          <w:rFonts w:hint="eastAsia" w:ascii="方正仿宋_GBK" w:hAnsi="方正仿宋_GBK" w:eastAsia="方正仿宋_GBK" w:cs="方正仿宋_GBK"/>
          <w:color w:val="auto"/>
          <w:sz w:val="32"/>
          <w:szCs w:val="32"/>
        </w:rPr>
        <w:t>，费用支出较年初预算数减少42.99万元，主要原因是</w:t>
      </w:r>
      <w:r>
        <w:rPr>
          <w:rFonts w:hint="eastAsia" w:ascii="方正仿宋_GBK" w:hAnsi="方正仿宋_GBK" w:eastAsia="方正仿宋_GBK" w:cs="方正仿宋_GBK"/>
          <w:color w:val="auto"/>
          <w:sz w:val="32"/>
          <w:szCs w:val="32"/>
          <w:lang w:eastAsia="zh-CN"/>
        </w:rPr>
        <w:t>严格遵守接待开支范围和标准、控制配餐人数。</w:t>
      </w:r>
      <w:r>
        <w:rPr>
          <w:rFonts w:hint="eastAsia" w:ascii="方正仿宋_GBK" w:hAnsi="方正仿宋_GBK" w:eastAsia="方正仿宋_GBK" w:cs="方正仿宋_GBK"/>
          <w:color w:val="auto"/>
          <w:sz w:val="32"/>
          <w:szCs w:val="32"/>
        </w:rPr>
        <w:t>较上年支出数</w:t>
      </w:r>
      <w:r>
        <w:rPr>
          <w:rFonts w:hint="eastAsia" w:ascii="方正仿宋_GBK" w:hAnsi="方正仿宋_GBK" w:eastAsia="方正仿宋_GBK" w:cs="方正仿宋_GBK"/>
          <w:color w:val="auto"/>
          <w:sz w:val="32"/>
          <w:szCs w:val="32"/>
          <w:lang w:eastAsia="zh-CN"/>
        </w:rPr>
        <w:t>减少</w:t>
      </w:r>
      <w:r>
        <w:rPr>
          <w:rFonts w:hint="eastAsia" w:ascii="方正仿宋_GBK" w:hAnsi="方正仿宋_GBK" w:eastAsia="方正仿宋_GBK" w:cs="方正仿宋_GBK"/>
          <w:color w:val="auto"/>
          <w:sz w:val="32"/>
          <w:szCs w:val="32"/>
          <w:lang w:val="en-US" w:eastAsia="zh-CN"/>
        </w:rPr>
        <w:t>35.98</w:t>
      </w:r>
      <w:r>
        <w:rPr>
          <w:rFonts w:hint="eastAsia" w:ascii="方正仿宋_GBK" w:hAnsi="方正仿宋_GBK" w:eastAsia="方正仿宋_GBK" w:cs="方正仿宋_GBK"/>
          <w:color w:val="auto"/>
          <w:sz w:val="32"/>
          <w:szCs w:val="32"/>
        </w:rPr>
        <w:t>万元，主要原因是</w:t>
      </w:r>
      <w:r>
        <w:rPr>
          <w:rFonts w:hint="eastAsia" w:ascii="方正仿宋_GBK" w:hAnsi="方正仿宋_GBK" w:eastAsia="方正仿宋_GBK" w:cs="方正仿宋_GBK"/>
          <w:color w:val="auto"/>
          <w:sz w:val="32"/>
          <w:szCs w:val="32"/>
          <w:lang w:eastAsia="zh-CN"/>
        </w:rPr>
        <w:t>严格按照新出台公务接待要求，用餐不提供烟酒，就餐尽量安排在政府机关食堂</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rPr>
        <w:br w:type="textWrapping"/>
      </w:r>
      <w:r>
        <w:rPr>
          <w:rStyle w:val="5"/>
          <w:rFonts w:hint="eastAsia" w:ascii="方正楷体_GBK" w:hAnsi="方正楷体_GBK" w:eastAsia="方正楷体_GBK" w:cs="方正楷体_GBK"/>
          <w:sz w:val="32"/>
          <w:szCs w:val="32"/>
        </w:rPr>
        <w:t>（三）“三公”经费实物量情况。</w:t>
      </w:r>
      <w:r>
        <w:rPr>
          <w:rFonts w:hint="eastAsia" w:ascii="方正楷体_GBK" w:hAnsi="方正楷体_GBK" w:eastAsia="方正楷体_GBK" w:cs="方正楷体_GBK"/>
          <w:sz w:val="32"/>
          <w:szCs w:val="32"/>
        </w:rPr>
        <w:br w:type="textWrapping"/>
      </w:r>
      <w:r>
        <w:t xml:space="preserve">  </w:t>
      </w:r>
      <w:r>
        <w:rPr>
          <w:rFonts w:hint="eastAsia"/>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2017年本部门因公出国（境）共计0个团组，0人；公务用车购置0辆，公务车保有量为17辆；国内公务接待130批次</w:t>
      </w:r>
      <w:r>
        <w:rPr>
          <w:rFonts w:hint="eastAsia" w:ascii="方正仿宋_GBK" w:hAnsi="方正仿宋_GBK" w:eastAsia="方正仿宋_GBK" w:cs="方正仿宋_GBK"/>
          <w:sz w:val="32"/>
          <w:szCs w:val="32"/>
          <w:lang w:eastAsia="zh-CN"/>
        </w:rPr>
        <w:t>（含</w:t>
      </w:r>
      <w:r>
        <w:rPr>
          <w:rFonts w:hint="eastAsia" w:ascii="方正仿宋_GBK" w:hAnsi="方正仿宋_GBK" w:eastAsia="方正仿宋_GBK" w:cs="方正仿宋_GBK"/>
          <w:sz w:val="32"/>
          <w:szCs w:val="32"/>
          <w:lang w:val="en-US" w:eastAsia="zh-CN"/>
        </w:rPr>
        <w:t>21个基层司法所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，1433人，其中：国内外事接待0批次，0人；国（境）外公务接待0批次，0人。2017年本部门人均接待费89.07元，车均购置费0.00万元，车均维护费1.00万元。</w:t>
      </w:r>
      <w:r>
        <w:rPr>
          <w:rFonts w:hint="eastAsia" w:ascii="方正仿宋_GBK" w:hAnsi="方正仿宋_GBK" w:eastAsia="方正仿宋_GBK" w:cs="方正仿宋_GBK"/>
          <w:sz w:val="32"/>
          <w:szCs w:val="32"/>
        </w:rPr>
        <w:br w:type="textWrapping"/>
      </w:r>
      <w:r>
        <w:rPr>
          <w:rStyle w:val="5"/>
          <w:rFonts w:hint="eastAsia" w:ascii="方正黑体_GBK" w:hAnsi="方正黑体_GBK" w:eastAsia="方正黑体_GBK" w:cs="方正黑体_GBK"/>
          <w:sz w:val="32"/>
          <w:szCs w:val="32"/>
        </w:rPr>
        <w:t> 四、其他需要说明的事项</w:t>
      </w:r>
      <w:r>
        <w:rPr>
          <w:rFonts w:hint="eastAsia" w:ascii="方正黑体_GBK" w:hAnsi="方正黑体_GBK" w:eastAsia="方正黑体_GBK" w:cs="方正黑体_GBK"/>
          <w:sz w:val="32"/>
          <w:szCs w:val="32"/>
        </w:rPr>
        <w:br w:type="textWrapping"/>
      </w:r>
      <w:r>
        <w:rPr>
          <w:rStyle w:val="5"/>
        </w:rPr>
        <w:t xml:space="preserve">  </w:t>
      </w:r>
      <w:r>
        <w:rPr>
          <w:rStyle w:val="5"/>
          <w:rFonts w:hint="eastAsia"/>
          <w:lang w:val="en-US" w:eastAsia="zh-CN"/>
        </w:rPr>
        <w:t xml:space="preserve"> </w:t>
      </w:r>
      <w:r>
        <w:rPr>
          <w:rStyle w:val="5"/>
          <w:rFonts w:hint="eastAsia" w:ascii="方正楷体_GBK" w:hAnsi="方正楷体_GBK" w:eastAsia="方正楷体_GBK" w:cs="方正楷体_GBK"/>
          <w:sz w:val="32"/>
          <w:szCs w:val="32"/>
        </w:rPr>
        <w:t>（一）</w:t>
      </w:r>
      <w:r>
        <w:rPr>
          <w:rStyle w:val="5"/>
          <w:rFonts w:hint="eastAsia" w:ascii="方正楷体_GBK" w:hAnsi="方正楷体_GBK" w:eastAsia="方正楷体_GBK" w:cs="方正楷体_GBK"/>
          <w:color w:val="auto"/>
          <w:sz w:val="32"/>
          <w:szCs w:val="32"/>
        </w:rPr>
        <w:t>机关运行经费情况说明。</w:t>
      </w:r>
      <w:r>
        <w:rPr>
          <w:rFonts w:hint="eastAsia" w:ascii="方正仿宋_GBK" w:hAnsi="方正仿宋_GBK" w:eastAsia="方正仿宋_GBK" w:cs="方正仿宋_GBK"/>
          <w:color w:val="auto"/>
          <w:sz w:val="32"/>
          <w:szCs w:val="32"/>
        </w:rPr>
        <w:t>2017年本部门机关运行经费支出206.38万元，机关运行经费主要用于开支办公费、</w:t>
      </w:r>
      <w:r>
        <w:rPr>
          <w:rFonts w:hint="eastAsia" w:ascii="方正仿宋_GBK" w:hAnsi="方正仿宋_GBK" w:eastAsia="方正仿宋_GBK" w:cs="方正仿宋_GBK"/>
          <w:color w:val="auto"/>
          <w:sz w:val="32"/>
          <w:szCs w:val="32"/>
          <w:lang w:eastAsia="zh-CN"/>
        </w:rPr>
        <w:t>差旅费、公务接待费、</w:t>
      </w:r>
      <w:r>
        <w:rPr>
          <w:rFonts w:hint="eastAsia" w:ascii="方正仿宋_GBK" w:hAnsi="方正仿宋_GBK" w:eastAsia="方正仿宋_GBK" w:cs="方正仿宋_GBK"/>
          <w:color w:val="auto"/>
          <w:sz w:val="32"/>
          <w:szCs w:val="32"/>
        </w:rPr>
        <w:t>公务车运行维护费。机关运行经费较2016年增加</w:t>
      </w:r>
      <w:r>
        <w:rPr>
          <w:rFonts w:hint="eastAsia" w:ascii="方正仿宋_GBK" w:hAnsi="方正仿宋_GBK" w:eastAsia="方正仿宋_GBK" w:cs="方正仿宋_GBK"/>
          <w:color w:val="auto"/>
          <w:sz w:val="32"/>
          <w:szCs w:val="32"/>
          <w:lang w:val="en-US" w:eastAsia="zh-CN"/>
        </w:rPr>
        <w:t>121.72</w:t>
      </w:r>
      <w:r>
        <w:rPr>
          <w:rFonts w:hint="eastAsia" w:ascii="方正仿宋_GBK" w:hAnsi="方正仿宋_GBK" w:eastAsia="方正仿宋_GBK" w:cs="方正仿宋_GBK"/>
          <w:color w:val="auto"/>
          <w:sz w:val="32"/>
          <w:szCs w:val="32"/>
        </w:rPr>
        <w:t>万元，增长</w:t>
      </w:r>
      <w:r>
        <w:rPr>
          <w:rFonts w:hint="eastAsia" w:ascii="方正仿宋_GBK" w:hAnsi="方正仿宋_GBK" w:eastAsia="方正仿宋_GBK" w:cs="方正仿宋_GBK"/>
          <w:color w:val="auto"/>
          <w:sz w:val="32"/>
          <w:szCs w:val="32"/>
          <w:lang w:val="en-US" w:eastAsia="zh-CN"/>
        </w:rPr>
        <w:t>143.78</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eastAsia="zh-CN"/>
        </w:rPr>
        <w:t>发放</w:t>
      </w:r>
      <w:r>
        <w:rPr>
          <w:rFonts w:hint="eastAsia" w:ascii="方正仿宋_GBK" w:hAnsi="方正仿宋_GBK" w:eastAsia="方正仿宋_GBK" w:cs="方正仿宋_GBK"/>
          <w:color w:val="auto"/>
          <w:sz w:val="32"/>
          <w:szCs w:val="32"/>
          <w:lang w:val="en-US" w:eastAsia="zh-CN"/>
        </w:rPr>
        <w:t>2016年和2017年公务通讯费、2017年公务交通补贴，此外部分原因是由物价上涨造成</w:t>
      </w:r>
      <w:r>
        <w:rPr>
          <w:rFonts w:hint="eastAsia" w:ascii="方正仿宋_GBK" w:hAnsi="方正仿宋_GBK" w:eastAsia="方正仿宋_GBK" w:cs="方正仿宋_GBK"/>
          <w:color w:val="auto"/>
          <w:sz w:val="32"/>
          <w:szCs w:val="32"/>
        </w:rPr>
        <w:t>。</w:t>
      </w:r>
      <w:r>
        <w:rPr>
          <w:color w:val="auto"/>
        </w:rPr>
        <w:br w:type="textWrapping"/>
      </w:r>
      <w:r>
        <w:rPr>
          <w:rStyle w:val="5"/>
        </w:rPr>
        <w:t xml:space="preserve">  </w:t>
      </w:r>
      <w:r>
        <w:rPr>
          <w:rStyle w:val="5"/>
          <w:rFonts w:hint="eastAsia"/>
          <w:lang w:val="en-US" w:eastAsia="zh-CN"/>
        </w:rPr>
        <w:t xml:space="preserve"> </w:t>
      </w:r>
      <w:r>
        <w:rPr>
          <w:rStyle w:val="5"/>
          <w:rFonts w:hint="eastAsia" w:ascii="方正楷体_GBK" w:hAnsi="方正楷体_GBK" w:eastAsia="方正楷体_GBK" w:cs="方正楷体_GBK"/>
          <w:sz w:val="32"/>
          <w:szCs w:val="32"/>
        </w:rPr>
        <w:t>（二）国有资产占用情况说明</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截至2017年12月31日，本部门共有车辆17辆，其中，部级领导干部用车0辆、一般公务用车0辆、一般执法执勤用车14辆、特种专业技术用车3辆、其他用车0辆，单价50万元以上通用设备0台（套），单价100万元以上专用设备0台（套）。</w:t>
      </w:r>
      <w:r>
        <w:rPr>
          <w:rFonts w:hint="eastAsia" w:ascii="方正仿宋_GBK" w:hAnsi="方正仿宋_GBK" w:eastAsia="方正仿宋_GBK" w:cs="方正仿宋_GBK"/>
          <w:sz w:val="32"/>
          <w:szCs w:val="32"/>
        </w:rPr>
        <w:br w:type="textWrapping"/>
      </w:r>
      <w:r>
        <w:rPr>
          <w:rStyle w:val="5"/>
          <w:rFonts w:hint="eastAsia" w:ascii="方正楷体_GBK" w:hAnsi="方正楷体_GBK" w:eastAsia="方正楷体_GBK" w:cs="方正楷体_GBK"/>
          <w:sz w:val="32"/>
          <w:szCs w:val="32"/>
        </w:rPr>
        <w:t xml:space="preserve">  </w:t>
      </w:r>
      <w:r>
        <w:rPr>
          <w:rStyle w:val="5"/>
          <w:rFonts w:hint="eastAsia" w:ascii="方正楷体_GBK" w:hAnsi="方正楷体_GBK" w:eastAsia="方正楷体_GBK" w:cs="方正楷体_GBK"/>
          <w:sz w:val="32"/>
          <w:szCs w:val="32"/>
          <w:lang w:val="en-US" w:eastAsia="zh-CN"/>
        </w:rPr>
        <w:t xml:space="preserve"> </w:t>
      </w:r>
      <w:r>
        <w:rPr>
          <w:rStyle w:val="5"/>
          <w:rFonts w:hint="eastAsia" w:ascii="方正楷体_GBK" w:hAnsi="方正楷体_GBK" w:eastAsia="方正楷体_GBK" w:cs="方正楷体_GBK"/>
          <w:color w:val="auto"/>
          <w:sz w:val="32"/>
          <w:szCs w:val="32"/>
        </w:rPr>
        <w:t>（三）政府采购支出情况说明。</w:t>
      </w:r>
      <w:r>
        <w:rPr>
          <w:rFonts w:hint="eastAsia" w:ascii="方正仿宋_GBK" w:hAnsi="方正仿宋_GBK" w:eastAsia="方正仿宋_GBK" w:cs="方正仿宋_GBK"/>
          <w:color w:val="auto"/>
          <w:sz w:val="32"/>
          <w:szCs w:val="32"/>
        </w:rPr>
        <w:t>2017年本部门政府采购支出总额29.73万元，其中：政府采购货物支出29.73万元、政府采购工程支出0.00万元、政府采购服务支出0.00万元。主要用于采购</w:t>
      </w:r>
      <w:r>
        <w:rPr>
          <w:rFonts w:hint="eastAsia" w:ascii="方正仿宋_GBK" w:hAnsi="方正仿宋_GBK" w:eastAsia="方正仿宋_GBK" w:cs="方正仿宋_GBK"/>
          <w:color w:val="auto"/>
          <w:sz w:val="32"/>
          <w:szCs w:val="32"/>
          <w:lang w:eastAsia="zh-CN"/>
        </w:rPr>
        <w:t>办公设备、办公家具</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rPr>
        <w:br w:type="textWrapping"/>
      </w:r>
      <w:r>
        <w:rPr>
          <w:rStyle w:val="5"/>
          <w:rFonts w:hint="eastAsia" w:ascii="方正楷体_GBK" w:hAnsi="方正楷体_GBK" w:eastAsia="方正楷体_GBK" w:cs="方正楷体_GBK"/>
          <w:sz w:val="32"/>
          <w:szCs w:val="32"/>
        </w:rPr>
        <w:t>  （四）预算绩效管理情况说明。</w:t>
      </w:r>
      <w:r>
        <w:rPr>
          <w:rFonts w:hint="eastAsia" w:ascii="方正楷体_GBK" w:hAnsi="方正楷体_GBK" w:eastAsia="方正楷体_GBK" w:cs="方正楷体_GBK"/>
          <w:sz w:val="32"/>
          <w:szCs w:val="32"/>
        </w:rPr>
        <w:br w:type="textWrapping"/>
      </w:r>
      <w:r>
        <w:rPr>
          <w:rFonts w:hint="eastAsia" w:ascii="方正楷体_GBK" w:hAnsi="方正楷体_GBK" w:eastAsia="方正楷体_GBK" w:cs="方正楷体_GBK"/>
          <w:sz w:val="32"/>
          <w:szCs w:val="32"/>
          <w:lang w:val="en-US" w:eastAsia="zh-CN"/>
        </w:rPr>
        <w:t xml:space="preserve">    </w:t>
      </w:r>
      <w:r>
        <w:rPr>
          <w:rFonts w:hint="eastAsia" w:ascii="方正仿宋_GBK" w:hAnsi="方正仿宋_GBK" w:eastAsia="方正仿宋_GBK" w:cs="方正仿宋_GBK"/>
          <w:sz w:val="32"/>
          <w:szCs w:val="32"/>
        </w:rPr>
        <w:t>预算绩效管理工作情况。</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根据预算绩效管理要求，我局对</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个项目开展了绩效自评，涉及资金</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万元。对</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个项目开展了重点绩效评价，涉及资金</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br w:type="textWrapping"/>
      </w:r>
      <w:r>
        <w:rPr>
          <w:rStyle w:val="5"/>
          <w:rFonts w:hint="eastAsia" w:ascii="方正黑体_GBK" w:hAnsi="方正黑体_GBK" w:eastAsia="方正黑体_GBK" w:cs="方正黑体_GBK"/>
          <w:sz w:val="32"/>
          <w:szCs w:val="32"/>
        </w:rPr>
        <w:t>五、专业名词解释。</w:t>
      </w:r>
      <w:r>
        <w:rPr>
          <w:rFonts w:hint="eastAsia" w:ascii="方正黑体_GBK" w:hAnsi="方正黑体_GBK" w:eastAsia="方正黑体_GBK" w:cs="方正黑体_GBK"/>
          <w:sz w:val="32"/>
          <w:szCs w:val="32"/>
        </w:rPr>
        <w:br w:type="textWrapping"/>
      </w:r>
      <w:r>
        <w:rPr>
          <w:rStyle w:val="5"/>
        </w:rPr>
        <w:t> </w:t>
      </w:r>
      <w:r>
        <w:rPr>
          <w:rStyle w:val="5"/>
          <w:rFonts w:hint="eastAsia" w:ascii="方正楷体_GBK" w:hAnsi="方正楷体_GBK" w:eastAsia="方正楷体_GBK" w:cs="方正楷体_GBK"/>
          <w:sz w:val="32"/>
          <w:szCs w:val="32"/>
        </w:rPr>
        <w:t xml:space="preserve"> （一）财政拨款收入：</w:t>
      </w:r>
      <w:r>
        <w:rPr>
          <w:rFonts w:hint="eastAsia" w:ascii="方正仿宋_GBK" w:hAnsi="方正仿宋_GBK" w:eastAsia="方正仿宋_GBK" w:cs="方正仿宋_GBK"/>
          <w:sz w:val="32"/>
          <w:szCs w:val="32"/>
        </w:rPr>
        <w:t>指本年度从本级财政部门取得的财政拨款，包括一般公共预算财政拨款和政府性基金预算财政拨款。</w:t>
      </w:r>
      <w:r>
        <w:rPr>
          <w:rFonts w:hint="eastAsia" w:ascii="方正仿宋_GBK" w:hAnsi="方正仿宋_GBK" w:eastAsia="方正仿宋_GBK" w:cs="方正仿宋_GBK"/>
          <w:sz w:val="32"/>
          <w:szCs w:val="32"/>
        </w:rPr>
        <w:br w:type="textWrapping"/>
      </w:r>
      <w:r>
        <w:rPr>
          <w:rStyle w:val="5"/>
        </w:rPr>
        <w:t xml:space="preserve">  </w:t>
      </w:r>
      <w:r>
        <w:rPr>
          <w:rStyle w:val="5"/>
          <w:rFonts w:hint="eastAsia" w:ascii="方正楷体_GBK" w:hAnsi="方正楷体_GBK" w:eastAsia="方正楷体_GBK" w:cs="方正楷体_GBK"/>
          <w:sz w:val="32"/>
          <w:szCs w:val="32"/>
        </w:rPr>
        <w:t>（二）事业收入：</w:t>
      </w:r>
      <w:r>
        <w:rPr>
          <w:rFonts w:hint="eastAsia" w:ascii="方正仿宋_GBK" w:hAnsi="方正仿宋_GBK" w:eastAsia="方正仿宋_GBK" w:cs="方正仿宋_GBK"/>
          <w:sz w:val="32"/>
          <w:szCs w:val="32"/>
        </w:rPr>
        <w:t>指事业单位开展专业业务活动及其辅助活动取得的收入；事业单位收到的财政专户实际核拨的教育收费等资金在此反映。</w:t>
      </w:r>
      <w:r>
        <w:rPr>
          <w:rFonts w:hint="eastAsia" w:ascii="方正仿宋_GBK" w:hAnsi="方正仿宋_GBK" w:eastAsia="方正仿宋_GBK" w:cs="方正仿宋_GBK"/>
          <w:sz w:val="32"/>
          <w:szCs w:val="32"/>
        </w:rPr>
        <w:br w:type="textWrapping"/>
      </w:r>
      <w:r>
        <w:rPr>
          <w:rStyle w:val="5"/>
        </w:rPr>
        <w:t xml:space="preserve">  </w:t>
      </w:r>
      <w:r>
        <w:rPr>
          <w:rStyle w:val="5"/>
          <w:rFonts w:hint="eastAsia" w:ascii="方正楷体_GBK" w:hAnsi="方正楷体_GBK" w:eastAsia="方正楷体_GBK" w:cs="方正楷体_GBK"/>
          <w:sz w:val="32"/>
          <w:szCs w:val="32"/>
        </w:rPr>
        <w:t>（三）经营收入：</w:t>
      </w:r>
      <w:r>
        <w:rPr>
          <w:rFonts w:hint="eastAsia" w:ascii="方正仿宋_GBK" w:hAnsi="方正仿宋_GBK" w:eastAsia="方正仿宋_GBK" w:cs="方正仿宋_GBK"/>
          <w:sz w:val="32"/>
          <w:szCs w:val="32"/>
        </w:rPr>
        <w:t>指事业单位在专业业务活动及其辅助活动之外开展非独立核算经营活动取得的收入。</w:t>
      </w:r>
      <w:r>
        <w:rPr>
          <w:rFonts w:hint="eastAsia" w:ascii="方正仿宋_GBK" w:hAnsi="方正仿宋_GBK" w:eastAsia="方正仿宋_GBK" w:cs="方正仿宋_GBK"/>
          <w:sz w:val="32"/>
          <w:szCs w:val="32"/>
        </w:rPr>
        <w:br w:type="textWrapping"/>
      </w:r>
      <w:r>
        <w:rPr>
          <w:rStyle w:val="5"/>
        </w:rPr>
        <w:t xml:space="preserve">  </w:t>
      </w:r>
      <w:r>
        <w:rPr>
          <w:rStyle w:val="5"/>
          <w:rFonts w:hint="eastAsia" w:ascii="方正楷体_GBK" w:hAnsi="方正楷体_GBK" w:eastAsia="方正楷体_GBK" w:cs="方正楷体_GBK"/>
          <w:sz w:val="32"/>
          <w:szCs w:val="32"/>
        </w:rPr>
        <w:t>（四）其他收入：</w:t>
      </w:r>
      <w:r>
        <w:rPr>
          <w:rFonts w:hint="eastAsia" w:ascii="方正仿宋_GBK" w:hAnsi="方正仿宋_GBK" w:eastAsia="方正仿宋_GBK" w:cs="方正仿宋_GBK"/>
          <w:sz w:val="32"/>
          <w:szCs w:val="32"/>
        </w:rPr>
        <w:t>指单位取得的除“财政拨款收入”、“事业收入”、“经营收入”等以外的收入，包括未纳入财政预算 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r>
        <w:br w:type="textWrapping"/>
      </w:r>
      <w:r>
        <w:rPr>
          <w:rStyle w:val="5"/>
        </w:rPr>
        <w:t> </w:t>
      </w:r>
      <w:r>
        <w:rPr>
          <w:rStyle w:val="5"/>
          <w:rFonts w:hint="eastAsia" w:ascii="方正楷体_GBK" w:hAnsi="方正楷体_GBK" w:eastAsia="方正楷体_GBK" w:cs="方正楷体_GBK"/>
          <w:sz w:val="32"/>
          <w:szCs w:val="32"/>
        </w:rPr>
        <w:t xml:space="preserve"> （五）用事业基金弥补收支差额</w:t>
      </w:r>
      <w:r>
        <w:rPr>
          <w:rFonts w:hint="eastAsia" w:ascii="方正仿宋_GBK" w:hAnsi="方正仿宋_GBK" w:eastAsia="方正仿宋_GBK" w:cs="方正仿宋_GBK"/>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r>
        <w:rPr>
          <w:rFonts w:hint="eastAsia" w:ascii="方正仿宋_GBK" w:hAnsi="方正仿宋_GBK" w:eastAsia="方正仿宋_GBK" w:cs="方正仿宋_GBK"/>
          <w:sz w:val="32"/>
          <w:szCs w:val="32"/>
        </w:rPr>
        <w:br w:type="textWrapping"/>
      </w:r>
      <w:r>
        <w:rPr>
          <w:rStyle w:val="5"/>
        </w:rPr>
        <w:t> </w:t>
      </w:r>
      <w:r>
        <w:rPr>
          <w:rStyle w:val="5"/>
          <w:rFonts w:hint="eastAsia" w:ascii="方正楷体_GBK" w:hAnsi="方正楷体_GBK" w:eastAsia="方正楷体_GBK" w:cs="方正楷体_GBK"/>
          <w:sz w:val="32"/>
          <w:szCs w:val="32"/>
        </w:rPr>
        <w:t xml:space="preserve"> （六）年初结转和结余</w:t>
      </w:r>
      <w:r>
        <w:rPr>
          <w:rStyle w:val="5"/>
        </w:rPr>
        <w:t>：</w:t>
      </w:r>
      <w:r>
        <w:rPr>
          <w:rFonts w:hint="eastAsia" w:ascii="方正仿宋_GBK" w:hAnsi="方正仿宋_GBK" w:eastAsia="方正仿宋_GBK" w:cs="方正仿宋_GBK"/>
          <w:sz w:val="32"/>
          <w:szCs w:val="32"/>
        </w:rPr>
        <w:t>指单位上年结转本年使用的基本支出结转、项目支出结转和结余、经营结余。不包括事业单位净资产项下的事业基金和专用基金。</w:t>
      </w:r>
      <w:r>
        <w:br w:type="textWrapping"/>
      </w:r>
      <w:r>
        <w:rPr>
          <w:rStyle w:val="5"/>
        </w:rPr>
        <w:t xml:space="preserve">  </w:t>
      </w:r>
      <w:r>
        <w:rPr>
          <w:rStyle w:val="5"/>
          <w:rFonts w:hint="eastAsia" w:ascii="方正楷体_GBK" w:hAnsi="方正楷体_GBK" w:eastAsia="方正楷体_GBK" w:cs="方正楷体_GBK"/>
          <w:sz w:val="32"/>
          <w:szCs w:val="32"/>
        </w:rPr>
        <w:t>（七）结余分配</w:t>
      </w:r>
      <w:r>
        <w:rPr>
          <w:rStyle w:val="5"/>
        </w:rPr>
        <w:t>：</w:t>
      </w:r>
      <w:r>
        <w:rPr>
          <w:rFonts w:hint="eastAsia" w:ascii="方正仿宋_GBK" w:hAnsi="方正仿宋_GBK" w:eastAsia="方正仿宋_GBK" w:cs="方正仿宋_GBK"/>
          <w:sz w:val="32"/>
          <w:szCs w:val="32"/>
        </w:rPr>
        <w:t>指单位当年结余的分配情况。根据《关于事业单位提取专用基金比例问题的通知》（财教[2012]32号）规定，事业单位职工福利基金的提取比例，在单位年度非财政拨款结余的40%以内确定，国家另有规定的从其规定。</w:t>
      </w:r>
      <w:r>
        <w:rPr>
          <w:rFonts w:hint="eastAsia" w:ascii="方正仿宋_GBK" w:hAnsi="方正仿宋_GBK" w:eastAsia="方正仿宋_GBK" w:cs="方正仿宋_GBK"/>
          <w:sz w:val="32"/>
          <w:szCs w:val="32"/>
        </w:rPr>
        <w:br w:type="textWrapping"/>
      </w:r>
      <w:r>
        <w:rPr>
          <w:rStyle w:val="5"/>
        </w:rPr>
        <w:t xml:space="preserve">  </w:t>
      </w:r>
      <w:r>
        <w:rPr>
          <w:rStyle w:val="5"/>
          <w:rFonts w:hint="eastAsia" w:ascii="方正楷体_GBK" w:hAnsi="方正楷体_GBK" w:eastAsia="方正楷体_GBK" w:cs="方正楷体_GBK"/>
          <w:sz w:val="32"/>
          <w:szCs w:val="32"/>
        </w:rPr>
        <w:t>（八）年末结转和结余：</w:t>
      </w:r>
      <w:r>
        <w:rPr>
          <w:rFonts w:hint="eastAsia" w:ascii="方正仿宋_GBK" w:hAnsi="方正仿宋_GBK" w:eastAsia="方正仿宋_GBK" w:cs="方正仿宋_GBK"/>
          <w:sz w:val="32"/>
          <w:szCs w:val="32"/>
        </w:rPr>
        <w:t>指单位结转下年的基本支出结转、项目支出结转和结余、经营结余。不包括事业单位净资产项下的事业基金和专用基金。</w:t>
      </w:r>
      <w:r>
        <w:rPr>
          <w:rFonts w:hint="eastAsia" w:ascii="方正仿宋_GBK" w:hAnsi="方正仿宋_GBK" w:eastAsia="方正仿宋_GBK" w:cs="方正仿宋_GBK"/>
          <w:sz w:val="32"/>
          <w:szCs w:val="32"/>
        </w:rPr>
        <w:br w:type="textWrapping"/>
      </w:r>
      <w:r>
        <w:rPr>
          <w:rStyle w:val="5"/>
        </w:rPr>
        <w:t xml:space="preserve">  </w:t>
      </w:r>
      <w:r>
        <w:rPr>
          <w:rStyle w:val="5"/>
          <w:rFonts w:hint="eastAsia" w:ascii="方正楷体_GBK" w:hAnsi="方正楷体_GBK" w:eastAsia="方正楷体_GBK" w:cs="方正楷体_GBK"/>
          <w:sz w:val="32"/>
          <w:szCs w:val="32"/>
        </w:rPr>
        <w:t>（九）基本支出：</w:t>
      </w:r>
      <w:r>
        <w:rPr>
          <w:rFonts w:hint="eastAsia"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r>
        <w:rPr>
          <w:rFonts w:hint="eastAsia" w:ascii="方正仿宋_GBK" w:hAnsi="方正仿宋_GBK" w:eastAsia="方正仿宋_GBK" w:cs="方正仿宋_GBK"/>
          <w:sz w:val="32"/>
          <w:szCs w:val="32"/>
        </w:rPr>
        <w:br w:type="textWrapping"/>
      </w:r>
      <w:r>
        <w:rPr>
          <w:rStyle w:val="5"/>
        </w:rPr>
        <w:t xml:space="preserve">  </w:t>
      </w:r>
      <w:r>
        <w:rPr>
          <w:rStyle w:val="5"/>
          <w:rFonts w:hint="eastAsia" w:ascii="方正楷体_GBK" w:hAnsi="方正楷体_GBK" w:eastAsia="方正楷体_GBK" w:cs="方正楷体_GBK"/>
          <w:sz w:val="32"/>
          <w:szCs w:val="32"/>
        </w:rPr>
        <w:t>（十）项目支出</w:t>
      </w:r>
      <w:r>
        <w:rPr>
          <w:rStyle w:val="5"/>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指在基本支出之外为完成特定行政任务和事业发展目标所发生的支出。</w:t>
      </w:r>
      <w:r>
        <w:rPr>
          <w:rFonts w:hint="eastAsia" w:ascii="方正仿宋_GBK" w:hAnsi="方正仿宋_GBK" w:eastAsia="方正仿宋_GBK" w:cs="方正仿宋_GBK"/>
          <w:sz w:val="32"/>
          <w:szCs w:val="32"/>
        </w:rPr>
        <w:br w:type="textWrapping"/>
      </w:r>
      <w:r>
        <w:rPr>
          <w:rStyle w:val="5"/>
        </w:rPr>
        <w:t xml:space="preserve">  </w:t>
      </w:r>
      <w:r>
        <w:rPr>
          <w:rStyle w:val="5"/>
          <w:rFonts w:hint="eastAsia" w:ascii="方正楷体_GBK" w:hAnsi="方正楷体_GBK" w:eastAsia="方正楷体_GBK" w:cs="方正楷体_GBK"/>
          <w:sz w:val="32"/>
          <w:szCs w:val="32"/>
        </w:rPr>
        <w:t>（十一）经营支出</w:t>
      </w:r>
      <w:r>
        <w:rPr>
          <w:rStyle w:val="5"/>
        </w:rPr>
        <w:t>：</w:t>
      </w:r>
      <w:r>
        <w:rPr>
          <w:rFonts w:hint="eastAsia" w:ascii="方正仿宋_GBK" w:hAnsi="方正仿宋_GBK" w:eastAsia="方正仿宋_GBK" w:cs="方正仿宋_GBK"/>
          <w:sz w:val="32"/>
          <w:szCs w:val="32"/>
        </w:rPr>
        <w:t>指事业单位在专业业务活动及其辅助活动之外开展非独立核算经营活动发生的支出。</w:t>
      </w:r>
      <w:r>
        <w:rPr>
          <w:rFonts w:hint="eastAsia" w:ascii="方正仿宋_GBK" w:hAnsi="方正仿宋_GBK" w:eastAsia="方正仿宋_GBK" w:cs="方正仿宋_GBK"/>
          <w:sz w:val="32"/>
          <w:szCs w:val="32"/>
        </w:rPr>
        <w:br w:type="textWrapping"/>
      </w:r>
      <w:r>
        <w:rPr>
          <w:rStyle w:val="5"/>
        </w:rPr>
        <w:t xml:space="preserve">  </w:t>
      </w:r>
      <w:r>
        <w:rPr>
          <w:rStyle w:val="5"/>
          <w:rFonts w:hint="eastAsia" w:ascii="方正楷体_GBK" w:hAnsi="方正楷体_GBK" w:eastAsia="方正楷体_GBK" w:cs="方正楷体_GBK"/>
          <w:sz w:val="32"/>
          <w:szCs w:val="32"/>
        </w:rPr>
        <w:t>（十二）“三公”经费</w:t>
      </w:r>
      <w:r>
        <w:rPr>
          <w:rStyle w:val="5"/>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指用一般公共预算财政拨款安排的因公出国（境）费、公务用车购置及运行维护费、公务接待 费。其中，因公出国（境）费反映单位公务出国（境）的国际旅费、国外城市间交通费、住宿费、伙食费、培训费、公杂费等支出；公务用车购置费反映单位公务用 车购置支出（含车辆购置税）；公务用车运行维护费反映单位按规定保留的公务用车燃料费、维修费、过路过桥费、保险费、安全奖励费用等支出；公务接待费反映 单位按规定开支的各类公务接待（含外宾接待）支出。</w:t>
      </w:r>
      <w:r>
        <w:rPr>
          <w:rFonts w:hint="eastAsia" w:ascii="方正仿宋_GBK" w:hAnsi="方正仿宋_GBK" w:eastAsia="方正仿宋_GBK" w:cs="方正仿宋_GBK"/>
          <w:sz w:val="32"/>
          <w:szCs w:val="32"/>
        </w:rPr>
        <w:br w:type="textWrapping"/>
      </w:r>
      <w:r>
        <w:rPr>
          <w:rStyle w:val="5"/>
        </w:rPr>
        <w:t xml:space="preserve">  </w:t>
      </w:r>
      <w:r>
        <w:rPr>
          <w:rStyle w:val="5"/>
          <w:rFonts w:hint="eastAsia" w:ascii="方正楷体_GBK" w:hAnsi="方正楷体_GBK" w:eastAsia="方正楷体_GBK" w:cs="方正楷体_GBK"/>
          <w:sz w:val="32"/>
          <w:szCs w:val="32"/>
        </w:rPr>
        <w:t>（十三）机关运行经费</w:t>
      </w:r>
      <w:r>
        <w:rPr>
          <w:rStyle w:val="5"/>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为保障行政单位（含参照公务员法管理的事业单位）运行用于购买货物和服务等的各项公用经 费，包括办公及印刷费、邮电费、差旅费、会议费、福利费、日常维护费、专用材料及一般设备购置费、办公用房水电费、办公用房取暖费、办公用房物业管理费、 公务用车运行维护费以及其他费用。</w:t>
      </w:r>
      <w:r>
        <w:rPr>
          <w:rFonts w:hint="eastAsia" w:ascii="方正仿宋_GBK" w:hAnsi="方正仿宋_GBK" w:eastAsia="方正仿宋_GBK" w:cs="方正仿宋_GBK"/>
          <w:sz w:val="32"/>
          <w:szCs w:val="32"/>
        </w:rPr>
        <w:br w:type="textWrapping"/>
      </w:r>
      <w:r>
        <w:rPr>
          <w:rStyle w:val="5"/>
        </w:rPr>
        <w:t> </w:t>
      </w:r>
      <w:r>
        <w:rPr>
          <w:rStyle w:val="5"/>
          <w:rFonts w:hint="eastAsia" w:ascii="方正楷体_GBK" w:hAnsi="方正楷体_GBK" w:eastAsia="方正楷体_GBK" w:cs="方正楷体_GBK"/>
          <w:sz w:val="32"/>
          <w:szCs w:val="32"/>
        </w:rPr>
        <w:t xml:space="preserve"> （十四）工资福利支出（支出经济分类科目类级）：</w:t>
      </w:r>
      <w:r>
        <w:rPr>
          <w:rFonts w:hint="eastAsia" w:ascii="方正仿宋_GBK" w:hAnsi="方正仿宋_GBK" w:eastAsia="方正仿宋_GBK" w:cs="方正仿宋_GBK"/>
          <w:sz w:val="32"/>
          <w:szCs w:val="32"/>
        </w:rPr>
        <w:t>反映单位开支的在职职工和编制外长期聘用人员的各类劳动报酬，以及为上述人员缴纳的各项社会保险费等。</w:t>
      </w:r>
      <w:r>
        <w:rPr>
          <w:rFonts w:hint="eastAsia" w:ascii="方正仿宋_GBK" w:hAnsi="方正仿宋_GBK" w:eastAsia="方正仿宋_GBK" w:cs="方正仿宋_GBK"/>
          <w:sz w:val="32"/>
          <w:szCs w:val="32"/>
        </w:rPr>
        <w:br w:type="textWrapping"/>
      </w:r>
      <w:r>
        <w:rPr>
          <w:rStyle w:val="5"/>
        </w:rPr>
        <w:t> </w:t>
      </w:r>
      <w:r>
        <w:rPr>
          <w:rStyle w:val="5"/>
          <w:rFonts w:hint="eastAsia" w:ascii="方正楷体_GBK" w:hAnsi="方正楷体_GBK" w:eastAsia="方正楷体_GBK" w:cs="方正楷体_GBK"/>
          <w:sz w:val="32"/>
          <w:szCs w:val="32"/>
        </w:rPr>
        <w:t xml:space="preserve"> （十五）商品和服务支出（支出经济分类科目类级）</w:t>
      </w:r>
      <w:r>
        <w:rPr>
          <w:rStyle w:val="5"/>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反映单位购买商品和服务的支出（不包括用于购置固定资产的支出、战略性和应急储备支出）。</w:t>
      </w:r>
      <w:r>
        <w:br w:type="textWrapping"/>
      </w:r>
      <w:r>
        <w:rPr>
          <w:rStyle w:val="5"/>
        </w:rPr>
        <w:t xml:space="preserve">  </w:t>
      </w:r>
      <w:r>
        <w:rPr>
          <w:rStyle w:val="5"/>
          <w:rFonts w:hint="eastAsia" w:ascii="方正楷体_GBK" w:hAnsi="方正楷体_GBK" w:eastAsia="方正楷体_GBK" w:cs="方正楷体_GBK"/>
          <w:sz w:val="32"/>
          <w:szCs w:val="32"/>
        </w:rPr>
        <w:t>（十六）对个人和家庭的补助（支出经济分类科目类级）</w:t>
      </w:r>
      <w:r>
        <w:rPr>
          <w:rStyle w:val="5"/>
        </w:rPr>
        <w:t>：</w:t>
      </w:r>
      <w:r>
        <w:rPr>
          <w:rFonts w:hint="eastAsia" w:ascii="方正仿宋_GBK" w:hAnsi="方正仿宋_GBK" w:eastAsia="方正仿宋_GBK" w:cs="方正仿宋_GBK"/>
          <w:sz w:val="32"/>
          <w:szCs w:val="32"/>
        </w:rPr>
        <w:t>反映用于对个人和家庭的补助支出。</w:t>
      </w:r>
      <w:r>
        <w:rPr>
          <w:rFonts w:hint="eastAsia" w:ascii="方正仿宋_GBK" w:hAnsi="方正仿宋_GBK" w:eastAsia="方正仿宋_GBK" w:cs="方正仿宋_GBK"/>
          <w:sz w:val="32"/>
          <w:szCs w:val="32"/>
        </w:rPr>
        <w:br w:type="textWrapping"/>
      </w:r>
      <w:r>
        <w:rPr>
          <w:rStyle w:val="5"/>
        </w:rPr>
        <w:t xml:space="preserve">  </w:t>
      </w:r>
      <w:r>
        <w:rPr>
          <w:rStyle w:val="5"/>
          <w:rFonts w:hint="eastAsia" w:ascii="方正楷体_GBK" w:hAnsi="方正楷体_GBK" w:eastAsia="方正楷体_GBK" w:cs="方正楷体_GBK"/>
          <w:sz w:val="32"/>
          <w:szCs w:val="32"/>
        </w:rPr>
        <w:t>（十七）其他资本性支出（支出经济分类科目类级）</w:t>
      </w:r>
      <w:r>
        <w:rPr>
          <w:rStyle w:val="5"/>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r>
        <w:rPr>
          <w:rFonts w:hint="eastAsia" w:ascii="方正仿宋_GBK" w:hAnsi="方正仿宋_GBK" w:eastAsia="方正仿宋_GBK" w:cs="方正仿宋_GBK"/>
          <w:sz w:val="32"/>
          <w:szCs w:val="32"/>
        </w:rPr>
        <w:br w:type="textWrapping"/>
      </w:r>
      <w:r>
        <w:rPr>
          <w:rStyle w:val="5"/>
          <w:rFonts w:hint="eastAsia" w:ascii="方正黑体_GBK" w:hAnsi="方正黑体_GBK" w:eastAsia="方正黑体_GBK" w:cs="方正黑体_GBK"/>
          <w:sz w:val="32"/>
          <w:szCs w:val="32"/>
        </w:rPr>
        <w:t>六、决算公开联系方式及信息反馈渠道。</w:t>
      </w:r>
      <w:r>
        <w:rPr>
          <w:rFonts w:hint="eastAsia" w:ascii="方正黑体_GBK" w:hAnsi="方正黑体_GBK" w:eastAsia="方正黑体_GBK" w:cs="方正黑体_GBK"/>
          <w:sz w:val="32"/>
          <w:szCs w:val="32"/>
        </w:rPr>
        <w:br w:type="textWrapping"/>
      </w:r>
      <w: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本单位决算公开信息反馈和联系方式：</w:t>
      </w:r>
      <w:r>
        <w:rPr>
          <w:rFonts w:hint="eastAsia" w:ascii="方正仿宋_GBK" w:hAnsi="方正仿宋_GBK" w:eastAsia="方正仿宋_GBK" w:cs="方正仿宋_GBK"/>
          <w:sz w:val="32"/>
          <w:szCs w:val="32"/>
          <w:lang w:eastAsia="zh-CN"/>
        </w:rPr>
        <w:t>邮箱：</w:t>
      </w:r>
      <w:r>
        <w:rPr>
          <w:rFonts w:hint="eastAsia" w:ascii="方正仿宋_GBK" w:hAnsi="方正仿宋_GBK" w:eastAsia="方正仿宋_GBK" w:cs="方正仿宋_GBK"/>
          <w:sz w:val="32"/>
          <w:szCs w:val="32"/>
          <w:lang w:val="en-US" w:eastAsia="zh-CN"/>
        </w:rPr>
        <w:t>291199814@qq.com  联系方式：财务科46734343</w:t>
      </w:r>
    </w:p>
    <w:p/>
    <w:p/>
    <w:p/>
    <w:p/>
    <w:p/>
    <w:p/>
    <w:p/>
    <w:p/>
    <w:p/>
    <w:p/>
    <w:p/>
    <w:p/>
    <w:p/>
    <w:p/>
    <w:p/>
    <w:p/>
    <w:p/>
    <w:p/>
    <w:p/>
    <w:p/>
    <w:p/>
    <w:p/>
    <w:p/>
    <w:p/>
    <w:p/>
    <w:p/>
    <w:p/>
    <w:p/>
    <w:p/>
    <w:p/>
    <w:p/>
    <w:tbl>
      <w:tblPr>
        <w:tblStyle w:val="3"/>
        <w:tblW w:w="83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62"/>
        <w:gridCol w:w="2125"/>
        <w:gridCol w:w="2021"/>
        <w:gridCol w:w="2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8333" w:type="dxa"/>
            <w:gridSpan w:val="4"/>
            <w:shd w:val="clear" w:color="auto" w:fill="auto"/>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62" w:type="dxa"/>
            <w:shd w:val="clear" w:color="auto" w:fill="auto"/>
            <w:vAlign w:val="center"/>
          </w:tcPr>
          <w:p>
            <w:pPr>
              <w:jc w:val="left"/>
              <w:rPr>
                <w:rFonts w:hint="default" w:ascii="Tahoma" w:hAnsi="Tahoma" w:eastAsia="Tahoma" w:cs="Tahoma"/>
                <w:i w:val="0"/>
                <w:color w:val="000000"/>
                <w:sz w:val="16"/>
                <w:szCs w:val="16"/>
                <w:u w:val="none"/>
              </w:rPr>
            </w:pPr>
          </w:p>
        </w:tc>
        <w:tc>
          <w:tcPr>
            <w:tcW w:w="2125" w:type="dxa"/>
            <w:shd w:val="clear" w:color="auto" w:fill="auto"/>
            <w:vAlign w:val="center"/>
          </w:tcPr>
          <w:p>
            <w:pPr>
              <w:jc w:val="left"/>
              <w:rPr>
                <w:rFonts w:hint="eastAsia" w:ascii="宋体" w:hAnsi="宋体" w:eastAsia="宋体" w:cs="宋体"/>
                <w:i w:val="0"/>
                <w:color w:val="000000"/>
                <w:sz w:val="18"/>
                <w:szCs w:val="18"/>
                <w:u w:val="none"/>
              </w:rPr>
            </w:pPr>
          </w:p>
        </w:tc>
        <w:tc>
          <w:tcPr>
            <w:tcW w:w="2021" w:type="dxa"/>
            <w:shd w:val="clear" w:color="auto" w:fill="auto"/>
            <w:vAlign w:val="center"/>
          </w:tcPr>
          <w:p>
            <w:pPr>
              <w:jc w:val="left"/>
              <w:rPr>
                <w:rFonts w:hint="eastAsia" w:ascii="宋体" w:hAnsi="宋体" w:eastAsia="宋体" w:cs="宋体"/>
                <w:i w:val="0"/>
                <w:color w:val="000000"/>
                <w:sz w:val="18"/>
                <w:szCs w:val="18"/>
                <w:u w:val="none"/>
              </w:rPr>
            </w:pPr>
          </w:p>
        </w:tc>
        <w:tc>
          <w:tcPr>
            <w:tcW w:w="2125"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187" w:type="dxa"/>
            <w:gridSpan w:val="2"/>
            <w:tcBorders>
              <w:bottom w:val="single" w:color="808080" w:sz="4" w:space="0"/>
            </w:tcBorders>
            <w:shd w:val="clear" w:color="auto" w:fill="auto"/>
            <w:vAlign w:val="bottom"/>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部门：重庆市荣昌区司法局</w:t>
            </w:r>
          </w:p>
        </w:tc>
        <w:tc>
          <w:tcPr>
            <w:tcW w:w="2021" w:type="dxa"/>
            <w:shd w:val="clear" w:color="auto" w:fill="auto"/>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2017年度</w:t>
            </w:r>
          </w:p>
        </w:tc>
        <w:tc>
          <w:tcPr>
            <w:tcW w:w="2125"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187"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4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6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212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212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6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12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12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6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2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2,480.13</w:t>
            </w: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一般公共服务支出</w:t>
            </w:r>
          </w:p>
        </w:tc>
        <w:tc>
          <w:tcPr>
            <w:tcW w:w="2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6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外交支出</w:t>
            </w: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6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国防支出</w:t>
            </w: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6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公共安全支出</w:t>
            </w:r>
          </w:p>
        </w:tc>
        <w:tc>
          <w:tcPr>
            <w:tcW w:w="2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6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教育支出</w:t>
            </w:r>
          </w:p>
        </w:tc>
        <w:tc>
          <w:tcPr>
            <w:tcW w:w="2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6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c>
          <w:tcPr>
            <w:tcW w:w="2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10.48</w:t>
            </w: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科学技术支出</w:t>
            </w: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62"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文化体育与传媒支出</w:t>
            </w: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62"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2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62"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医疗卫生与计划生育支出</w:t>
            </w:r>
          </w:p>
        </w:tc>
        <w:tc>
          <w:tcPr>
            <w:tcW w:w="2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62"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节能环保支出</w:t>
            </w: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62"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城乡社区支出</w:t>
            </w: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62"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农林水支出</w:t>
            </w: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062"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交通运输支出</w:t>
            </w: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062"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资源勘探信息等支出</w:t>
            </w: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062"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商业服务业等支出</w:t>
            </w: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062"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金融支出</w:t>
            </w: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062"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援助其他地区支出</w:t>
            </w: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062"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国土海洋气象等支出</w:t>
            </w: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062"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2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062"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粮油物资储备支出</w:t>
            </w: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062"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062"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债务还本支出</w:t>
            </w: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062"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债务付息支出</w:t>
            </w: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06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2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2,490.60</w:t>
            </w: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2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06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212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06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2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286.29</w:t>
            </w: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2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06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2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2,776.89</w:t>
            </w:r>
          </w:p>
        </w:tc>
        <w:tc>
          <w:tcPr>
            <w:tcW w:w="2021" w:type="dxa"/>
            <w:tcBorders>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212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2,776.89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8333"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bl>
    <w:p/>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2"/>
        <w:gridCol w:w="543"/>
        <w:gridCol w:w="544"/>
        <w:gridCol w:w="2137"/>
        <w:gridCol w:w="1061"/>
        <w:gridCol w:w="838"/>
        <w:gridCol w:w="544"/>
        <w:gridCol w:w="544"/>
        <w:gridCol w:w="544"/>
        <w:gridCol w:w="544"/>
        <w:gridCol w:w="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8336" w:type="dxa"/>
            <w:gridSpan w:val="11"/>
            <w:shd w:val="clear" w:color="auto" w:fill="auto"/>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72" w:type="dxa"/>
            <w:shd w:val="clear" w:color="auto" w:fill="auto"/>
            <w:vAlign w:val="center"/>
          </w:tcPr>
          <w:p>
            <w:pPr>
              <w:jc w:val="left"/>
              <w:rPr>
                <w:rFonts w:hint="default" w:ascii="Tahoma" w:hAnsi="Tahoma" w:eastAsia="Tahoma" w:cs="Tahoma"/>
                <w:i w:val="0"/>
                <w:color w:val="000000"/>
                <w:sz w:val="16"/>
                <w:szCs w:val="16"/>
                <w:u w:val="none"/>
              </w:rPr>
            </w:pPr>
          </w:p>
        </w:tc>
        <w:tc>
          <w:tcPr>
            <w:tcW w:w="543" w:type="dxa"/>
            <w:shd w:val="clear" w:color="auto" w:fill="auto"/>
            <w:vAlign w:val="center"/>
          </w:tcPr>
          <w:p>
            <w:pPr>
              <w:jc w:val="left"/>
              <w:rPr>
                <w:rFonts w:hint="eastAsia" w:ascii="宋体" w:hAnsi="宋体" w:eastAsia="宋体" w:cs="宋体"/>
                <w:i w:val="0"/>
                <w:color w:val="000000"/>
                <w:sz w:val="18"/>
                <w:szCs w:val="18"/>
                <w:u w:val="none"/>
              </w:rPr>
            </w:pPr>
          </w:p>
        </w:tc>
        <w:tc>
          <w:tcPr>
            <w:tcW w:w="544" w:type="dxa"/>
            <w:shd w:val="clear" w:color="auto" w:fill="auto"/>
            <w:vAlign w:val="center"/>
          </w:tcPr>
          <w:p>
            <w:pPr>
              <w:jc w:val="left"/>
              <w:rPr>
                <w:rFonts w:hint="eastAsia" w:ascii="宋体" w:hAnsi="宋体" w:eastAsia="宋体" w:cs="宋体"/>
                <w:i w:val="0"/>
                <w:color w:val="000000"/>
                <w:sz w:val="18"/>
                <w:szCs w:val="18"/>
                <w:u w:val="none"/>
              </w:rPr>
            </w:pPr>
          </w:p>
        </w:tc>
        <w:tc>
          <w:tcPr>
            <w:tcW w:w="2137" w:type="dxa"/>
            <w:shd w:val="clear" w:color="auto" w:fill="auto"/>
            <w:vAlign w:val="center"/>
          </w:tcPr>
          <w:p>
            <w:pPr>
              <w:jc w:val="left"/>
              <w:rPr>
                <w:rFonts w:hint="eastAsia" w:ascii="宋体" w:hAnsi="宋体" w:eastAsia="宋体" w:cs="宋体"/>
                <w:i w:val="0"/>
                <w:color w:val="000000"/>
                <w:sz w:val="18"/>
                <w:szCs w:val="18"/>
                <w:u w:val="none"/>
              </w:rPr>
            </w:pPr>
          </w:p>
        </w:tc>
        <w:tc>
          <w:tcPr>
            <w:tcW w:w="1061" w:type="dxa"/>
            <w:shd w:val="clear" w:color="auto" w:fill="auto"/>
            <w:vAlign w:val="center"/>
          </w:tcPr>
          <w:p>
            <w:pPr>
              <w:jc w:val="left"/>
              <w:rPr>
                <w:rFonts w:hint="eastAsia" w:ascii="宋体" w:hAnsi="宋体" w:eastAsia="宋体" w:cs="宋体"/>
                <w:i w:val="0"/>
                <w:color w:val="000000"/>
                <w:sz w:val="18"/>
                <w:szCs w:val="18"/>
                <w:u w:val="none"/>
              </w:rPr>
            </w:pPr>
          </w:p>
        </w:tc>
        <w:tc>
          <w:tcPr>
            <w:tcW w:w="838" w:type="dxa"/>
            <w:shd w:val="clear" w:color="auto" w:fill="auto"/>
            <w:vAlign w:val="center"/>
          </w:tcPr>
          <w:p>
            <w:pPr>
              <w:jc w:val="left"/>
              <w:rPr>
                <w:rFonts w:hint="eastAsia" w:ascii="宋体" w:hAnsi="宋体" w:eastAsia="宋体" w:cs="宋体"/>
                <w:i w:val="0"/>
                <w:color w:val="000000"/>
                <w:sz w:val="18"/>
                <w:szCs w:val="18"/>
                <w:u w:val="none"/>
              </w:rPr>
            </w:pPr>
          </w:p>
        </w:tc>
        <w:tc>
          <w:tcPr>
            <w:tcW w:w="544" w:type="dxa"/>
            <w:shd w:val="clear" w:color="auto" w:fill="auto"/>
            <w:vAlign w:val="center"/>
          </w:tcPr>
          <w:p>
            <w:pPr>
              <w:jc w:val="left"/>
              <w:rPr>
                <w:rFonts w:hint="eastAsia" w:ascii="宋体" w:hAnsi="宋体" w:eastAsia="宋体" w:cs="宋体"/>
                <w:i w:val="0"/>
                <w:color w:val="000000"/>
                <w:sz w:val="18"/>
                <w:szCs w:val="18"/>
                <w:u w:val="none"/>
              </w:rPr>
            </w:pPr>
          </w:p>
        </w:tc>
        <w:tc>
          <w:tcPr>
            <w:tcW w:w="544" w:type="dxa"/>
            <w:shd w:val="clear" w:color="auto" w:fill="auto"/>
            <w:vAlign w:val="center"/>
          </w:tcPr>
          <w:p>
            <w:pPr>
              <w:jc w:val="left"/>
              <w:rPr>
                <w:rFonts w:hint="eastAsia" w:ascii="宋体" w:hAnsi="宋体" w:eastAsia="宋体" w:cs="宋体"/>
                <w:i w:val="0"/>
                <w:color w:val="000000"/>
                <w:sz w:val="18"/>
                <w:szCs w:val="18"/>
                <w:u w:val="none"/>
              </w:rPr>
            </w:pPr>
          </w:p>
        </w:tc>
        <w:tc>
          <w:tcPr>
            <w:tcW w:w="544" w:type="dxa"/>
            <w:shd w:val="clear" w:color="auto" w:fill="auto"/>
            <w:vAlign w:val="center"/>
          </w:tcPr>
          <w:p>
            <w:pPr>
              <w:jc w:val="left"/>
              <w:rPr>
                <w:rFonts w:hint="eastAsia" w:ascii="宋体" w:hAnsi="宋体" w:eastAsia="宋体" w:cs="宋体"/>
                <w:i w:val="0"/>
                <w:color w:val="000000"/>
                <w:sz w:val="18"/>
                <w:szCs w:val="18"/>
                <w:u w:val="none"/>
              </w:rPr>
            </w:pPr>
          </w:p>
        </w:tc>
        <w:tc>
          <w:tcPr>
            <w:tcW w:w="1109"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696" w:type="dxa"/>
            <w:gridSpan w:val="4"/>
            <w:tcBorders>
              <w:bottom w:val="single" w:color="808080" w:sz="4" w:space="0"/>
            </w:tcBorders>
            <w:shd w:val="clear" w:color="auto" w:fill="auto"/>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部门：重庆市荣昌区司法局</w:t>
            </w:r>
          </w:p>
        </w:tc>
        <w:tc>
          <w:tcPr>
            <w:tcW w:w="1899" w:type="dxa"/>
            <w:gridSpan w:val="2"/>
            <w:tcBorders>
              <w:bottom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2017年度</w:t>
            </w:r>
          </w:p>
        </w:tc>
        <w:tc>
          <w:tcPr>
            <w:tcW w:w="544" w:type="dxa"/>
            <w:tcBorders>
              <w:bottom w:val="single" w:color="80808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197" w:type="dxa"/>
            <w:gridSpan w:val="4"/>
            <w:tcBorders>
              <w:bottom w:val="single" w:color="80808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696" w:type="dxa"/>
            <w:gridSpan w:val="4"/>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061"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838"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544"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544"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544"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544" w:type="dxa"/>
            <w:vMerge w:val="restart"/>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59" w:type="dxa"/>
            <w:gridSpan w:val="3"/>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137"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061"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3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4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4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4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44" w:type="dxa"/>
            <w:vMerge w:val="continue"/>
            <w:tcBorders>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59" w:type="dxa"/>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137"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61"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3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4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4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4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44" w:type="dxa"/>
            <w:vMerge w:val="continue"/>
            <w:tcBorders>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59" w:type="dxa"/>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137"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61"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3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4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4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4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44" w:type="dxa"/>
            <w:vMerge w:val="continue"/>
            <w:tcBorders>
              <w:bottom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7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543"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544"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13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4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4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4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4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6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7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43"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4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137" w:type="dxa"/>
            <w:tcBorders>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2,490.60</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2,480.13</w:t>
            </w: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5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213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5.00</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5.00</w:t>
            </w: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5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20111</w:t>
            </w:r>
          </w:p>
        </w:tc>
        <w:tc>
          <w:tcPr>
            <w:tcW w:w="213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纪检监察事务</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5.00</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5.00</w:t>
            </w: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5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2011105</w:t>
            </w:r>
          </w:p>
        </w:tc>
        <w:tc>
          <w:tcPr>
            <w:tcW w:w="213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派驻派出机构</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5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w:t>
            </w:r>
          </w:p>
        </w:tc>
        <w:tc>
          <w:tcPr>
            <w:tcW w:w="213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公共安全支出</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2,078.24</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2,067.76</w:t>
            </w: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5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20406</w:t>
            </w:r>
          </w:p>
        </w:tc>
        <w:tc>
          <w:tcPr>
            <w:tcW w:w="213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司法</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2,078.24</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2,067.76</w:t>
            </w: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5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2040601</w:t>
            </w:r>
          </w:p>
        </w:tc>
        <w:tc>
          <w:tcPr>
            <w:tcW w:w="213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1,124.08</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1,124.08</w:t>
            </w: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5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2040604</w:t>
            </w:r>
          </w:p>
        </w:tc>
        <w:tc>
          <w:tcPr>
            <w:tcW w:w="213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基层司法业务</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304.02</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304.02</w:t>
            </w: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5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2040605</w:t>
            </w:r>
          </w:p>
        </w:tc>
        <w:tc>
          <w:tcPr>
            <w:tcW w:w="213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普法宣传</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35.52</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35.52</w:t>
            </w: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5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2040606</w:t>
            </w:r>
          </w:p>
        </w:tc>
        <w:tc>
          <w:tcPr>
            <w:tcW w:w="213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律师公证管理</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67.28</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67.28</w:t>
            </w: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5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2040607</w:t>
            </w:r>
          </w:p>
        </w:tc>
        <w:tc>
          <w:tcPr>
            <w:tcW w:w="213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法律援助</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90.88</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82.40</w:t>
            </w: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5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2040610</w:t>
            </w:r>
          </w:p>
        </w:tc>
        <w:tc>
          <w:tcPr>
            <w:tcW w:w="213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社区矫正</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154.86</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154.86</w:t>
            </w: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5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2040650</w:t>
            </w:r>
          </w:p>
        </w:tc>
        <w:tc>
          <w:tcPr>
            <w:tcW w:w="213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109.82</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109.82</w:t>
            </w: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5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2040699</w:t>
            </w:r>
          </w:p>
        </w:tc>
        <w:tc>
          <w:tcPr>
            <w:tcW w:w="213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其他司法支出</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191.79</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189.79</w:t>
            </w: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6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5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w:t>
            </w:r>
          </w:p>
        </w:tc>
        <w:tc>
          <w:tcPr>
            <w:tcW w:w="213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教育支出</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8.95</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8.95</w:t>
            </w: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5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20508</w:t>
            </w:r>
          </w:p>
        </w:tc>
        <w:tc>
          <w:tcPr>
            <w:tcW w:w="213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进修及培训</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8.95</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8.95</w:t>
            </w: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5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2050803</w:t>
            </w:r>
          </w:p>
        </w:tc>
        <w:tc>
          <w:tcPr>
            <w:tcW w:w="213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培训支出</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8.95</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8.95</w:t>
            </w: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5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213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222.10</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222.10</w:t>
            </w: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5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213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行政事业单位离退休</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222.10</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222.10</w:t>
            </w: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5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213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归口管理的行政单位离退休</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27.29</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27.29</w:t>
            </w: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5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213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89.50</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89.50</w:t>
            </w: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5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213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39.97</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39.97</w:t>
            </w: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5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2080599</w:t>
            </w:r>
          </w:p>
        </w:tc>
        <w:tc>
          <w:tcPr>
            <w:tcW w:w="213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其他行政事业单位离退休支出</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65.34</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65.34</w:t>
            </w: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5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213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医疗卫生与计划生育支出</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90.72</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90.72</w:t>
            </w: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5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213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90.72</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90.72</w:t>
            </w: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5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213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68.69</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68.69</w:t>
            </w: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5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w:t>
            </w:r>
          </w:p>
        </w:tc>
        <w:tc>
          <w:tcPr>
            <w:tcW w:w="213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w:t>
            </w: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5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2101103</w:t>
            </w:r>
          </w:p>
        </w:tc>
        <w:tc>
          <w:tcPr>
            <w:tcW w:w="213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19.08</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19.08</w:t>
            </w: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5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213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85.60</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85.60</w:t>
            </w: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5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213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85.60</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85.60</w:t>
            </w: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5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213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061"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85.60</w:t>
            </w:r>
          </w:p>
        </w:tc>
        <w:tc>
          <w:tcPr>
            <w:tcW w:w="838"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85.60</w:t>
            </w: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6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336" w:type="dxa"/>
            <w:gridSpan w:val="11"/>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bl>
    <w:p/>
    <w:p/>
    <w:p/>
    <w:p/>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32"/>
        <w:gridCol w:w="586"/>
        <w:gridCol w:w="586"/>
        <w:gridCol w:w="2321"/>
        <w:gridCol w:w="1117"/>
        <w:gridCol w:w="1117"/>
        <w:gridCol w:w="636"/>
        <w:gridCol w:w="581"/>
        <w:gridCol w:w="581"/>
        <w:gridCol w:w="5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8336" w:type="dxa"/>
            <w:gridSpan w:val="10"/>
            <w:tcBorders>
              <w:right w:val="nil"/>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32" w:type="dxa"/>
            <w:shd w:val="clear" w:color="auto" w:fill="auto"/>
            <w:vAlign w:val="center"/>
          </w:tcPr>
          <w:p>
            <w:pPr>
              <w:jc w:val="left"/>
              <w:rPr>
                <w:rFonts w:hint="default" w:ascii="Tahoma" w:hAnsi="Tahoma" w:eastAsia="Tahoma" w:cs="Tahoma"/>
                <w:i w:val="0"/>
                <w:color w:val="000000"/>
                <w:sz w:val="16"/>
                <w:szCs w:val="16"/>
                <w:u w:val="none"/>
              </w:rPr>
            </w:pPr>
          </w:p>
        </w:tc>
        <w:tc>
          <w:tcPr>
            <w:tcW w:w="586" w:type="dxa"/>
            <w:shd w:val="clear" w:color="auto" w:fill="auto"/>
            <w:vAlign w:val="center"/>
          </w:tcPr>
          <w:p>
            <w:pPr>
              <w:jc w:val="left"/>
              <w:rPr>
                <w:rFonts w:hint="eastAsia" w:ascii="宋体" w:hAnsi="宋体" w:eastAsia="宋体" w:cs="宋体"/>
                <w:i w:val="0"/>
                <w:color w:val="000000"/>
                <w:sz w:val="18"/>
                <w:szCs w:val="18"/>
                <w:u w:val="none"/>
              </w:rPr>
            </w:pPr>
          </w:p>
        </w:tc>
        <w:tc>
          <w:tcPr>
            <w:tcW w:w="586" w:type="dxa"/>
            <w:shd w:val="clear" w:color="auto" w:fill="auto"/>
            <w:vAlign w:val="center"/>
          </w:tcPr>
          <w:p>
            <w:pPr>
              <w:jc w:val="left"/>
              <w:rPr>
                <w:rFonts w:hint="eastAsia" w:ascii="宋体" w:hAnsi="宋体" w:eastAsia="宋体" w:cs="宋体"/>
                <w:i w:val="0"/>
                <w:color w:val="000000"/>
                <w:sz w:val="18"/>
                <w:szCs w:val="18"/>
                <w:u w:val="none"/>
              </w:rPr>
            </w:pPr>
          </w:p>
        </w:tc>
        <w:tc>
          <w:tcPr>
            <w:tcW w:w="2321" w:type="dxa"/>
            <w:shd w:val="clear" w:color="auto" w:fill="auto"/>
            <w:vAlign w:val="center"/>
          </w:tcPr>
          <w:p>
            <w:pPr>
              <w:jc w:val="left"/>
              <w:rPr>
                <w:rFonts w:hint="eastAsia" w:ascii="宋体" w:hAnsi="宋体" w:eastAsia="宋体" w:cs="宋体"/>
                <w:i w:val="0"/>
                <w:color w:val="000000"/>
                <w:sz w:val="18"/>
                <w:szCs w:val="18"/>
                <w:u w:val="none"/>
              </w:rPr>
            </w:pPr>
          </w:p>
        </w:tc>
        <w:tc>
          <w:tcPr>
            <w:tcW w:w="1117" w:type="dxa"/>
            <w:shd w:val="clear" w:color="auto" w:fill="auto"/>
            <w:vAlign w:val="center"/>
          </w:tcPr>
          <w:p>
            <w:pPr>
              <w:jc w:val="left"/>
              <w:rPr>
                <w:rFonts w:hint="eastAsia" w:ascii="宋体" w:hAnsi="宋体" w:eastAsia="宋体" w:cs="宋体"/>
                <w:i w:val="0"/>
                <w:color w:val="000000"/>
                <w:sz w:val="18"/>
                <w:szCs w:val="18"/>
                <w:u w:val="none"/>
              </w:rPr>
            </w:pPr>
          </w:p>
        </w:tc>
        <w:tc>
          <w:tcPr>
            <w:tcW w:w="1117" w:type="dxa"/>
            <w:shd w:val="clear" w:color="auto" w:fill="auto"/>
            <w:vAlign w:val="center"/>
          </w:tcPr>
          <w:p>
            <w:pPr>
              <w:jc w:val="left"/>
              <w:rPr>
                <w:rFonts w:hint="eastAsia" w:ascii="宋体" w:hAnsi="宋体" w:eastAsia="宋体" w:cs="宋体"/>
                <w:i w:val="0"/>
                <w:color w:val="000000"/>
                <w:sz w:val="18"/>
                <w:szCs w:val="18"/>
                <w:u w:val="none"/>
              </w:rPr>
            </w:pPr>
          </w:p>
        </w:tc>
        <w:tc>
          <w:tcPr>
            <w:tcW w:w="636" w:type="dxa"/>
            <w:shd w:val="clear" w:color="auto" w:fill="auto"/>
            <w:vAlign w:val="center"/>
          </w:tcPr>
          <w:p>
            <w:pPr>
              <w:jc w:val="left"/>
              <w:rPr>
                <w:rFonts w:hint="eastAsia" w:ascii="宋体" w:hAnsi="宋体" w:eastAsia="宋体" w:cs="宋体"/>
                <w:i w:val="0"/>
                <w:color w:val="000000"/>
                <w:sz w:val="18"/>
                <w:szCs w:val="18"/>
                <w:u w:val="none"/>
              </w:rPr>
            </w:pPr>
          </w:p>
        </w:tc>
        <w:tc>
          <w:tcPr>
            <w:tcW w:w="581" w:type="dxa"/>
            <w:shd w:val="clear" w:color="auto" w:fill="auto"/>
            <w:vAlign w:val="center"/>
          </w:tcPr>
          <w:p>
            <w:pPr>
              <w:jc w:val="left"/>
              <w:rPr>
                <w:rFonts w:hint="eastAsia" w:ascii="宋体" w:hAnsi="宋体" w:eastAsia="宋体" w:cs="宋体"/>
                <w:i w:val="0"/>
                <w:color w:val="000000"/>
                <w:sz w:val="18"/>
                <w:szCs w:val="18"/>
                <w:u w:val="none"/>
              </w:rPr>
            </w:pPr>
          </w:p>
        </w:tc>
        <w:tc>
          <w:tcPr>
            <w:tcW w:w="1160" w:type="dxa"/>
            <w:gridSpan w:val="2"/>
            <w:tcBorders>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725" w:type="dxa"/>
            <w:gridSpan w:val="4"/>
            <w:tcBorders>
              <w:bottom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部门：重庆市荣昌区司法局</w:t>
            </w:r>
          </w:p>
        </w:tc>
        <w:tc>
          <w:tcPr>
            <w:tcW w:w="2234" w:type="dxa"/>
            <w:gridSpan w:val="2"/>
            <w:tcBorders>
              <w:bottom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2017年度</w:t>
            </w:r>
          </w:p>
        </w:tc>
        <w:tc>
          <w:tcPr>
            <w:tcW w:w="636" w:type="dxa"/>
            <w:tcBorders>
              <w:bottom w:val="single" w:color="80808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741" w:type="dxa"/>
            <w:gridSpan w:val="3"/>
            <w:tcBorders>
              <w:bottom w:val="single" w:color="80808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725" w:type="dxa"/>
            <w:gridSpan w:val="4"/>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117"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117"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636"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581" w:type="dxa"/>
            <w:vMerge w:val="restart"/>
            <w:tcBorders>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5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5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404" w:type="dxa"/>
            <w:gridSpan w:val="3"/>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321"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17"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17"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36"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81" w:type="dxa"/>
            <w:vMerge w:val="continue"/>
            <w:tcBorders>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8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79" w:type="dxa"/>
            <w:vMerge w:val="continue"/>
            <w:tcBorders>
              <w:top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404" w:type="dxa"/>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321"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17"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17"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36"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81" w:type="dxa"/>
            <w:vMerge w:val="continue"/>
            <w:tcBorders>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8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79" w:type="dxa"/>
            <w:vMerge w:val="continue"/>
            <w:tcBorders>
              <w:top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404" w:type="dxa"/>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321"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17"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17"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36"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81" w:type="dxa"/>
            <w:vMerge w:val="continue"/>
            <w:tcBorders>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81"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79" w:type="dxa"/>
            <w:vMerge w:val="continue"/>
            <w:tcBorders>
              <w:top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3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586"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586"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36"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8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81"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79"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3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86"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86"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2,478.11</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1,725.27</w:t>
            </w:r>
          </w:p>
        </w:tc>
        <w:tc>
          <w:tcPr>
            <w:tcW w:w="6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752.84</w:t>
            </w: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7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0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5.00</w:t>
            </w:r>
          </w:p>
        </w:tc>
        <w:tc>
          <w:tcPr>
            <w:tcW w:w="111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6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5.00</w:t>
            </w: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7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0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20111</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纪检监察事务</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5.00</w:t>
            </w:r>
          </w:p>
        </w:tc>
        <w:tc>
          <w:tcPr>
            <w:tcW w:w="111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6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5.00</w:t>
            </w: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7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0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2011105</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派驻派出机构</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11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7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0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公共安全支出</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2,065.75</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1,317.90</w:t>
            </w:r>
          </w:p>
        </w:tc>
        <w:tc>
          <w:tcPr>
            <w:tcW w:w="6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747.84</w:t>
            </w: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7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0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20406</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司法</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2,065.75</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1,317.90</w:t>
            </w:r>
          </w:p>
        </w:tc>
        <w:tc>
          <w:tcPr>
            <w:tcW w:w="6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747.84</w:t>
            </w: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7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0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2040601</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1,124.08</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1,124.08</w:t>
            </w:r>
          </w:p>
        </w:tc>
        <w:tc>
          <w:tcPr>
            <w:tcW w:w="6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7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0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2040604</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基层司法业务</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245.19</w:t>
            </w:r>
          </w:p>
        </w:tc>
        <w:tc>
          <w:tcPr>
            <w:tcW w:w="111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245.19</w:t>
            </w: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7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0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2040605</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普法宣传</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35.29</w:t>
            </w:r>
          </w:p>
        </w:tc>
        <w:tc>
          <w:tcPr>
            <w:tcW w:w="111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35.29</w:t>
            </w: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7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0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2040606</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律师公证管理</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67.28</w:t>
            </w:r>
          </w:p>
        </w:tc>
        <w:tc>
          <w:tcPr>
            <w:tcW w:w="111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67.28</w:t>
            </w: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7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0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2040607</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法律援助</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110.87</w:t>
            </w:r>
          </w:p>
        </w:tc>
        <w:tc>
          <w:tcPr>
            <w:tcW w:w="111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110.87</w:t>
            </w: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7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0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2040610</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社区矫正</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147.79</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6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63.79</w:t>
            </w: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7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0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2040650</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109.82</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109.82</w:t>
            </w:r>
          </w:p>
        </w:tc>
        <w:tc>
          <w:tcPr>
            <w:tcW w:w="6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7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0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2040699</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其他司法支出</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225.43</w:t>
            </w:r>
          </w:p>
        </w:tc>
        <w:tc>
          <w:tcPr>
            <w:tcW w:w="111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36"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225.43</w:t>
            </w: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7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0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教育支出</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8.95</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8.95</w:t>
            </w:r>
          </w:p>
        </w:tc>
        <w:tc>
          <w:tcPr>
            <w:tcW w:w="6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7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0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20508</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进修及培训</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8.95</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8.95</w:t>
            </w:r>
          </w:p>
        </w:tc>
        <w:tc>
          <w:tcPr>
            <w:tcW w:w="6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7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0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2050803</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培训支出</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8.95</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8.95</w:t>
            </w:r>
          </w:p>
        </w:tc>
        <w:tc>
          <w:tcPr>
            <w:tcW w:w="6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7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0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222.10</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222.10</w:t>
            </w:r>
          </w:p>
        </w:tc>
        <w:tc>
          <w:tcPr>
            <w:tcW w:w="6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7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0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行政事业单位离退休</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222.10</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222.10</w:t>
            </w:r>
          </w:p>
        </w:tc>
        <w:tc>
          <w:tcPr>
            <w:tcW w:w="6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7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0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归口管理的行政单位离退休</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27.29</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27.29</w:t>
            </w:r>
          </w:p>
        </w:tc>
        <w:tc>
          <w:tcPr>
            <w:tcW w:w="6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7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0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89.50</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89.50</w:t>
            </w:r>
          </w:p>
        </w:tc>
        <w:tc>
          <w:tcPr>
            <w:tcW w:w="6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7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0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39.97</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39.97</w:t>
            </w:r>
          </w:p>
        </w:tc>
        <w:tc>
          <w:tcPr>
            <w:tcW w:w="6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7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0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2080599</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其他行政事业单位离退休支出</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65.34</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65.34</w:t>
            </w:r>
          </w:p>
        </w:tc>
        <w:tc>
          <w:tcPr>
            <w:tcW w:w="6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7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0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医疗卫生与计划生育支出</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90.72</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90.72</w:t>
            </w:r>
          </w:p>
        </w:tc>
        <w:tc>
          <w:tcPr>
            <w:tcW w:w="6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7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0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90.72</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90.72</w:t>
            </w:r>
          </w:p>
        </w:tc>
        <w:tc>
          <w:tcPr>
            <w:tcW w:w="6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7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0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68.69</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68.69</w:t>
            </w:r>
          </w:p>
        </w:tc>
        <w:tc>
          <w:tcPr>
            <w:tcW w:w="6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7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0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w:t>
            </w:r>
          </w:p>
        </w:tc>
        <w:tc>
          <w:tcPr>
            <w:tcW w:w="6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7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0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2101103</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19.08</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19.08</w:t>
            </w:r>
          </w:p>
        </w:tc>
        <w:tc>
          <w:tcPr>
            <w:tcW w:w="6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7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0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85.60</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85.60</w:t>
            </w:r>
          </w:p>
        </w:tc>
        <w:tc>
          <w:tcPr>
            <w:tcW w:w="6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7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0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85.60</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85.60</w:t>
            </w:r>
          </w:p>
        </w:tc>
        <w:tc>
          <w:tcPr>
            <w:tcW w:w="6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7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0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232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85.60</w:t>
            </w:r>
          </w:p>
        </w:tc>
        <w:tc>
          <w:tcPr>
            <w:tcW w:w="11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85.60</w:t>
            </w:r>
          </w:p>
        </w:tc>
        <w:tc>
          <w:tcPr>
            <w:tcW w:w="63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8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79"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336" w:type="dxa"/>
            <w:gridSpan w:val="10"/>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bl>
    <w:p/>
    <w:p/>
    <w:p/>
    <w:p/>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81"/>
        <w:gridCol w:w="1733"/>
        <w:gridCol w:w="1643"/>
        <w:gridCol w:w="970"/>
        <w:gridCol w:w="832"/>
        <w:gridCol w:w="15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8336" w:type="dxa"/>
            <w:gridSpan w:val="6"/>
            <w:shd w:val="clear" w:color="auto" w:fill="auto"/>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81" w:type="dxa"/>
            <w:shd w:val="clear" w:color="auto" w:fill="auto"/>
            <w:vAlign w:val="center"/>
          </w:tcPr>
          <w:p>
            <w:pPr>
              <w:jc w:val="left"/>
              <w:rPr>
                <w:rFonts w:hint="default" w:ascii="Tahoma" w:hAnsi="Tahoma" w:eastAsia="Tahoma" w:cs="Tahoma"/>
                <w:i w:val="0"/>
                <w:color w:val="000000"/>
                <w:sz w:val="16"/>
                <w:szCs w:val="16"/>
                <w:u w:val="none"/>
              </w:rPr>
            </w:pPr>
          </w:p>
        </w:tc>
        <w:tc>
          <w:tcPr>
            <w:tcW w:w="1733" w:type="dxa"/>
            <w:shd w:val="clear" w:color="auto" w:fill="auto"/>
            <w:vAlign w:val="center"/>
          </w:tcPr>
          <w:p>
            <w:pPr>
              <w:jc w:val="left"/>
              <w:rPr>
                <w:rFonts w:hint="eastAsia" w:ascii="宋体" w:hAnsi="宋体" w:eastAsia="宋体" w:cs="宋体"/>
                <w:i w:val="0"/>
                <w:color w:val="000000"/>
                <w:sz w:val="18"/>
                <w:szCs w:val="18"/>
                <w:u w:val="none"/>
              </w:rPr>
            </w:pPr>
          </w:p>
        </w:tc>
        <w:tc>
          <w:tcPr>
            <w:tcW w:w="1643" w:type="dxa"/>
            <w:shd w:val="clear" w:color="auto" w:fill="auto"/>
            <w:vAlign w:val="center"/>
          </w:tcPr>
          <w:p>
            <w:pPr>
              <w:jc w:val="left"/>
              <w:rPr>
                <w:rFonts w:hint="eastAsia" w:ascii="宋体" w:hAnsi="宋体" w:eastAsia="宋体" w:cs="宋体"/>
                <w:i w:val="0"/>
                <w:color w:val="000000"/>
                <w:sz w:val="18"/>
                <w:szCs w:val="18"/>
                <w:u w:val="none"/>
              </w:rPr>
            </w:pPr>
          </w:p>
        </w:tc>
        <w:tc>
          <w:tcPr>
            <w:tcW w:w="970" w:type="dxa"/>
            <w:shd w:val="clear" w:color="auto" w:fill="auto"/>
            <w:vAlign w:val="center"/>
          </w:tcPr>
          <w:p>
            <w:pPr>
              <w:jc w:val="left"/>
              <w:rPr>
                <w:rFonts w:hint="eastAsia" w:ascii="宋体" w:hAnsi="宋体" w:eastAsia="宋体" w:cs="宋体"/>
                <w:i w:val="0"/>
                <w:color w:val="000000"/>
                <w:sz w:val="18"/>
                <w:szCs w:val="18"/>
                <w:u w:val="none"/>
              </w:rPr>
            </w:pPr>
          </w:p>
        </w:tc>
        <w:tc>
          <w:tcPr>
            <w:tcW w:w="2409"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314" w:type="dxa"/>
            <w:gridSpan w:val="2"/>
            <w:tcBorders>
              <w:bottom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部门：重庆市荣昌区司法局</w:t>
            </w:r>
          </w:p>
        </w:tc>
        <w:tc>
          <w:tcPr>
            <w:tcW w:w="164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2017年度</w:t>
            </w:r>
          </w:p>
        </w:tc>
        <w:tc>
          <w:tcPr>
            <w:tcW w:w="970" w:type="dxa"/>
            <w:shd w:val="clear" w:color="auto" w:fill="auto"/>
            <w:vAlign w:val="center"/>
          </w:tcPr>
          <w:p>
            <w:pPr>
              <w:jc w:val="left"/>
              <w:rPr>
                <w:rFonts w:hint="eastAsia" w:ascii="宋体" w:hAnsi="宋体" w:eastAsia="宋体" w:cs="宋体"/>
                <w:i w:val="0"/>
                <w:color w:val="000000"/>
                <w:sz w:val="18"/>
                <w:szCs w:val="18"/>
                <w:u w:val="none"/>
              </w:rPr>
            </w:pPr>
          </w:p>
        </w:tc>
        <w:tc>
          <w:tcPr>
            <w:tcW w:w="2409"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314"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50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81"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733"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1643" w:type="dxa"/>
            <w:vMerge w:val="restart"/>
            <w:tcBorders>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970"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32"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577"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581" w:type="dxa"/>
            <w:vMerge w:val="continue"/>
            <w:tcBorders>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0"/>
                <w:szCs w:val="20"/>
                <w:u w:val="none"/>
              </w:rPr>
            </w:pPr>
          </w:p>
        </w:tc>
        <w:tc>
          <w:tcPr>
            <w:tcW w:w="1733"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643" w:type="dxa"/>
            <w:vMerge w:val="continue"/>
            <w:tcBorders>
              <w:bottom w:val="single" w:color="000000" w:sz="4" w:space="0"/>
              <w:right w:val="single" w:color="000000" w:sz="4" w:space="0"/>
            </w:tcBorders>
            <w:shd w:val="clear" w:color="auto" w:fill="auto"/>
            <w:vAlign w:val="bottom"/>
          </w:tcPr>
          <w:p>
            <w:pPr>
              <w:jc w:val="both"/>
              <w:rPr>
                <w:rFonts w:hint="eastAsia" w:ascii="宋体" w:hAnsi="宋体" w:eastAsia="宋体" w:cs="宋体"/>
                <w:i w:val="0"/>
                <w:color w:val="000000"/>
                <w:sz w:val="20"/>
                <w:szCs w:val="20"/>
                <w:u w:val="none"/>
              </w:rPr>
            </w:pPr>
          </w:p>
        </w:tc>
        <w:tc>
          <w:tcPr>
            <w:tcW w:w="97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3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577"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8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73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43" w:type="dxa"/>
            <w:tcBorders>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97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3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577"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8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173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2,480.13</w:t>
            </w:r>
          </w:p>
        </w:tc>
        <w:tc>
          <w:tcPr>
            <w:tcW w:w="164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一般公共服务支出</w:t>
            </w:r>
          </w:p>
        </w:tc>
        <w:tc>
          <w:tcPr>
            <w:tcW w:w="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8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5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8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c>
          <w:tcPr>
            <w:tcW w:w="173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64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外交支出</w:t>
            </w:r>
          </w:p>
        </w:tc>
        <w:tc>
          <w:tcPr>
            <w:tcW w:w="9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81"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73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64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国防支出</w:t>
            </w:r>
          </w:p>
        </w:tc>
        <w:tc>
          <w:tcPr>
            <w:tcW w:w="9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81"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73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64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公共安全支出</w:t>
            </w:r>
          </w:p>
        </w:tc>
        <w:tc>
          <w:tcPr>
            <w:tcW w:w="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2,055.27</w:t>
            </w:r>
          </w:p>
        </w:tc>
        <w:tc>
          <w:tcPr>
            <w:tcW w:w="8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2,055.27</w:t>
            </w:r>
          </w:p>
        </w:tc>
        <w:tc>
          <w:tcPr>
            <w:tcW w:w="15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81"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73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64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教育支出</w:t>
            </w:r>
          </w:p>
        </w:tc>
        <w:tc>
          <w:tcPr>
            <w:tcW w:w="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8.95</w:t>
            </w:r>
          </w:p>
        </w:tc>
        <w:tc>
          <w:tcPr>
            <w:tcW w:w="8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8.95</w:t>
            </w:r>
          </w:p>
        </w:tc>
        <w:tc>
          <w:tcPr>
            <w:tcW w:w="15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81"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73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64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科学技术支出</w:t>
            </w:r>
          </w:p>
        </w:tc>
        <w:tc>
          <w:tcPr>
            <w:tcW w:w="9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81"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73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64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文化体育与传媒支出</w:t>
            </w:r>
          </w:p>
        </w:tc>
        <w:tc>
          <w:tcPr>
            <w:tcW w:w="9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81"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73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64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222.10</w:t>
            </w:r>
          </w:p>
        </w:tc>
        <w:tc>
          <w:tcPr>
            <w:tcW w:w="8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222.10</w:t>
            </w:r>
          </w:p>
        </w:tc>
        <w:tc>
          <w:tcPr>
            <w:tcW w:w="15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81"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73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64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医疗卫生与计划生育支出</w:t>
            </w:r>
          </w:p>
        </w:tc>
        <w:tc>
          <w:tcPr>
            <w:tcW w:w="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90.72</w:t>
            </w:r>
          </w:p>
        </w:tc>
        <w:tc>
          <w:tcPr>
            <w:tcW w:w="8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90.72</w:t>
            </w:r>
          </w:p>
        </w:tc>
        <w:tc>
          <w:tcPr>
            <w:tcW w:w="15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81"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73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64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节能环保支出</w:t>
            </w:r>
          </w:p>
        </w:tc>
        <w:tc>
          <w:tcPr>
            <w:tcW w:w="9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81"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73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64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城乡社区支出</w:t>
            </w:r>
          </w:p>
        </w:tc>
        <w:tc>
          <w:tcPr>
            <w:tcW w:w="9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81"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73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64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农林水支出</w:t>
            </w:r>
          </w:p>
        </w:tc>
        <w:tc>
          <w:tcPr>
            <w:tcW w:w="9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81"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73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64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交通运输支出</w:t>
            </w:r>
          </w:p>
        </w:tc>
        <w:tc>
          <w:tcPr>
            <w:tcW w:w="9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81"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73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64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资源勘探信息等支出</w:t>
            </w:r>
          </w:p>
        </w:tc>
        <w:tc>
          <w:tcPr>
            <w:tcW w:w="9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81"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73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64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商业服务业等支出</w:t>
            </w:r>
          </w:p>
        </w:tc>
        <w:tc>
          <w:tcPr>
            <w:tcW w:w="9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81"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73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64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金融支出</w:t>
            </w:r>
          </w:p>
        </w:tc>
        <w:tc>
          <w:tcPr>
            <w:tcW w:w="9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81"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73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64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援助其他地区支出</w:t>
            </w:r>
          </w:p>
        </w:tc>
        <w:tc>
          <w:tcPr>
            <w:tcW w:w="9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81"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73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64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国土海洋气象等支出</w:t>
            </w:r>
          </w:p>
        </w:tc>
        <w:tc>
          <w:tcPr>
            <w:tcW w:w="9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81"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73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64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85.60</w:t>
            </w:r>
          </w:p>
        </w:tc>
        <w:tc>
          <w:tcPr>
            <w:tcW w:w="8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85.60</w:t>
            </w:r>
          </w:p>
        </w:tc>
        <w:tc>
          <w:tcPr>
            <w:tcW w:w="15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81"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73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64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粮油物资储备支出</w:t>
            </w:r>
          </w:p>
        </w:tc>
        <w:tc>
          <w:tcPr>
            <w:tcW w:w="9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81"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73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64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9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81"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73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64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债务还本支出</w:t>
            </w:r>
          </w:p>
        </w:tc>
        <w:tc>
          <w:tcPr>
            <w:tcW w:w="9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81"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73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64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债务付息支出</w:t>
            </w:r>
          </w:p>
        </w:tc>
        <w:tc>
          <w:tcPr>
            <w:tcW w:w="9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8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173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2,480.13</w:t>
            </w:r>
          </w:p>
        </w:tc>
        <w:tc>
          <w:tcPr>
            <w:tcW w:w="164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2,467.64</w:t>
            </w:r>
          </w:p>
        </w:tc>
        <w:tc>
          <w:tcPr>
            <w:tcW w:w="8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2,467.64</w:t>
            </w:r>
          </w:p>
        </w:tc>
        <w:tc>
          <w:tcPr>
            <w:tcW w:w="15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8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173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286.29</w:t>
            </w:r>
          </w:p>
        </w:tc>
        <w:tc>
          <w:tcPr>
            <w:tcW w:w="1643"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298.78</w:t>
            </w:r>
          </w:p>
        </w:tc>
        <w:tc>
          <w:tcPr>
            <w:tcW w:w="8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298.78</w:t>
            </w:r>
          </w:p>
        </w:tc>
        <w:tc>
          <w:tcPr>
            <w:tcW w:w="15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8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一般公共预算财政拨款</w:t>
            </w:r>
          </w:p>
        </w:tc>
        <w:tc>
          <w:tcPr>
            <w:tcW w:w="173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286.29</w:t>
            </w:r>
          </w:p>
        </w:tc>
        <w:tc>
          <w:tcPr>
            <w:tcW w:w="1643"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9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8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政府性基金预算财政拨款</w:t>
            </w:r>
          </w:p>
        </w:tc>
        <w:tc>
          <w:tcPr>
            <w:tcW w:w="1733"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643"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9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5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8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73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2,766.42</w:t>
            </w:r>
          </w:p>
        </w:tc>
        <w:tc>
          <w:tcPr>
            <w:tcW w:w="164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9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2,766.42</w:t>
            </w:r>
          </w:p>
        </w:tc>
        <w:tc>
          <w:tcPr>
            <w:tcW w:w="8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2,766.42</w:t>
            </w:r>
          </w:p>
        </w:tc>
        <w:tc>
          <w:tcPr>
            <w:tcW w:w="1577"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336"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bl>
    <w:p/>
    <w:p/>
    <w:p/>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36"/>
        <w:gridCol w:w="575"/>
        <w:gridCol w:w="576"/>
        <w:gridCol w:w="2031"/>
        <w:gridCol w:w="1383"/>
        <w:gridCol w:w="2215"/>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236" w:type="dxa"/>
            <w:shd w:val="clear" w:color="auto" w:fill="auto"/>
            <w:vAlign w:val="center"/>
          </w:tcPr>
          <w:p>
            <w:pPr>
              <w:jc w:val="left"/>
              <w:rPr>
                <w:rFonts w:hint="eastAsia" w:ascii="Tahoma" w:hAnsi="Tahoma" w:eastAsia="Tahoma" w:cs="Tahoma"/>
                <w:i w:val="0"/>
                <w:color w:val="000000"/>
                <w:sz w:val="16"/>
                <w:szCs w:val="16"/>
                <w:u w:val="none"/>
              </w:rPr>
            </w:pPr>
          </w:p>
        </w:tc>
        <w:tc>
          <w:tcPr>
            <w:tcW w:w="575" w:type="dxa"/>
            <w:shd w:val="clear" w:color="auto" w:fill="auto"/>
            <w:vAlign w:val="center"/>
          </w:tcPr>
          <w:p>
            <w:pPr>
              <w:jc w:val="left"/>
              <w:rPr>
                <w:rFonts w:hint="eastAsia" w:ascii="宋体" w:hAnsi="宋体" w:eastAsia="宋体" w:cs="宋体"/>
                <w:i w:val="0"/>
                <w:color w:val="000000"/>
                <w:sz w:val="18"/>
                <w:szCs w:val="18"/>
                <w:u w:val="none"/>
              </w:rPr>
            </w:pPr>
          </w:p>
        </w:tc>
        <w:tc>
          <w:tcPr>
            <w:tcW w:w="576" w:type="dxa"/>
            <w:shd w:val="clear" w:color="auto" w:fill="auto"/>
            <w:vAlign w:val="center"/>
          </w:tcPr>
          <w:p>
            <w:pPr>
              <w:jc w:val="left"/>
              <w:rPr>
                <w:rFonts w:hint="eastAsia" w:ascii="宋体" w:hAnsi="宋体" w:eastAsia="宋体" w:cs="宋体"/>
                <w:i w:val="0"/>
                <w:color w:val="000000"/>
                <w:sz w:val="18"/>
                <w:szCs w:val="18"/>
                <w:u w:val="none"/>
              </w:rPr>
            </w:pPr>
          </w:p>
        </w:tc>
        <w:tc>
          <w:tcPr>
            <w:tcW w:w="5629" w:type="dxa"/>
            <w:gridSpan w:val="3"/>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一般公共预算财政拨款支出决算表</w:t>
            </w:r>
          </w:p>
        </w:tc>
        <w:tc>
          <w:tcPr>
            <w:tcW w:w="1320" w:type="dxa"/>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36" w:type="dxa"/>
            <w:shd w:val="clear" w:color="auto" w:fill="auto"/>
            <w:vAlign w:val="center"/>
          </w:tcPr>
          <w:p>
            <w:pPr>
              <w:jc w:val="left"/>
              <w:rPr>
                <w:rFonts w:hint="default" w:ascii="Tahoma" w:hAnsi="Tahoma" w:eastAsia="Tahoma" w:cs="Tahoma"/>
                <w:i w:val="0"/>
                <w:color w:val="000000"/>
                <w:sz w:val="16"/>
                <w:szCs w:val="16"/>
                <w:u w:val="none"/>
              </w:rPr>
            </w:pPr>
          </w:p>
        </w:tc>
        <w:tc>
          <w:tcPr>
            <w:tcW w:w="575" w:type="dxa"/>
            <w:shd w:val="clear" w:color="auto" w:fill="auto"/>
            <w:vAlign w:val="center"/>
          </w:tcPr>
          <w:p>
            <w:pPr>
              <w:jc w:val="left"/>
              <w:rPr>
                <w:rFonts w:hint="eastAsia" w:ascii="宋体" w:hAnsi="宋体" w:eastAsia="宋体" w:cs="宋体"/>
                <w:i w:val="0"/>
                <w:color w:val="000000"/>
                <w:sz w:val="18"/>
                <w:szCs w:val="18"/>
                <w:u w:val="none"/>
              </w:rPr>
            </w:pPr>
          </w:p>
        </w:tc>
        <w:tc>
          <w:tcPr>
            <w:tcW w:w="576" w:type="dxa"/>
            <w:shd w:val="clear" w:color="auto" w:fill="auto"/>
            <w:vAlign w:val="center"/>
          </w:tcPr>
          <w:p>
            <w:pPr>
              <w:jc w:val="left"/>
              <w:rPr>
                <w:rFonts w:hint="eastAsia" w:ascii="宋体" w:hAnsi="宋体" w:eastAsia="宋体" w:cs="宋体"/>
                <w:i w:val="0"/>
                <w:color w:val="000000"/>
                <w:sz w:val="18"/>
                <w:szCs w:val="18"/>
                <w:u w:val="none"/>
              </w:rPr>
            </w:pPr>
          </w:p>
        </w:tc>
        <w:tc>
          <w:tcPr>
            <w:tcW w:w="2031" w:type="dxa"/>
            <w:shd w:val="clear" w:color="auto" w:fill="auto"/>
            <w:vAlign w:val="center"/>
          </w:tcPr>
          <w:p>
            <w:pPr>
              <w:jc w:val="left"/>
              <w:rPr>
                <w:rFonts w:hint="eastAsia" w:ascii="宋体" w:hAnsi="宋体" w:eastAsia="宋体" w:cs="宋体"/>
                <w:i w:val="0"/>
                <w:color w:val="000000"/>
                <w:sz w:val="18"/>
                <w:szCs w:val="18"/>
                <w:u w:val="none"/>
              </w:rPr>
            </w:pPr>
          </w:p>
        </w:tc>
        <w:tc>
          <w:tcPr>
            <w:tcW w:w="1383" w:type="dxa"/>
            <w:shd w:val="clear" w:color="auto" w:fill="auto"/>
            <w:vAlign w:val="center"/>
          </w:tcPr>
          <w:p>
            <w:pPr>
              <w:jc w:val="left"/>
              <w:rPr>
                <w:rFonts w:hint="eastAsia" w:ascii="宋体" w:hAnsi="宋体" w:eastAsia="宋体" w:cs="宋体"/>
                <w:i w:val="0"/>
                <w:color w:val="000000"/>
                <w:sz w:val="18"/>
                <w:szCs w:val="18"/>
                <w:u w:val="none"/>
              </w:rPr>
            </w:pPr>
          </w:p>
        </w:tc>
        <w:tc>
          <w:tcPr>
            <w:tcW w:w="3535"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418" w:type="dxa"/>
            <w:gridSpan w:val="4"/>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部门：重庆市荣昌区司法局</w:t>
            </w:r>
          </w:p>
        </w:tc>
        <w:tc>
          <w:tcPr>
            <w:tcW w:w="13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2017年度</w:t>
            </w:r>
          </w:p>
        </w:tc>
        <w:tc>
          <w:tcPr>
            <w:tcW w:w="3535"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49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387" w:type="dxa"/>
            <w:gridSpan w:val="3"/>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2031"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383"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215"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320"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387" w:type="dxa"/>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31"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83"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215"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2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387" w:type="dxa"/>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31"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83"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215"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2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36"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575"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576"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2031" w:type="dxa"/>
            <w:tcBorders>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383"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21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2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3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75"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76"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31" w:type="dxa"/>
            <w:tcBorders>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3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2,467.64</w:t>
            </w:r>
          </w:p>
        </w:tc>
        <w:tc>
          <w:tcPr>
            <w:tcW w:w="22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1,725.27</w:t>
            </w:r>
          </w:p>
        </w:tc>
        <w:tc>
          <w:tcPr>
            <w:tcW w:w="132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20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13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5.00</w:t>
            </w:r>
          </w:p>
        </w:tc>
        <w:tc>
          <w:tcPr>
            <w:tcW w:w="221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32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20111</w:t>
            </w:r>
          </w:p>
        </w:tc>
        <w:tc>
          <w:tcPr>
            <w:tcW w:w="20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纪检监察事务</w:t>
            </w:r>
          </w:p>
        </w:tc>
        <w:tc>
          <w:tcPr>
            <w:tcW w:w="13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5.00</w:t>
            </w:r>
          </w:p>
        </w:tc>
        <w:tc>
          <w:tcPr>
            <w:tcW w:w="221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32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2011105</w:t>
            </w:r>
          </w:p>
        </w:tc>
        <w:tc>
          <w:tcPr>
            <w:tcW w:w="20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派驻派出机构</w:t>
            </w:r>
          </w:p>
        </w:tc>
        <w:tc>
          <w:tcPr>
            <w:tcW w:w="13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221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32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w:t>
            </w:r>
          </w:p>
        </w:tc>
        <w:tc>
          <w:tcPr>
            <w:tcW w:w="20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公共安全支出</w:t>
            </w:r>
          </w:p>
        </w:tc>
        <w:tc>
          <w:tcPr>
            <w:tcW w:w="13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2,055.27</w:t>
            </w:r>
          </w:p>
        </w:tc>
        <w:tc>
          <w:tcPr>
            <w:tcW w:w="22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1,317.90</w:t>
            </w:r>
          </w:p>
        </w:tc>
        <w:tc>
          <w:tcPr>
            <w:tcW w:w="132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737.37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20406</w:t>
            </w:r>
          </w:p>
        </w:tc>
        <w:tc>
          <w:tcPr>
            <w:tcW w:w="20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司法</w:t>
            </w:r>
          </w:p>
        </w:tc>
        <w:tc>
          <w:tcPr>
            <w:tcW w:w="13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2,055.27</w:t>
            </w:r>
          </w:p>
        </w:tc>
        <w:tc>
          <w:tcPr>
            <w:tcW w:w="22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1,317.90</w:t>
            </w:r>
          </w:p>
        </w:tc>
        <w:tc>
          <w:tcPr>
            <w:tcW w:w="132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737.37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2040601</w:t>
            </w:r>
          </w:p>
        </w:tc>
        <w:tc>
          <w:tcPr>
            <w:tcW w:w="20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3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1,124.08</w:t>
            </w:r>
          </w:p>
        </w:tc>
        <w:tc>
          <w:tcPr>
            <w:tcW w:w="22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1,124.08</w:t>
            </w:r>
          </w:p>
        </w:tc>
        <w:tc>
          <w:tcPr>
            <w:tcW w:w="13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2040604</w:t>
            </w:r>
          </w:p>
        </w:tc>
        <w:tc>
          <w:tcPr>
            <w:tcW w:w="20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基层司法业务</w:t>
            </w:r>
          </w:p>
        </w:tc>
        <w:tc>
          <w:tcPr>
            <w:tcW w:w="13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245.19</w:t>
            </w:r>
          </w:p>
        </w:tc>
        <w:tc>
          <w:tcPr>
            <w:tcW w:w="221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32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2040605</w:t>
            </w:r>
          </w:p>
        </w:tc>
        <w:tc>
          <w:tcPr>
            <w:tcW w:w="20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普法宣传</w:t>
            </w:r>
          </w:p>
        </w:tc>
        <w:tc>
          <w:tcPr>
            <w:tcW w:w="13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35.29</w:t>
            </w:r>
          </w:p>
        </w:tc>
        <w:tc>
          <w:tcPr>
            <w:tcW w:w="221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32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2040606</w:t>
            </w:r>
          </w:p>
        </w:tc>
        <w:tc>
          <w:tcPr>
            <w:tcW w:w="20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律师公证管理</w:t>
            </w:r>
          </w:p>
        </w:tc>
        <w:tc>
          <w:tcPr>
            <w:tcW w:w="13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67.28</w:t>
            </w:r>
          </w:p>
        </w:tc>
        <w:tc>
          <w:tcPr>
            <w:tcW w:w="221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32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2040607</w:t>
            </w:r>
          </w:p>
        </w:tc>
        <w:tc>
          <w:tcPr>
            <w:tcW w:w="20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法律援助</w:t>
            </w:r>
          </w:p>
        </w:tc>
        <w:tc>
          <w:tcPr>
            <w:tcW w:w="13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102.40</w:t>
            </w:r>
          </w:p>
        </w:tc>
        <w:tc>
          <w:tcPr>
            <w:tcW w:w="221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32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2040610</w:t>
            </w:r>
          </w:p>
        </w:tc>
        <w:tc>
          <w:tcPr>
            <w:tcW w:w="20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社区矫正</w:t>
            </w:r>
          </w:p>
        </w:tc>
        <w:tc>
          <w:tcPr>
            <w:tcW w:w="13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147.79</w:t>
            </w:r>
          </w:p>
        </w:tc>
        <w:tc>
          <w:tcPr>
            <w:tcW w:w="22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84.00</w:t>
            </w:r>
          </w:p>
        </w:tc>
        <w:tc>
          <w:tcPr>
            <w:tcW w:w="132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2040650</w:t>
            </w:r>
          </w:p>
        </w:tc>
        <w:tc>
          <w:tcPr>
            <w:tcW w:w="20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w:t>
            </w:r>
          </w:p>
        </w:tc>
        <w:tc>
          <w:tcPr>
            <w:tcW w:w="13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109.82</w:t>
            </w:r>
          </w:p>
        </w:tc>
        <w:tc>
          <w:tcPr>
            <w:tcW w:w="22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109.82</w:t>
            </w:r>
          </w:p>
        </w:tc>
        <w:tc>
          <w:tcPr>
            <w:tcW w:w="13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2040699</w:t>
            </w:r>
          </w:p>
        </w:tc>
        <w:tc>
          <w:tcPr>
            <w:tcW w:w="20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其他司法支出</w:t>
            </w:r>
          </w:p>
        </w:tc>
        <w:tc>
          <w:tcPr>
            <w:tcW w:w="13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223.43</w:t>
            </w:r>
          </w:p>
        </w:tc>
        <w:tc>
          <w:tcPr>
            <w:tcW w:w="221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32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w:t>
            </w:r>
          </w:p>
        </w:tc>
        <w:tc>
          <w:tcPr>
            <w:tcW w:w="20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教育支出</w:t>
            </w:r>
          </w:p>
        </w:tc>
        <w:tc>
          <w:tcPr>
            <w:tcW w:w="13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8.95</w:t>
            </w:r>
          </w:p>
        </w:tc>
        <w:tc>
          <w:tcPr>
            <w:tcW w:w="22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8.95</w:t>
            </w:r>
          </w:p>
        </w:tc>
        <w:tc>
          <w:tcPr>
            <w:tcW w:w="13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20508</w:t>
            </w:r>
          </w:p>
        </w:tc>
        <w:tc>
          <w:tcPr>
            <w:tcW w:w="20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进修及培训</w:t>
            </w:r>
          </w:p>
        </w:tc>
        <w:tc>
          <w:tcPr>
            <w:tcW w:w="13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8.95</w:t>
            </w:r>
          </w:p>
        </w:tc>
        <w:tc>
          <w:tcPr>
            <w:tcW w:w="22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8.95</w:t>
            </w:r>
          </w:p>
        </w:tc>
        <w:tc>
          <w:tcPr>
            <w:tcW w:w="13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2050803</w:t>
            </w:r>
          </w:p>
        </w:tc>
        <w:tc>
          <w:tcPr>
            <w:tcW w:w="20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培训支出</w:t>
            </w:r>
          </w:p>
        </w:tc>
        <w:tc>
          <w:tcPr>
            <w:tcW w:w="13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8.95</w:t>
            </w:r>
          </w:p>
        </w:tc>
        <w:tc>
          <w:tcPr>
            <w:tcW w:w="22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8.95</w:t>
            </w:r>
          </w:p>
        </w:tc>
        <w:tc>
          <w:tcPr>
            <w:tcW w:w="13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20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13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222.10</w:t>
            </w:r>
          </w:p>
        </w:tc>
        <w:tc>
          <w:tcPr>
            <w:tcW w:w="22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222.10</w:t>
            </w:r>
          </w:p>
        </w:tc>
        <w:tc>
          <w:tcPr>
            <w:tcW w:w="13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20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行政事业单位离退休</w:t>
            </w:r>
          </w:p>
        </w:tc>
        <w:tc>
          <w:tcPr>
            <w:tcW w:w="13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222.10</w:t>
            </w:r>
          </w:p>
        </w:tc>
        <w:tc>
          <w:tcPr>
            <w:tcW w:w="22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222.10</w:t>
            </w:r>
          </w:p>
        </w:tc>
        <w:tc>
          <w:tcPr>
            <w:tcW w:w="13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20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归口管理的行政单位离退休</w:t>
            </w:r>
          </w:p>
        </w:tc>
        <w:tc>
          <w:tcPr>
            <w:tcW w:w="13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27.29</w:t>
            </w:r>
          </w:p>
        </w:tc>
        <w:tc>
          <w:tcPr>
            <w:tcW w:w="22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27.29</w:t>
            </w:r>
          </w:p>
        </w:tc>
        <w:tc>
          <w:tcPr>
            <w:tcW w:w="13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20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3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89.50</w:t>
            </w:r>
          </w:p>
        </w:tc>
        <w:tc>
          <w:tcPr>
            <w:tcW w:w="22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89.50</w:t>
            </w:r>
          </w:p>
        </w:tc>
        <w:tc>
          <w:tcPr>
            <w:tcW w:w="13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20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13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39.97</w:t>
            </w:r>
          </w:p>
        </w:tc>
        <w:tc>
          <w:tcPr>
            <w:tcW w:w="22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39.97</w:t>
            </w:r>
          </w:p>
        </w:tc>
        <w:tc>
          <w:tcPr>
            <w:tcW w:w="13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2080599</w:t>
            </w:r>
          </w:p>
        </w:tc>
        <w:tc>
          <w:tcPr>
            <w:tcW w:w="20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其他行政事业单位离退休支出</w:t>
            </w:r>
          </w:p>
        </w:tc>
        <w:tc>
          <w:tcPr>
            <w:tcW w:w="13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65.34</w:t>
            </w:r>
          </w:p>
        </w:tc>
        <w:tc>
          <w:tcPr>
            <w:tcW w:w="22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65.34</w:t>
            </w:r>
          </w:p>
        </w:tc>
        <w:tc>
          <w:tcPr>
            <w:tcW w:w="13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20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医疗卫生与计划生育支出</w:t>
            </w:r>
          </w:p>
        </w:tc>
        <w:tc>
          <w:tcPr>
            <w:tcW w:w="13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90.72</w:t>
            </w:r>
          </w:p>
        </w:tc>
        <w:tc>
          <w:tcPr>
            <w:tcW w:w="22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90.72</w:t>
            </w:r>
          </w:p>
        </w:tc>
        <w:tc>
          <w:tcPr>
            <w:tcW w:w="13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20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13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90.72</w:t>
            </w:r>
          </w:p>
        </w:tc>
        <w:tc>
          <w:tcPr>
            <w:tcW w:w="22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90.72</w:t>
            </w:r>
          </w:p>
        </w:tc>
        <w:tc>
          <w:tcPr>
            <w:tcW w:w="13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20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13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68.69</w:t>
            </w:r>
          </w:p>
        </w:tc>
        <w:tc>
          <w:tcPr>
            <w:tcW w:w="22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68.69</w:t>
            </w:r>
          </w:p>
        </w:tc>
        <w:tc>
          <w:tcPr>
            <w:tcW w:w="13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2101102</w:t>
            </w:r>
          </w:p>
        </w:tc>
        <w:tc>
          <w:tcPr>
            <w:tcW w:w="20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事业单位医疗</w:t>
            </w:r>
          </w:p>
        </w:tc>
        <w:tc>
          <w:tcPr>
            <w:tcW w:w="13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w:t>
            </w:r>
          </w:p>
        </w:tc>
        <w:tc>
          <w:tcPr>
            <w:tcW w:w="22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w:t>
            </w:r>
          </w:p>
        </w:tc>
        <w:tc>
          <w:tcPr>
            <w:tcW w:w="13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2101103</w:t>
            </w:r>
          </w:p>
        </w:tc>
        <w:tc>
          <w:tcPr>
            <w:tcW w:w="20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13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19.08</w:t>
            </w:r>
          </w:p>
        </w:tc>
        <w:tc>
          <w:tcPr>
            <w:tcW w:w="22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19.08</w:t>
            </w:r>
          </w:p>
        </w:tc>
        <w:tc>
          <w:tcPr>
            <w:tcW w:w="13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20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13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85.60</w:t>
            </w:r>
          </w:p>
        </w:tc>
        <w:tc>
          <w:tcPr>
            <w:tcW w:w="22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85.60</w:t>
            </w:r>
          </w:p>
        </w:tc>
        <w:tc>
          <w:tcPr>
            <w:tcW w:w="13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20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13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85.60</w:t>
            </w:r>
          </w:p>
        </w:tc>
        <w:tc>
          <w:tcPr>
            <w:tcW w:w="22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85.60</w:t>
            </w:r>
          </w:p>
        </w:tc>
        <w:tc>
          <w:tcPr>
            <w:tcW w:w="13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87"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2031"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383"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85.60</w:t>
            </w:r>
          </w:p>
        </w:tc>
        <w:tc>
          <w:tcPr>
            <w:tcW w:w="221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85.60</w:t>
            </w:r>
          </w:p>
        </w:tc>
        <w:tc>
          <w:tcPr>
            <w:tcW w:w="132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336" w:type="dxa"/>
            <w:gridSpan w:val="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bl>
    <w:p/>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2"/>
        <w:gridCol w:w="1317"/>
        <w:gridCol w:w="832"/>
        <w:gridCol w:w="532"/>
        <w:gridCol w:w="1317"/>
        <w:gridCol w:w="705"/>
        <w:gridCol w:w="685"/>
        <w:gridCol w:w="1246"/>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8336" w:type="dxa"/>
            <w:gridSpan w:val="9"/>
            <w:shd w:val="clear" w:color="auto" w:fill="auto"/>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32" w:type="dxa"/>
            <w:shd w:val="clear" w:color="auto" w:fill="auto"/>
            <w:vAlign w:val="center"/>
          </w:tcPr>
          <w:p>
            <w:pPr>
              <w:jc w:val="left"/>
              <w:rPr>
                <w:rFonts w:hint="default" w:ascii="Tahoma" w:hAnsi="Tahoma" w:eastAsia="Tahoma" w:cs="Tahoma"/>
                <w:i w:val="0"/>
                <w:color w:val="000000"/>
                <w:sz w:val="16"/>
                <w:szCs w:val="16"/>
                <w:u w:val="none"/>
              </w:rPr>
            </w:pPr>
          </w:p>
        </w:tc>
        <w:tc>
          <w:tcPr>
            <w:tcW w:w="1317" w:type="dxa"/>
            <w:shd w:val="clear" w:color="auto" w:fill="auto"/>
            <w:vAlign w:val="center"/>
          </w:tcPr>
          <w:p>
            <w:pPr>
              <w:jc w:val="left"/>
              <w:rPr>
                <w:rFonts w:hint="eastAsia" w:ascii="宋体" w:hAnsi="宋体" w:eastAsia="宋体" w:cs="宋体"/>
                <w:i w:val="0"/>
                <w:color w:val="000000"/>
                <w:sz w:val="18"/>
                <w:szCs w:val="18"/>
                <w:u w:val="none"/>
              </w:rPr>
            </w:pPr>
          </w:p>
        </w:tc>
        <w:tc>
          <w:tcPr>
            <w:tcW w:w="832" w:type="dxa"/>
            <w:shd w:val="clear" w:color="auto" w:fill="auto"/>
            <w:vAlign w:val="center"/>
          </w:tcPr>
          <w:p>
            <w:pPr>
              <w:jc w:val="left"/>
              <w:rPr>
                <w:rFonts w:hint="eastAsia" w:ascii="宋体" w:hAnsi="宋体" w:eastAsia="宋体" w:cs="宋体"/>
                <w:i w:val="0"/>
                <w:color w:val="000000"/>
                <w:sz w:val="18"/>
                <w:szCs w:val="18"/>
                <w:u w:val="none"/>
              </w:rPr>
            </w:pPr>
          </w:p>
        </w:tc>
        <w:tc>
          <w:tcPr>
            <w:tcW w:w="532" w:type="dxa"/>
            <w:shd w:val="clear" w:color="auto" w:fill="auto"/>
            <w:vAlign w:val="center"/>
          </w:tcPr>
          <w:p>
            <w:pPr>
              <w:jc w:val="left"/>
              <w:rPr>
                <w:rFonts w:hint="eastAsia" w:ascii="宋体" w:hAnsi="宋体" w:eastAsia="宋体" w:cs="宋体"/>
                <w:i w:val="0"/>
                <w:color w:val="000000"/>
                <w:sz w:val="18"/>
                <w:szCs w:val="18"/>
                <w:u w:val="none"/>
              </w:rPr>
            </w:pPr>
          </w:p>
        </w:tc>
        <w:tc>
          <w:tcPr>
            <w:tcW w:w="1317" w:type="dxa"/>
            <w:shd w:val="clear" w:color="auto" w:fill="auto"/>
            <w:vAlign w:val="center"/>
          </w:tcPr>
          <w:p>
            <w:pPr>
              <w:jc w:val="left"/>
              <w:rPr>
                <w:rFonts w:hint="eastAsia" w:ascii="宋体" w:hAnsi="宋体" w:eastAsia="宋体" w:cs="宋体"/>
                <w:i w:val="0"/>
                <w:color w:val="000000"/>
                <w:sz w:val="18"/>
                <w:szCs w:val="18"/>
                <w:u w:val="none"/>
              </w:rPr>
            </w:pPr>
          </w:p>
        </w:tc>
        <w:tc>
          <w:tcPr>
            <w:tcW w:w="705" w:type="dxa"/>
            <w:shd w:val="clear" w:color="auto" w:fill="auto"/>
            <w:vAlign w:val="center"/>
          </w:tcPr>
          <w:p>
            <w:pPr>
              <w:jc w:val="left"/>
              <w:rPr>
                <w:rFonts w:hint="eastAsia" w:ascii="宋体" w:hAnsi="宋体" w:eastAsia="宋体" w:cs="宋体"/>
                <w:i w:val="0"/>
                <w:color w:val="000000"/>
                <w:sz w:val="18"/>
                <w:szCs w:val="18"/>
                <w:u w:val="none"/>
              </w:rPr>
            </w:pPr>
          </w:p>
        </w:tc>
        <w:tc>
          <w:tcPr>
            <w:tcW w:w="685" w:type="dxa"/>
            <w:shd w:val="clear" w:color="auto" w:fill="auto"/>
            <w:vAlign w:val="center"/>
          </w:tcPr>
          <w:p>
            <w:pPr>
              <w:jc w:val="left"/>
              <w:rPr>
                <w:rFonts w:hint="eastAsia" w:ascii="宋体" w:hAnsi="宋体" w:eastAsia="宋体" w:cs="宋体"/>
                <w:i w:val="0"/>
                <w:color w:val="000000"/>
                <w:sz w:val="18"/>
                <w:szCs w:val="18"/>
                <w:u w:val="none"/>
              </w:rPr>
            </w:pPr>
          </w:p>
        </w:tc>
        <w:tc>
          <w:tcPr>
            <w:tcW w:w="2416"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681" w:type="dxa"/>
            <w:gridSpan w:val="3"/>
            <w:shd w:val="clear" w:color="auto" w:fill="auto"/>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部门：重庆市荣昌区司法局</w:t>
            </w:r>
          </w:p>
        </w:tc>
        <w:tc>
          <w:tcPr>
            <w:tcW w:w="532" w:type="dxa"/>
            <w:shd w:val="clear" w:color="auto" w:fill="auto"/>
            <w:vAlign w:val="center"/>
          </w:tcPr>
          <w:p>
            <w:pPr>
              <w:jc w:val="left"/>
              <w:rPr>
                <w:rFonts w:hint="eastAsia" w:ascii="宋体" w:hAnsi="宋体" w:eastAsia="宋体" w:cs="宋体"/>
                <w:i w:val="0"/>
                <w:color w:val="000000"/>
                <w:sz w:val="18"/>
                <w:szCs w:val="18"/>
                <w:u w:val="none"/>
              </w:rPr>
            </w:pPr>
          </w:p>
        </w:tc>
        <w:tc>
          <w:tcPr>
            <w:tcW w:w="1317" w:type="dxa"/>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2017年度</w:t>
            </w:r>
          </w:p>
        </w:tc>
        <w:tc>
          <w:tcPr>
            <w:tcW w:w="705" w:type="dxa"/>
            <w:shd w:val="clear" w:color="auto" w:fill="auto"/>
            <w:vAlign w:val="center"/>
          </w:tcPr>
          <w:p>
            <w:pPr>
              <w:jc w:val="left"/>
              <w:rPr>
                <w:rFonts w:hint="eastAsia" w:ascii="宋体" w:hAnsi="宋体" w:eastAsia="宋体" w:cs="宋体"/>
                <w:i w:val="0"/>
                <w:color w:val="000000"/>
                <w:sz w:val="18"/>
                <w:szCs w:val="18"/>
                <w:u w:val="none"/>
              </w:rPr>
            </w:pPr>
          </w:p>
        </w:tc>
        <w:tc>
          <w:tcPr>
            <w:tcW w:w="685" w:type="dxa"/>
            <w:shd w:val="clear" w:color="auto" w:fill="auto"/>
            <w:vAlign w:val="center"/>
          </w:tcPr>
          <w:p>
            <w:pPr>
              <w:jc w:val="left"/>
              <w:rPr>
                <w:rFonts w:hint="eastAsia" w:ascii="宋体" w:hAnsi="宋体" w:eastAsia="宋体" w:cs="宋体"/>
                <w:i w:val="0"/>
                <w:color w:val="000000"/>
                <w:sz w:val="18"/>
                <w:szCs w:val="18"/>
                <w:u w:val="none"/>
              </w:rPr>
            </w:pPr>
          </w:p>
        </w:tc>
        <w:tc>
          <w:tcPr>
            <w:tcW w:w="2416"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56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3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经济分类科目编码</w:t>
            </w:r>
          </w:p>
        </w:tc>
        <w:tc>
          <w:tcPr>
            <w:tcW w:w="1317"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832"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532"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经济分类科目编码</w:t>
            </w:r>
          </w:p>
        </w:tc>
        <w:tc>
          <w:tcPr>
            <w:tcW w:w="1317"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05"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685"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经济分类科目编码</w:t>
            </w:r>
          </w:p>
        </w:tc>
        <w:tc>
          <w:tcPr>
            <w:tcW w:w="1246"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170"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3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17"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3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3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17"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5"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85"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46"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7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8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1,272.43</w:t>
            </w:r>
          </w:p>
        </w:tc>
        <w:tc>
          <w:tcPr>
            <w:tcW w:w="53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7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204.49</w:t>
            </w:r>
          </w:p>
        </w:tc>
        <w:tc>
          <w:tcPr>
            <w:tcW w:w="68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24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其他资本性支出</w:t>
            </w:r>
          </w:p>
        </w:tc>
        <w:tc>
          <w:tcPr>
            <w:tcW w:w="11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8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283.08</w:t>
            </w:r>
          </w:p>
        </w:tc>
        <w:tc>
          <w:tcPr>
            <w:tcW w:w="53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7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68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124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11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8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222.43</w:t>
            </w:r>
          </w:p>
        </w:tc>
        <w:tc>
          <w:tcPr>
            <w:tcW w:w="53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7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w:t>
            </w:r>
          </w:p>
        </w:tc>
        <w:tc>
          <w:tcPr>
            <w:tcW w:w="68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24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11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8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280.35</w:t>
            </w:r>
          </w:p>
        </w:tc>
        <w:tc>
          <w:tcPr>
            <w:tcW w:w="53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7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8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124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11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30104</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8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109.89</w:t>
            </w:r>
          </w:p>
        </w:tc>
        <w:tc>
          <w:tcPr>
            <w:tcW w:w="53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7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0.24</w:t>
            </w:r>
          </w:p>
        </w:tc>
        <w:tc>
          <w:tcPr>
            <w:tcW w:w="68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124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11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8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3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7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0.08</w:t>
            </w:r>
          </w:p>
        </w:tc>
        <w:tc>
          <w:tcPr>
            <w:tcW w:w="68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124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11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8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23.52</w:t>
            </w:r>
          </w:p>
        </w:tc>
        <w:tc>
          <w:tcPr>
            <w:tcW w:w="53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7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w:t>
            </w:r>
          </w:p>
        </w:tc>
        <w:tc>
          <w:tcPr>
            <w:tcW w:w="68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124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11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8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89.50</w:t>
            </w:r>
          </w:p>
        </w:tc>
        <w:tc>
          <w:tcPr>
            <w:tcW w:w="53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7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52.35</w:t>
            </w:r>
          </w:p>
        </w:tc>
        <w:tc>
          <w:tcPr>
            <w:tcW w:w="68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124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11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8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39.97</w:t>
            </w:r>
          </w:p>
        </w:tc>
        <w:tc>
          <w:tcPr>
            <w:tcW w:w="53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7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8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124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11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8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223.68</w:t>
            </w:r>
          </w:p>
        </w:tc>
        <w:tc>
          <w:tcPr>
            <w:tcW w:w="53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7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8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124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11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8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242.30</w:t>
            </w:r>
          </w:p>
        </w:tc>
        <w:tc>
          <w:tcPr>
            <w:tcW w:w="53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7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68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124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11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8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3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7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8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124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11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8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27.29</w:t>
            </w:r>
          </w:p>
        </w:tc>
        <w:tc>
          <w:tcPr>
            <w:tcW w:w="53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7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10.42</w:t>
            </w:r>
          </w:p>
        </w:tc>
        <w:tc>
          <w:tcPr>
            <w:tcW w:w="68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124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11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8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3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7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8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124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11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8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17.09</w:t>
            </w:r>
          </w:p>
        </w:tc>
        <w:tc>
          <w:tcPr>
            <w:tcW w:w="53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7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8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31020</w:t>
            </w:r>
          </w:p>
        </w:tc>
        <w:tc>
          <w:tcPr>
            <w:tcW w:w="124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产权参股</w:t>
            </w:r>
          </w:p>
        </w:tc>
        <w:tc>
          <w:tcPr>
            <w:tcW w:w="11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8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w:t>
            </w:r>
          </w:p>
        </w:tc>
        <w:tc>
          <w:tcPr>
            <w:tcW w:w="53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7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10.83</w:t>
            </w:r>
          </w:p>
        </w:tc>
        <w:tc>
          <w:tcPr>
            <w:tcW w:w="68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124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11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8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3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7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68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w:t>
            </w:r>
          </w:p>
        </w:tc>
        <w:tc>
          <w:tcPr>
            <w:tcW w:w="124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对企事业单位的补贴</w:t>
            </w:r>
          </w:p>
        </w:tc>
        <w:tc>
          <w:tcPr>
            <w:tcW w:w="11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8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48.52</w:t>
            </w:r>
          </w:p>
        </w:tc>
        <w:tc>
          <w:tcPr>
            <w:tcW w:w="53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7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8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30401</w:t>
            </w:r>
          </w:p>
        </w:tc>
        <w:tc>
          <w:tcPr>
            <w:tcW w:w="124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企业政策性补贴</w:t>
            </w:r>
          </w:p>
        </w:tc>
        <w:tc>
          <w:tcPr>
            <w:tcW w:w="11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8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3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7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8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30402</w:t>
            </w:r>
          </w:p>
        </w:tc>
        <w:tc>
          <w:tcPr>
            <w:tcW w:w="124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事业单位补贴</w:t>
            </w:r>
          </w:p>
        </w:tc>
        <w:tc>
          <w:tcPr>
            <w:tcW w:w="11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8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0.12</w:t>
            </w:r>
          </w:p>
        </w:tc>
        <w:tc>
          <w:tcPr>
            <w:tcW w:w="53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7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8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30403</w:t>
            </w:r>
          </w:p>
        </w:tc>
        <w:tc>
          <w:tcPr>
            <w:tcW w:w="124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财政贴息</w:t>
            </w:r>
          </w:p>
        </w:tc>
        <w:tc>
          <w:tcPr>
            <w:tcW w:w="11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生产补贴</w:t>
            </w:r>
          </w:p>
        </w:tc>
        <w:tc>
          <w:tcPr>
            <w:tcW w:w="8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3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7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16.26</w:t>
            </w:r>
          </w:p>
        </w:tc>
        <w:tc>
          <w:tcPr>
            <w:tcW w:w="68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30499</w:t>
            </w:r>
          </w:p>
        </w:tc>
        <w:tc>
          <w:tcPr>
            <w:tcW w:w="124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其他对企事业单位的补贴</w:t>
            </w:r>
          </w:p>
        </w:tc>
        <w:tc>
          <w:tcPr>
            <w:tcW w:w="11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30311</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8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100.86</w:t>
            </w:r>
          </w:p>
        </w:tc>
        <w:tc>
          <w:tcPr>
            <w:tcW w:w="53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70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68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124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债务利息支出</w:t>
            </w:r>
          </w:p>
        </w:tc>
        <w:tc>
          <w:tcPr>
            <w:tcW w:w="11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30312</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提租补贴</w:t>
            </w:r>
          </w:p>
        </w:tc>
        <w:tc>
          <w:tcPr>
            <w:tcW w:w="8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3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7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7.12</w:t>
            </w:r>
          </w:p>
        </w:tc>
        <w:tc>
          <w:tcPr>
            <w:tcW w:w="68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124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11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30313</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购房补贴</w:t>
            </w:r>
          </w:p>
        </w:tc>
        <w:tc>
          <w:tcPr>
            <w:tcW w:w="8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3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7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0.06</w:t>
            </w:r>
          </w:p>
        </w:tc>
        <w:tc>
          <w:tcPr>
            <w:tcW w:w="68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30707</w:t>
            </w:r>
          </w:p>
        </w:tc>
        <w:tc>
          <w:tcPr>
            <w:tcW w:w="124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11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30314</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采暖补贴</w:t>
            </w:r>
          </w:p>
        </w:tc>
        <w:tc>
          <w:tcPr>
            <w:tcW w:w="8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3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7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7.86</w:t>
            </w:r>
          </w:p>
        </w:tc>
        <w:tc>
          <w:tcPr>
            <w:tcW w:w="68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124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1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30315</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物业服务补贴</w:t>
            </w:r>
          </w:p>
        </w:tc>
        <w:tc>
          <w:tcPr>
            <w:tcW w:w="8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3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7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61.17</w:t>
            </w:r>
          </w:p>
        </w:tc>
        <w:tc>
          <w:tcPr>
            <w:tcW w:w="68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1246"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11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3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其他对个人和家庭的补助支出</w:t>
            </w:r>
          </w:p>
        </w:tc>
        <w:tc>
          <w:tcPr>
            <w:tcW w:w="8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45.36</w:t>
            </w:r>
          </w:p>
        </w:tc>
        <w:tc>
          <w:tcPr>
            <w:tcW w:w="53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7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w:t>
            </w:r>
          </w:p>
        </w:tc>
        <w:tc>
          <w:tcPr>
            <w:tcW w:w="685"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246"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1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32"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317"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8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32"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317"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70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29.16</w:t>
            </w:r>
          </w:p>
        </w:tc>
        <w:tc>
          <w:tcPr>
            <w:tcW w:w="685"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246"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17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84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8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1,514.72</w:t>
            </w:r>
          </w:p>
        </w:tc>
        <w:tc>
          <w:tcPr>
            <w:tcW w:w="4485" w:type="dxa"/>
            <w:gridSpan w:val="5"/>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11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336" w:type="dxa"/>
            <w:gridSpan w:val="9"/>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bl>
    <w:p/>
    <w:p/>
    <w:p/>
    <w:p/>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2"/>
        <w:gridCol w:w="501"/>
        <w:gridCol w:w="500"/>
        <w:gridCol w:w="1997"/>
        <w:gridCol w:w="875"/>
        <w:gridCol w:w="502"/>
        <w:gridCol w:w="502"/>
        <w:gridCol w:w="1995"/>
        <w:gridCol w:w="502"/>
        <w:gridCol w:w="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472" w:type="dxa"/>
            <w:shd w:val="clear" w:color="auto" w:fill="auto"/>
            <w:vAlign w:val="center"/>
          </w:tcPr>
          <w:p>
            <w:pPr>
              <w:jc w:val="left"/>
              <w:rPr>
                <w:rFonts w:hint="eastAsia" w:ascii="Tahoma" w:hAnsi="Tahoma" w:eastAsia="Tahoma" w:cs="Tahoma"/>
                <w:i w:val="0"/>
                <w:color w:val="000000"/>
                <w:sz w:val="16"/>
                <w:szCs w:val="16"/>
                <w:u w:val="none"/>
              </w:rPr>
            </w:pPr>
          </w:p>
        </w:tc>
        <w:tc>
          <w:tcPr>
            <w:tcW w:w="501" w:type="dxa"/>
            <w:shd w:val="clear" w:color="auto" w:fill="auto"/>
            <w:vAlign w:val="center"/>
          </w:tcPr>
          <w:p>
            <w:pPr>
              <w:jc w:val="left"/>
              <w:rPr>
                <w:rFonts w:hint="eastAsia" w:ascii="宋体" w:hAnsi="宋体" w:eastAsia="宋体" w:cs="宋体"/>
                <w:i w:val="0"/>
                <w:color w:val="000000"/>
                <w:sz w:val="18"/>
                <w:szCs w:val="18"/>
                <w:u w:val="none"/>
              </w:rPr>
            </w:pPr>
          </w:p>
        </w:tc>
        <w:tc>
          <w:tcPr>
            <w:tcW w:w="500" w:type="dxa"/>
            <w:shd w:val="clear" w:color="auto" w:fill="auto"/>
            <w:vAlign w:val="center"/>
          </w:tcPr>
          <w:p>
            <w:pPr>
              <w:jc w:val="left"/>
              <w:rPr>
                <w:rFonts w:hint="eastAsia" w:ascii="宋体" w:hAnsi="宋体" w:eastAsia="宋体" w:cs="宋体"/>
                <w:i w:val="0"/>
                <w:color w:val="000000"/>
                <w:sz w:val="18"/>
                <w:szCs w:val="18"/>
                <w:u w:val="none"/>
              </w:rPr>
            </w:pPr>
          </w:p>
        </w:tc>
        <w:tc>
          <w:tcPr>
            <w:tcW w:w="5871" w:type="dxa"/>
            <w:gridSpan w:val="5"/>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政府性基金预算财政拨款收入支出决算表</w:t>
            </w:r>
          </w:p>
        </w:tc>
        <w:tc>
          <w:tcPr>
            <w:tcW w:w="502" w:type="dxa"/>
            <w:shd w:val="clear" w:color="auto" w:fill="auto"/>
            <w:vAlign w:val="center"/>
          </w:tcPr>
          <w:p>
            <w:pPr>
              <w:jc w:val="left"/>
              <w:rPr>
                <w:rFonts w:hint="eastAsia" w:ascii="宋体" w:hAnsi="宋体" w:eastAsia="宋体" w:cs="宋体"/>
                <w:i w:val="0"/>
                <w:color w:val="000000"/>
                <w:sz w:val="18"/>
                <w:szCs w:val="18"/>
                <w:u w:val="none"/>
              </w:rPr>
            </w:pPr>
          </w:p>
        </w:tc>
        <w:tc>
          <w:tcPr>
            <w:tcW w:w="490" w:type="dxa"/>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72" w:type="dxa"/>
            <w:shd w:val="clear" w:color="auto" w:fill="auto"/>
            <w:vAlign w:val="center"/>
          </w:tcPr>
          <w:p>
            <w:pPr>
              <w:jc w:val="left"/>
              <w:rPr>
                <w:rFonts w:hint="default" w:ascii="Tahoma" w:hAnsi="Tahoma" w:eastAsia="Tahoma" w:cs="Tahoma"/>
                <w:i w:val="0"/>
                <w:color w:val="000000"/>
                <w:sz w:val="16"/>
                <w:szCs w:val="16"/>
                <w:u w:val="none"/>
              </w:rPr>
            </w:pPr>
          </w:p>
        </w:tc>
        <w:tc>
          <w:tcPr>
            <w:tcW w:w="501" w:type="dxa"/>
            <w:shd w:val="clear" w:color="auto" w:fill="auto"/>
            <w:vAlign w:val="center"/>
          </w:tcPr>
          <w:p>
            <w:pPr>
              <w:jc w:val="left"/>
              <w:rPr>
                <w:rFonts w:hint="eastAsia" w:ascii="宋体" w:hAnsi="宋体" w:eastAsia="宋体" w:cs="宋体"/>
                <w:i w:val="0"/>
                <w:color w:val="000000"/>
                <w:sz w:val="18"/>
                <w:szCs w:val="18"/>
                <w:u w:val="none"/>
              </w:rPr>
            </w:pPr>
          </w:p>
        </w:tc>
        <w:tc>
          <w:tcPr>
            <w:tcW w:w="500" w:type="dxa"/>
            <w:shd w:val="clear" w:color="auto" w:fill="auto"/>
            <w:vAlign w:val="center"/>
          </w:tcPr>
          <w:p>
            <w:pPr>
              <w:jc w:val="left"/>
              <w:rPr>
                <w:rFonts w:hint="eastAsia" w:ascii="宋体" w:hAnsi="宋体" w:eastAsia="宋体" w:cs="宋体"/>
                <w:i w:val="0"/>
                <w:color w:val="000000"/>
                <w:sz w:val="18"/>
                <w:szCs w:val="18"/>
                <w:u w:val="none"/>
              </w:rPr>
            </w:pPr>
          </w:p>
        </w:tc>
        <w:tc>
          <w:tcPr>
            <w:tcW w:w="1997" w:type="dxa"/>
            <w:shd w:val="clear" w:color="auto" w:fill="auto"/>
            <w:vAlign w:val="center"/>
          </w:tcPr>
          <w:p>
            <w:pPr>
              <w:jc w:val="left"/>
              <w:rPr>
                <w:rFonts w:hint="eastAsia" w:ascii="宋体" w:hAnsi="宋体" w:eastAsia="宋体" w:cs="宋体"/>
                <w:i w:val="0"/>
                <w:color w:val="000000"/>
                <w:sz w:val="18"/>
                <w:szCs w:val="18"/>
                <w:u w:val="none"/>
              </w:rPr>
            </w:pPr>
          </w:p>
        </w:tc>
        <w:tc>
          <w:tcPr>
            <w:tcW w:w="875" w:type="dxa"/>
            <w:shd w:val="clear" w:color="auto" w:fill="auto"/>
            <w:vAlign w:val="center"/>
          </w:tcPr>
          <w:p>
            <w:pPr>
              <w:jc w:val="left"/>
              <w:rPr>
                <w:rFonts w:hint="eastAsia" w:ascii="宋体" w:hAnsi="宋体" w:eastAsia="宋体" w:cs="宋体"/>
                <w:i w:val="0"/>
                <w:color w:val="000000"/>
                <w:sz w:val="18"/>
                <w:szCs w:val="18"/>
                <w:u w:val="none"/>
              </w:rPr>
            </w:pPr>
          </w:p>
        </w:tc>
        <w:tc>
          <w:tcPr>
            <w:tcW w:w="502" w:type="dxa"/>
            <w:shd w:val="clear" w:color="auto" w:fill="auto"/>
            <w:vAlign w:val="center"/>
          </w:tcPr>
          <w:p>
            <w:pPr>
              <w:jc w:val="left"/>
              <w:rPr>
                <w:rFonts w:hint="eastAsia" w:ascii="宋体" w:hAnsi="宋体" w:eastAsia="宋体" w:cs="宋体"/>
                <w:i w:val="0"/>
                <w:color w:val="000000"/>
                <w:sz w:val="18"/>
                <w:szCs w:val="18"/>
                <w:u w:val="none"/>
              </w:rPr>
            </w:pPr>
          </w:p>
        </w:tc>
        <w:tc>
          <w:tcPr>
            <w:tcW w:w="502" w:type="dxa"/>
            <w:shd w:val="clear" w:color="auto" w:fill="auto"/>
            <w:vAlign w:val="center"/>
          </w:tcPr>
          <w:p>
            <w:pPr>
              <w:jc w:val="left"/>
              <w:rPr>
                <w:rFonts w:hint="eastAsia" w:ascii="宋体" w:hAnsi="宋体" w:eastAsia="宋体" w:cs="宋体"/>
                <w:i w:val="0"/>
                <w:color w:val="000000"/>
                <w:sz w:val="18"/>
                <w:szCs w:val="18"/>
                <w:u w:val="none"/>
              </w:rPr>
            </w:pPr>
          </w:p>
        </w:tc>
        <w:tc>
          <w:tcPr>
            <w:tcW w:w="1995" w:type="dxa"/>
            <w:shd w:val="clear" w:color="auto" w:fill="auto"/>
            <w:vAlign w:val="center"/>
          </w:tcPr>
          <w:p>
            <w:pPr>
              <w:jc w:val="left"/>
              <w:rPr>
                <w:rFonts w:hint="eastAsia" w:ascii="宋体" w:hAnsi="宋体" w:eastAsia="宋体" w:cs="宋体"/>
                <w:i w:val="0"/>
                <w:color w:val="000000"/>
                <w:sz w:val="18"/>
                <w:szCs w:val="18"/>
                <w:u w:val="none"/>
              </w:rPr>
            </w:pPr>
          </w:p>
        </w:tc>
        <w:tc>
          <w:tcPr>
            <w:tcW w:w="992"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470" w:type="dxa"/>
            <w:gridSpan w:val="4"/>
            <w:shd w:val="clear" w:color="auto" w:fill="auto"/>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部门：重庆市荣昌区司法局</w:t>
            </w:r>
          </w:p>
        </w:tc>
        <w:tc>
          <w:tcPr>
            <w:tcW w:w="1377" w:type="dxa"/>
            <w:gridSpan w:val="2"/>
            <w:shd w:val="clear" w:color="auto" w:fill="auto"/>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2017年度</w:t>
            </w:r>
          </w:p>
        </w:tc>
        <w:tc>
          <w:tcPr>
            <w:tcW w:w="502" w:type="dxa"/>
            <w:shd w:val="clear" w:color="auto" w:fill="auto"/>
            <w:vAlign w:val="center"/>
          </w:tcPr>
          <w:p>
            <w:pPr>
              <w:jc w:val="left"/>
              <w:rPr>
                <w:rFonts w:hint="eastAsia" w:ascii="宋体" w:hAnsi="宋体" w:eastAsia="宋体" w:cs="宋体"/>
                <w:i w:val="0"/>
                <w:color w:val="000000"/>
                <w:sz w:val="18"/>
                <w:szCs w:val="18"/>
                <w:u w:val="none"/>
              </w:rPr>
            </w:pPr>
          </w:p>
        </w:tc>
        <w:tc>
          <w:tcPr>
            <w:tcW w:w="2987" w:type="dxa"/>
            <w:gridSpan w:val="3"/>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4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2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4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1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4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4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7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501"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500"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997" w:type="dxa"/>
            <w:tcBorders>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87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0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9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0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9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7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01"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0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97" w:type="dxa"/>
            <w:tcBorders>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0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0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9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0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473"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997"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87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0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0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99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50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4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336" w:type="dxa"/>
            <w:gridSpan w:val="10"/>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注：本单位无相关数据，故本表为空。</w:t>
            </w:r>
          </w:p>
        </w:tc>
      </w:tr>
    </w:tbl>
    <w:p/>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75"/>
        <w:gridCol w:w="1774"/>
        <w:gridCol w:w="832"/>
        <w:gridCol w:w="1979"/>
        <w:gridCol w:w="1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775" w:type="dxa"/>
            <w:shd w:val="clear" w:color="auto" w:fill="auto"/>
            <w:vAlign w:val="center"/>
          </w:tcPr>
          <w:p>
            <w:pPr>
              <w:jc w:val="left"/>
              <w:rPr>
                <w:rFonts w:hint="eastAsia" w:ascii="Tahoma" w:hAnsi="Tahoma" w:eastAsia="Tahoma" w:cs="Tahoma"/>
                <w:i w:val="0"/>
                <w:color w:val="000000"/>
                <w:sz w:val="16"/>
                <w:szCs w:val="16"/>
                <w:u w:val="none"/>
              </w:rPr>
            </w:pPr>
          </w:p>
        </w:tc>
        <w:tc>
          <w:tcPr>
            <w:tcW w:w="4585" w:type="dxa"/>
            <w:gridSpan w:val="3"/>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部门决算相关信息统计表</w:t>
            </w:r>
          </w:p>
        </w:tc>
        <w:tc>
          <w:tcPr>
            <w:tcW w:w="1976" w:type="dxa"/>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75" w:type="dxa"/>
            <w:shd w:val="clear" w:color="auto" w:fill="auto"/>
            <w:vAlign w:val="center"/>
          </w:tcPr>
          <w:p>
            <w:pPr>
              <w:jc w:val="left"/>
              <w:rPr>
                <w:rFonts w:hint="default" w:ascii="Tahoma" w:hAnsi="Tahoma" w:eastAsia="Tahoma" w:cs="Tahoma"/>
                <w:i w:val="0"/>
                <w:color w:val="000000"/>
                <w:sz w:val="16"/>
                <w:szCs w:val="16"/>
                <w:u w:val="none"/>
              </w:rPr>
            </w:pPr>
          </w:p>
        </w:tc>
        <w:tc>
          <w:tcPr>
            <w:tcW w:w="1774" w:type="dxa"/>
            <w:shd w:val="clear" w:color="auto" w:fill="auto"/>
            <w:vAlign w:val="center"/>
          </w:tcPr>
          <w:p>
            <w:pPr>
              <w:jc w:val="left"/>
              <w:rPr>
                <w:rFonts w:hint="eastAsia" w:ascii="宋体" w:hAnsi="宋体" w:eastAsia="宋体" w:cs="宋体"/>
                <w:i w:val="0"/>
                <w:color w:val="000000"/>
                <w:sz w:val="18"/>
                <w:szCs w:val="18"/>
                <w:u w:val="none"/>
              </w:rPr>
            </w:pPr>
          </w:p>
        </w:tc>
        <w:tc>
          <w:tcPr>
            <w:tcW w:w="832" w:type="dxa"/>
            <w:shd w:val="clear" w:color="auto" w:fill="auto"/>
            <w:vAlign w:val="center"/>
          </w:tcPr>
          <w:p>
            <w:pPr>
              <w:jc w:val="left"/>
              <w:rPr>
                <w:rFonts w:hint="eastAsia" w:ascii="宋体" w:hAnsi="宋体" w:eastAsia="宋体" w:cs="宋体"/>
                <w:i w:val="0"/>
                <w:color w:val="000000"/>
                <w:sz w:val="18"/>
                <w:szCs w:val="18"/>
                <w:u w:val="none"/>
              </w:rPr>
            </w:pPr>
          </w:p>
        </w:tc>
        <w:tc>
          <w:tcPr>
            <w:tcW w:w="3955"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49" w:type="dxa"/>
            <w:gridSpan w:val="2"/>
            <w:tcBorders>
              <w:bottom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编制单位：重庆市荣昌区司法局</w:t>
            </w:r>
          </w:p>
        </w:tc>
        <w:tc>
          <w:tcPr>
            <w:tcW w:w="2811" w:type="dxa"/>
            <w:gridSpan w:val="2"/>
            <w:tcBorders>
              <w:bottom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2017年度</w:t>
            </w:r>
          </w:p>
        </w:tc>
        <w:tc>
          <w:tcPr>
            <w:tcW w:w="1976"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177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832" w:type="dxa"/>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  次</w:t>
            </w:r>
          </w:p>
        </w:tc>
        <w:tc>
          <w:tcPr>
            <w:tcW w:w="177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32" w:type="dxa"/>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  次</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7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一、“三公”经费支出</w:t>
            </w:r>
          </w:p>
        </w:tc>
        <w:tc>
          <w:tcPr>
            <w:tcW w:w="177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二、机关运行经费</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75" w:type="dxa"/>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（一）支出合计</w:t>
            </w:r>
          </w:p>
        </w:tc>
        <w:tc>
          <w:tcPr>
            <w:tcW w:w="1774" w:type="dxa"/>
            <w:tcBorders>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102.65</w:t>
            </w:r>
          </w:p>
        </w:tc>
        <w:tc>
          <w:tcPr>
            <w:tcW w:w="832" w:type="dxa"/>
            <w:tcBorders>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29.84</w:t>
            </w:r>
          </w:p>
        </w:tc>
        <w:tc>
          <w:tcPr>
            <w:tcW w:w="197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（一）行政单位</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1．因公出国（境）费</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（二）参照公务员法管理事业单位</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2．公务用车购置及运行维护费</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46.90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17.07</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（1）公务用车购置费</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三、国有资产占用情况</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（2）公务用车运行维护费</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46.90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17.07</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（一）车辆数合计（辆）</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3．公务接待费</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55.75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12.76</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1．部级领导干部用车</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（1）国内接待费</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55.75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12.76</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2．一般公务用车</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其中：外事接待费</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3．一般执法执勤用车</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（2）国（境）外接待费</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4．特种专业技术用车</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（二）相关统计数</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5．其他用车</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1．因公出国（境）团组数（个）</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（二）单价50万元以上通用设备（台，套）</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2．因公出国（境）人次数（人）</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（三）单价100万元以上专用设备（台，套）</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3．公务用车购置数（辆）</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4．公务用车保有量（辆）</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17.00</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5．国内公务接待批次（个）</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130.00</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其中：外事接待批次（个）</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6．国内公务接待人次（人）</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1,433.00</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其中：外事接待人次（人）</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7．国（境）外公务接待批次（个）</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8．国（境）外公务接待人次（人）</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0E497"/>
    <w:multiLevelType w:val="singleLevel"/>
    <w:tmpl w:val="5B70E49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CE6"/>
    <w:rsid w:val="00167628"/>
    <w:rsid w:val="00652CE6"/>
    <w:rsid w:val="178338B1"/>
    <w:rsid w:val="185F2196"/>
    <w:rsid w:val="35184AD2"/>
    <w:rsid w:val="3A671993"/>
    <w:rsid w:val="42EC53D1"/>
    <w:rsid w:val="49C234D2"/>
    <w:rsid w:val="4C4501DA"/>
    <w:rsid w:val="567D1627"/>
    <w:rsid w:val="5CDB05A2"/>
    <w:rsid w:val="5FCE431C"/>
    <w:rsid w:val="66BD6BB9"/>
    <w:rsid w:val="6ABD3503"/>
    <w:rsid w:val="70791615"/>
    <w:rsid w:val="755856D1"/>
    <w:rsid w:val="766D5AA4"/>
    <w:rsid w:val="77A228AD"/>
    <w:rsid w:val="7A6E4FB4"/>
    <w:rsid w:val="7BA94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1022</Words>
  <Characters>5826</Characters>
  <Lines>48</Lines>
  <Paragraphs>13</Paragraphs>
  <TotalTime>0</TotalTime>
  <ScaleCrop>false</ScaleCrop>
  <LinksUpToDate>false</LinksUpToDate>
  <CharactersWithSpaces>6835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2018-08-08T07:44:00Z</dcterms:created>
  <dc:creator>Administrator</dc:creator>
  <cp:lastModifiedBy>Administrator</cp:lastModifiedBy>
  <cp:lastPrinted>2018-08-27T08:17:00Z</cp:lastPrinted>
  <dcterms:modified xsi:type="dcterms:W3CDTF">2022-04-11T10:36:32Z</dcterms:modified>
  <dc:title>重庆市荣昌区司法局_x000B_2017年部门决算情况说明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