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OLE_LINK7"/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重庆荣昌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农牧科技集团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有限公司</w:t>
      </w:r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你单位提交的《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荣昌猪稳产保供基地水土保持方案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审批申请表（项目代码：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2107―500153―04―01―975675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）》和《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荣昌猪稳产保供基地水土保持方案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报告书》收悉。经审查，该申请符合法定条件，根据《中华人民共和国行政许可法》第三十八条第一款、《水行政许可实施办法》第三十二条第一项，决定准予行政许可。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60" w:lineRule="exact"/>
        <w:ind w:firstLine="960" w:firstLineChars="3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一、项目概况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（一）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荣昌猪稳产保供基地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位于荣昌区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清流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镇，为新建类项目，项目法人为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重庆荣昌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农牧科技集团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有限公司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工程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建设内容：新建生产猪舍4栋，猪舍总面积37793.11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，出猪房1栋，生活配套用房9栋，发电配电房1栋及赶猪走廊等室外附属工程等，房屋总面积41944.82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（二）本工程总占地面积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8.37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hm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均为临时占地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。本项目土石方开挖总量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15.66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万m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  <w:lang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（表土剥离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0.08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万m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  <w:lang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），填方总量为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15.66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万m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  <w:lang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（表土回覆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0.08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万m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  <w:lang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）</w:t>
      </w:r>
      <w:bookmarkStart w:id="1" w:name="OLE_LINK4"/>
      <w:bookmarkStart w:id="2" w:name="OLE_LINK6"/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。</w:t>
      </w:r>
      <w:bookmarkEnd w:id="1"/>
    </w:p>
    <w:bookmarkEnd w:id="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本项目建设时间为2024年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月~202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月，</w:t>
      </w:r>
      <w:bookmarkStart w:id="3" w:name="OLE_LINK5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总工期为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个月。</w:t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二、水土保持方案总体意见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（一）基本同意建设期水土流失防治责任范围为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8.37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hm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（二）同意水土流失防治执行建设类项目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级标准。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（三）基本同意水土流失治理度9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%、土壤流失控制比1.0、渣土防护率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%，表土保护率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%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，林草植被恢复率9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%、林草覆盖率2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（四）基本同意水土流失防治分区和分区防治措施安排。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）基本同意水土保持方案实施进度安排。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）基本同意水土保持监测时段、内容和方法。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（七）基本同意方案设计水平年为202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年。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三、水土保持方案投资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工程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水土保持总投资为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72.64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万元，其中主体已有水土保持投资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17.68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万元，方案新增水土保持投资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54.96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万元。方案新增投资中：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工程措施费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1.68万元，植物措施费0.40万元，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监测措施费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9.47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元，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临时措施费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8.76万元，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独立费用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20.49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基本预备费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2.45万元，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11.71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117126.80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元）。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四、相关法规要求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生产建设单位在项目建设中应全面落实《中华人民共和国水土保持法》《重庆市实施〈中华人民共和国水土保持法〉办法》的各项要求：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4" w:name="OLE_LINK1"/>
      <w:r>
        <w:rPr>
          <w:rFonts w:hint="default" w:ascii="Times New Roman" w:hAnsi="Times New Roman" w:eastAsia="方正仿宋_GBK" w:cs="Times New Roman"/>
          <w:sz w:val="32"/>
          <w:szCs w:val="32"/>
        </w:rPr>
        <w:t>（一）在初步设计和施工图设计阶段，根据批复的水土保持方案和有关技术标准，组织开展水土保持设计，编制水土保持设计篇章，并作为主体工程设计的重要组成部分；在施工阶段，加强施工组织和管理工作，切实落实水土保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“三同时”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制度。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在工程建设过程中，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严格按方案要求落实各项水土保持措施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，保证水土保持措施的质量、实施进度和资金投入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各类施工活动要严格限定在用地范围内，严禁随意占压、扰动和破坏地表植被。做好表土的剥离和弃渣综合利用，建设过程中产生的弃土要及时运至方案确定的专门场地。根据方案要求合理安排施工时序和水土保持措施实施进度，严格控制施工期间可能造成的水土流失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将水土保持工作任务和内容纳入施工合同，落实施工单位水土保持责任。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（三）切实做好水土保持监测工作，加强水土流失动态监控，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在工程建设期间应将水土保持监测季报按规定在网站公开，同时在业主项目部和施工项目部公开，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并按规定向我局提交监测季度及总结报告。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）采购土、石、砂等建筑材料要选择符合规定的料场，明确水土流失防治责任。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）项目开工前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向主管税务机关申报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缴纳水土保持补偿费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（免征项目除外）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（六）按照水土保持监理标准和规范开展水土保持工程施工监理，确保水土保持工程建设质量和进度。</w:t>
      </w:r>
    </w:p>
    <w:bookmarkEnd w:id="4"/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五、注意事项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（一）本项目的地点、规模如发生重大变化，或者水土保持方案实施过程中水土保持措施发生重大变更的，应按照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水利部第53号令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规定办理。确需在水土保持方案确定的弃渣场以外新设弃渣场的，或者因弃渣量增加导致弃渣场等级提高的，生产建设单位应当开展弃渣减量化、资源化论证，在弃渣前编制水土保持方案补充报告，并完成弃渣场变更审批手续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工程完工后、项目投产使用前应及时组织开展水土保持设施自主验收，并在水土保持设施自主验收通过3个月内，向我局报备验收材料（包括水土保持设施验收鉴定书、水土保持设施验收报告和水土保持监测总结报告等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FFFFFF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（三）本行政许可决定有效期为3年。水土保持方案自批准之日起满3年，生产建设项目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开工建设的，其水土保持方案报我局重新审核。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240" w:lineRule="auto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color w:val="FFFFFF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</w:t>
      </w:r>
      <w:bookmarkStart w:id="5" w:name="_Hlk92963462"/>
      <w:r>
        <w:rPr>
          <w:rFonts w:hint="default" w:ascii="Times New Roman" w:hAnsi="Times New Roman" w:eastAsia="方正仿宋_GBK" w:cs="Times New Roman"/>
          <w:sz w:val="32"/>
          <w:szCs w:val="32"/>
        </w:rPr>
        <w:t>．水土保持方案特性表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240" w:lineRule="auto"/>
        <w:ind w:left="2072" w:leftChars="758" w:hanging="480" w:hangingChars="15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2．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GB"/>
        </w:rPr>
        <w:t>荣昌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GB" w:eastAsia="zh-CN"/>
        </w:rPr>
        <w:t>猪稳产保供基地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水土保持方案报告书专家评审意见</w:t>
      </w:r>
    </w:p>
    <w:bookmarkEnd w:id="5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textAlignment w:val="auto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80" w:firstLineChars="1525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重庆市荣昌区水利局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158" w:firstLineChars="1612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（此件公开发布）</w:t>
      </w:r>
    </w:p>
    <w:p>
      <w:pP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="0" w:line="60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="0" w:line="600" w:lineRule="exac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1</w:t>
      </w:r>
    </w:p>
    <w:p>
      <w:pPr>
        <w:pStyle w:val="10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="0" w:line="600" w:lineRule="exac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beforeLines="0" w:after="260" w:afterLines="80" w:line="72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val="en-US" w:eastAsia="zh-CN"/>
        </w:rPr>
      </w:pPr>
      <w:bookmarkStart w:id="6" w:name="OLE_LINK10"/>
      <w:r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GB"/>
        </w:rPr>
        <w:t>荣昌</w:t>
      </w:r>
      <w:bookmarkEnd w:id="6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GB" w:eastAsia="zh-CN"/>
        </w:rPr>
        <w:t>猪稳产保供基地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GB"/>
        </w:rPr>
        <w:t>水土保持方案特性表</w:t>
      </w:r>
    </w:p>
    <w:tbl>
      <w:tblPr>
        <w:tblStyle w:val="15"/>
        <w:tblW w:w="95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532"/>
        <w:gridCol w:w="467"/>
        <w:gridCol w:w="561"/>
        <w:gridCol w:w="59"/>
        <w:gridCol w:w="764"/>
        <w:gridCol w:w="1323"/>
        <w:gridCol w:w="683"/>
        <w:gridCol w:w="289"/>
        <w:gridCol w:w="15"/>
        <w:gridCol w:w="138"/>
        <w:gridCol w:w="999"/>
        <w:gridCol w:w="199"/>
        <w:gridCol w:w="75"/>
        <w:gridCol w:w="488"/>
        <w:gridCol w:w="132"/>
        <w:gridCol w:w="61"/>
        <w:gridCol w:w="574"/>
        <w:gridCol w:w="201"/>
        <w:gridCol w:w="161"/>
        <w:gridCol w:w="450"/>
        <w:gridCol w:w="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项目名称</w:t>
            </w:r>
          </w:p>
        </w:tc>
        <w:tc>
          <w:tcPr>
            <w:tcW w:w="3857" w:type="dxa"/>
            <w:gridSpan w:val="6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荣昌猪稳产保供基地</w:t>
            </w:r>
          </w:p>
        </w:tc>
        <w:tc>
          <w:tcPr>
            <w:tcW w:w="1715" w:type="dxa"/>
            <w:gridSpan w:val="6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流域管理机构</w:t>
            </w:r>
          </w:p>
        </w:tc>
        <w:tc>
          <w:tcPr>
            <w:tcW w:w="2934" w:type="dxa"/>
            <w:gridSpan w:val="8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长江水利委员会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涉及市</w:t>
            </w:r>
          </w:p>
        </w:tc>
        <w:tc>
          <w:tcPr>
            <w:tcW w:w="1028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重庆市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涉及地市或个数</w:t>
            </w:r>
          </w:p>
        </w:tc>
        <w:tc>
          <w:tcPr>
            <w:tcW w:w="442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/</w:t>
            </w:r>
          </w:p>
        </w:tc>
        <w:tc>
          <w:tcPr>
            <w:tcW w:w="1761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涉及区或个数</w:t>
            </w:r>
          </w:p>
        </w:tc>
        <w:tc>
          <w:tcPr>
            <w:tcW w:w="2446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ind w:firstLine="0"/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荣昌区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项目规模</w:t>
            </w:r>
          </w:p>
        </w:tc>
        <w:tc>
          <w:tcPr>
            <w:tcW w:w="4146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bCs/>
                <w:sz w:val="18"/>
                <w:szCs w:val="18"/>
              </w:rPr>
              <w:t>常年存栏基础母猪1200头，年出栏优质商品仔猪8400头，商品肉猪17920头</w:t>
            </w:r>
          </w:p>
        </w:tc>
        <w:tc>
          <w:tcPr>
            <w:tcW w:w="1152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总投资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（万元）</w:t>
            </w:r>
          </w:p>
        </w:tc>
        <w:tc>
          <w:tcPr>
            <w:tcW w:w="894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16161.29</w:t>
            </w:r>
          </w:p>
        </w:tc>
        <w:tc>
          <w:tcPr>
            <w:tcW w:w="997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土建投资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（万元）</w:t>
            </w:r>
          </w:p>
        </w:tc>
        <w:tc>
          <w:tcPr>
            <w:tcW w:w="1317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14318.90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065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动工时间</w:t>
            </w:r>
          </w:p>
        </w:tc>
        <w:tc>
          <w:tcPr>
            <w:tcW w:w="1028" w:type="dxa"/>
            <w:gridSpan w:val="2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2024年3月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完工时间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2025年12月</w:t>
            </w:r>
          </w:p>
        </w:tc>
        <w:tc>
          <w:tcPr>
            <w:tcW w:w="1579" w:type="dxa"/>
            <w:gridSpan w:val="6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设计水平年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32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工程占地（hm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eastAsia="仿宋_GB2312"/>
                <w:sz w:val="18"/>
                <w:szCs w:val="18"/>
              </w:rPr>
              <w:t>）</w:t>
            </w:r>
          </w:p>
        </w:tc>
        <w:tc>
          <w:tcPr>
            <w:tcW w:w="561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8.37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永久占地（hm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eastAsia="仿宋_GB2312"/>
                <w:sz w:val="18"/>
                <w:szCs w:val="18"/>
              </w:rPr>
              <w:t>）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0.00</w:t>
            </w:r>
          </w:p>
        </w:tc>
        <w:tc>
          <w:tcPr>
            <w:tcW w:w="1579" w:type="dxa"/>
            <w:gridSpan w:val="6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临时占地（hm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eastAsia="仿宋_GB2312"/>
                <w:sz w:val="18"/>
                <w:szCs w:val="18"/>
              </w:rPr>
              <w:t>）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8.37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vMerge w:val="restart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土石方量（万m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3</w:t>
            </w:r>
            <w:r>
              <w:rPr>
                <w:rFonts w:eastAsia="仿宋_GB2312"/>
                <w:sz w:val="18"/>
                <w:szCs w:val="18"/>
              </w:rPr>
              <w:t>）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挖方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填方</w:t>
            </w:r>
          </w:p>
        </w:tc>
        <w:tc>
          <w:tcPr>
            <w:tcW w:w="968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借方</w:t>
            </w:r>
          </w:p>
        </w:tc>
        <w:tc>
          <w:tcPr>
            <w:tcW w:w="1478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余方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vMerge w:val="continue"/>
            <w:noWrap w:val="0"/>
            <w:vAlign w:val="center"/>
          </w:tcPr>
          <w:p>
            <w:pPr>
              <w:ind w:firstLine="360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15.66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15.66</w:t>
            </w:r>
          </w:p>
        </w:tc>
        <w:tc>
          <w:tcPr>
            <w:tcW w:w="968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0</w:t>
            </w:r>
          </w:p>
        </w:tc>
        <w:tc>
          <w:tcPr>
            <w:tcW w:w="1478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重点防治区名称</w:t>
            </w:r>
          </w:p>
        </w:tc>
        <w:tc>
          <w:tcPr>
            <w:tcW w:w="7478" w:type="dxa"/>
            <w:gridSpan w:val="18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荣昌区罗家桥水库重点治理区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地貌类型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构造侵蚀丘陵地貌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水土保持区划</w:t>
            </w:r>
          </w:p>
        </w:tc>
        <w:tc>
          <w:tcPr>
            <w:tcW w:w="2446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西南紫色土区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土壤侵蚀类型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水力侵蚀</w:t>
            </w:r>
          </w:p>
        </w:tc>
        <w:tc>
          <w:tcPr>
            <w:tcW w:w="2203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土壤侵蚀强度</w:t>
            </w:r>
          </w:p>
        </w:tc>
        <w:tc>
          <w:tcPr>
            <w:tcW w:w="2446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轻度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防治责任范围面积（hm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eastAsia="仿宋_GB2312"/>
                <w:sz w:val="18"/>
                <w:szCs w:val="18"/>
              </w:rPr>
              <w:t>）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8.37</w:t>
            </w:r>
          </w:p>
        </w:tc>
        <w:tc>
          <w:tcPr>
            <w:tcW w:w="3782" w:type="dxa"/>
            <w:gridSpan w:val="1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容许土壤流失量[t/(km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eastAsia="仿宋_GB2312"/>
                <w:sz w:val="18"/>
                <w:szCs w:val="18"/>
              </w:rPr>
              <w:t>·a)]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土壤流失预测总</w:t>
            </w:r>
            <w:r>
              <w:rPr>
                <w:rFonts w:eastAsia="仿宋_GB2312"/>
                <w:spacing w:val="-20"/>
                <w:sz w:val="18"/>
                <w:szCs w:val="18"/>
              </w:rPr>
              <w:t>量（t）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847</w:t>
            </w:r>
          </w:p>
        </w:tc>
        <w:tc>
          <w:tcPr>
            <w:tcW w:w="3782" w:type="dxa"/>
            <w:gridSpan w:val="1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新增土壤流失量（t）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水土流失防治标准执行等级</w:t>
            </w:r>
          </w:p>
        </w:tc>
        <w:tc>
          <w:tcPr>
            <w:tcW w:w="7478" w:type="dxa"/>
            <w:gridSpan w:val="18"/>
            <w:noWrap w:val="0"/>
            <w:vAlign w:val="center"/>
          </w:tcPr>
          <w:p>
            <w:pPr>
              <w:ind w:firstLine="360"/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西南紫色土区建设类项目一级标准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vMerge w:val="restart"/>
            <w:noWrap w:val="0"/>
            <w:vAlign w:val="center"/>
          </w:tcPr>
          <w:p>
            <w:pPr>
              <w:spacing w:line="240" w:lineRule="atLeast"/>
              <w:ind w:firstLine="540" w:firstLineChars="300"/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防治指标</w:t>
            </w:r>
          </w:p>
        </w:tc>
        <w:tc>
          <w:tcPr>
            <w:tcW w:w="2146" w:type="dxa"/>
            <w:gridSpan w:val="3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水土流失治理度(%)</w:t>
            </w:r>
          </w:p>
        </w:tc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97</w:t>
            </w:r>
          </w:p>
        </w:tc>
        <w:tc>
          <w:tcPr>
            <w:tcW w:w="3782" w:type="dxa"/>
            <w:gridSpan w:val="1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土壤流失控制比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vMerge w:val="continue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2146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渣土防护率(%)</w:t>
            </w:r>
          </w:p>
        </w:tc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92</w:t>
            </w:r>
          </w:p>
        </w:tc>
        <w:tc>
          <w:tcPr>
            <w:tcW w:w="3782" w:type="dxa"/>
            <w:gridSpan w:val="1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表土保护率（%）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9</w:t>
            </w:r>
            <w:r>
              <w:rPr>
                <w:rFonts w:eastAsia="仿宋_GB2312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vMerge w:val="continue"/>
            <w:noWrap w:val="0"/>
            <w:vAlign w:val="center"/>
          </w:tcPr>
          <w:p>
            <w:pPr>
              <w:spacing w:line="240" w:lineRule="atLeast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2146" w:type="dxa"/>
            <w:gridSpan w:val="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林草植被恢复率(%)</w:t>
            </w:r>
          </w:p>
        </w:tc>
        <w:tc>
          <w:tcPr>
            <w:tcW w:w="683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97</w:t>
            </w:r>
          </w:p>
        </w:tc>
        <w:tc>
          <w:tcPr>
            <w:tcW w:w="3782" w:type="dxa"/>
            <w:gridSpan w:val="13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林草覆盖率（%）</w:t>
            </w:r>
          </w:p>
        </w:tc>
        <w:tc>
          <w:tcPr>
            <w:tcW w:w="867" w:type="dxa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3" w:type="dxa"/>
            <w:vMerge w:val="restart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防治措施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及工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程量</w:t>
            </w:r>
          </w:p>
        </w:tc>
        <w:tc>
          <w:tcPr>
            <w:tcW w:w="161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防治分区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工程措施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植物措施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临时措施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3" w:type="dxa"/>
            <w:vMerge w:val="continue"/>
            <w:noWrap w:val="0"/>
            <w:vAlign w:val="center"/>
          </w:tcPr>
          <w:p>
            <w:pPr>
              <w:ind w:firstLine="360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161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主体工程防治区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主体设计：土地整治</w:t>
            </w:r>
            <w:r>
              <w:rPr>
                <w:rFonts w:eastAsia="仿宋_GB2312"/>
                <w:sz w:val="18"/>
                <w:szCs w:val="18"/>
              </w:rPr>
              <w:t>1.34</w:t>
            </w:r>
            <w:r>
              <w:rPr>
                <w:rFonts w:hint="eastAsia" w:eastAsia="仿宋_GB2312"/>
                <w:sz w:val="18"/>
                <w:szCs w:val="18"/>
              </w:rPr>
              <w:t>hm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eastAsia="仿宋_GB2312"/>
                <w:sz w:val="18"/>
                <w:szCs w:val="18"/>
              </w:rPr>
              <w:t>，排水沟</w:t>
            </w:r>
            <w:r>
              <w:rPr>
                <w:rFonts w:eastAsia="仿宋_GB2312"/>
                <w:sz w:val="18"/>
                <w:szCs w:val="18"/>
              </w:rPr>
              <w:t>370</w:t>
            </w:r>
            <w:r>
              <w:rPr>
                <w:rFonts w:hint="eastAsia" w:eastAsia="仿宋_GB2312"/>
                <w:sz w:val="18"/>
                <w:szCs w:val="18"/>
              </w:rPr>
              <w:t>m（已实施3</w:t>
            </w:r>
            <w:r>
              <w:rPr>
                <w:rFonts w:eastAsia="仿宋_GB2312"/>
                <w:sz w:val="18"/>
                <w:szCs w:val="18"/>
              </w:rPr>
              <w:t>70m</w:t>
            </w:r>
            <w:r>
              <w:rPr>
                <w:rFonts w:hint="eastAsia" w:eastAsia="仿宋_GB2312"/>
                <w:sz w:val="18"/>
                <w:szCs w:val="18"/>
              </w:rPr>
              <w:t>）；方案新增：表土剥离0</w:t>
            </w:r>
            <w:r>
              <w:rPr>
                <w:rFonts w:eastAsia="仿宋_GB2312"/>
                <w:sz w:val="18"/>
                <w:szCs w:val="18"/>
              </w:rPr>
              <w:t>.08</w:t>
            </w:r>
            <w:r>
              <w:rPr>
                <w:rFonts w:hint="eastAsia" w:eastAsia="仿宋_GB2312"/>
                <w:sz w:val="18"/>
                <w:szCs w:val="18"/>
              </w:rPr>
              <w:t>万m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3</w:t>
            </w:r>
            <w:r>
              <w:rPr>
                <w:rFonts w:hint="eastAsia" w:eastAsia="仿宋_GB2312"/>
                <w:sz w:val="18"/>
                <w:szCs w:val="18"/>
              </w:rPr>
              <w:t>，表土回填0</w:t>
            </w:r>
            <w:r>
              <w:rPr>
                <w:rFonts w:eastAsia="仿宋_GB2312"/>
                <w:sz w:val="18"/>
                <w:szCs w:val="18"/>
              </w:rPr>
              <w:t>.08</w:t>
            </w:r>
            <w:r>
              <w:rPr>
                <w:rFonts w:hint="eastAsia" w:eastAsia="仿宋_GB2312"/>
                <w:sz w:val="18"/>
                <w:szCs w:val="18"/>
              </w:rPr>
              <w:t>万m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主体设计：</w:t>
            </w:r>
            <w:r>
              <w:rPr>
                <w:rFonts w:hint="eastAsia" w:eastAsia="仿宋_GB2312"/>
                <w:sz w:val="18"/>
                <w:szCs w:val="18"/>
              </w:rPr>
              <w:t>景观绿化1</w:t>
            </w:r>
            <w:r>
              <w:rPr>
                <w:rFonts w:eastAsia="仿宋_GB2312"/>
                <w:sz w:val="18"/>
                <w:szCs w:val="18"/>
              </w:rPr>
              <w:t>.27hm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eastAsia="仿宋_GB2312"/>
                <w:sz w:val="18"/>
                <w:szCs w:val="18"/>
              </w:rPr>
              <w:t>，喷播植草</w:t>
            </w:r>
            <w:r>
              <w:rPr>
                <w:rFonts w:eastAsia="仿宋_GB2312"/>
                <w:sz w:val="18"/>
                <w:szCs w:val="18"/>
              </w:rPr>
              <w:t>0.06</w:t>
            </w:r>
            <w:r>
              <w:rPr>
                <w:rFonts w:hint="eastAsia" w:eastAsia="仿宋_GB2312"/>
                <w:sz w:val="18"/>
                <w:szCs w:val="18"/>
              </w:rPr>
              <w:t>hm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eastAsia="仿宋_GB2312"/>
                <w:sz w:val="18"/>
                <w:szCs w:val="18"/>
              </w:rPr>
              <w:t>；方案新增：撒播草籽1</w:t>
            </w:r>
            <w:r>
              <w:rPr>
                <w:rFonts w:eastAsia="仿宋_GB2312"/>
                <w:sz w:val="18"/>
                <w:szCs w:val="18"/>
              </w:rPr>
              <w:t>.00hm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eastAsia="仿宋_GB2312"/>
                <w:sz w:val="18"/>
                <w:szCs w:val="18"/>
              </w:rPr>
              <w:t>，种植爬山虎1</w:t>
            </w:r>
            <w:r>
              <w:rPr>
                <w:rFonts w:eastAsia="仿宋_GB2312"/>
                <w:sz w:val="18"/>
                <w:szCs w:val="18"/>
              </w:rPr>
              <w:t>70</w:t>
            </w:r>
            <w:r>
              <w:rPr>
                <w:rFonts w:hint="eastAsia" w:eastAsia="仿宋_GB2312"/>
                <w:sz w:val="18"/>
                <w:szCs w:val="18"/>
              </w:rPr>
              <w:t>株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  <w:vertAlign w:val="superscript"/>
              </w:rPr>
            </w:pPr>
            <w:r>
              <w:rPr>
                <w:rFonts w:eastAsia="仿宋_GB2312"/>
                <w:sz w:val="18"/>
                <w:szCs w:val="18"/>
              </w:rPr>
              <w:t>方案新增：编织土袋116m</w:t>
            </w:r>
            <w:r>
              <w:rPr>
                <w:rFonts w:hint="eastAsia" w:eastAsia="仿宋_GB2312"/>
                <w:sz w:val="18"/>
                <w:szCs w:val="18"/>
              </w:rPr>
              <w:t>，临时排水沟</w:t>
            </w:r>
            <w:r>
              <w:rPr>
                <w:rFonts w:eastAsia="仿宋_GB2312"/>
                <w:sz w:val="18"/>
                <w:szCs w:val="18"/>
              </w:rPr>
              <w:t>1039</w:t>
            </w:r>
            <w:r>
              <w:rPr>
                <w:rFonts w:hint="eastAsia" w:eastAsia="仿宋_GB2312"/>
                <w:sz w:val="18"/>
                <w:szCs w:val="18"/>
              </w:rPr>
              <w:t>m，临时排水沟</w:t>
            </w:r>
            <w:r>
              <w:rPr>
                <w:rFonts w:eastAsia="仿宋_GB2312"/>
                <w:sz w:val="18"/>
                <w:szCs w:val="18"/>
              </w:rPr>
              <w:t>4</w:t>
            </w:r>
            <w:r>
              <w:rPr>
                <w:rFonts w:hint="eastAsia" w:eastAsia="仿宋_GB2312"/>
                <w:sz w:val="18"/>
                <w:szCs w:val="18"/>
              </w:rPr>
              <w:t>座，</w:t>
            </w:r>
            <w:r>
              <w:rPr>
                <w:rFonts w:eastAsia="仿宋_GB2312"/>
                <w:sz w:val="18"/>
                <w:szCs w:val="18"/>
              </w:rPr>
              <w:t>防雨布覆盖5000m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3" w:type="dxa"/>
            <w:vMerge w:val="continue"/>
            <w:noWrap w:val="0"/>
            <w:vAlign w:val="center"/>
          </w:tcPr>
          <w:p>
            <w:pPr>
              <w:ind w:firstLine="360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161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复垦工程防治区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pStyle w:val="14"/>
              <w:spacing w:after="0"/>
              <w:ind w:firstLine="0" w:firstLineChars="0"/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主体设计：土地复耕</w:t>
            </w:r>
            <w:r>
              <w:rPr>
                <w:rFonts w:eastAsia="仿宋_GB2312"/>
                <w:sz w:val="18"/>
                <w:szCs w:val="18"/>
              </w:rPr>
              <w:t>0.65</w:t>
            </w:r>
            <w:r>
              <w:rPr>
                <w:rFonts w:hint="eastAsia" w:eastAsia="仿宋_GB2312"/>
                <w:sz w:val="18"/>
                <w:szCs w:val="18"/>
              </w:rPr>
              <w:t>hm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pStyle w:val="42"/>
              <w:spacing w:line="240" w:lineRule="auto"/>
              <w:jc w:val="center"/>
              <w:rPr>
                <w:rFonts w:hint="eastAsia" w:ascii="Times New Roman" w:eastAsia="仿宋_GB2312"/>
                <w:sz w:val="18"/>
                <w:szCs w:val="18"/>
              </w:rPr>
            </w:pPr>
            <w:r>
              <w:rPr>
                <w:rFonts w:hint="eastAsia" w:ascii="Times New Roman" w:eastAsia="仿宋_GB2312"/>
                <w:sz w:val="18"/>
                <w:szCs w:val="18"/>
              </w:rPr>
              <w:t>/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方案新增：</w:t>
            </w:r>
            <w:r>
              <w:rPr>
                <w:rFonts w:hint="eastAsia" w:eastAsia="仿宋_GB2312"/>
                <w:sz w:val="18"/>
                <w:szCs w:val="18"/>
              </w:rPr>
              <w:t>临时排水沟</w:t>
            </w:r>
            <w:r>
              <w:rPr>
                <w:rFonts w:eastAsia="仿宋_GB2312"/>
                <w:sz w:val="18"/>
                <w:szCs w:val="18"/>
              </w:rPr>
              <w:t>405</w:t>
            </w:r>
            <w:r>
              <w:rPr>
                <w:rFonts w:hint="eastAsia" w:eastAsia="仿宋_GB2312"/>
                <w:sz w:val="18"/>
                <w:szCs w:val="18"/>
              </w:rPr>
              <w:t>m，临时沉沙池1座，</w:t>
            </w:r>
            <w:r>
              <w:rPr>
                <w:rFonts w:eastAsia="仿宋_GB2312"/>
                <w:sz w:val="18"/>
                <w:szCs w:val="18"/>
              </w:rPr>
              <w:t>防雨布覆盖2000m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33" w:type="dxa"/>
            <w:vMerge w:val="continue"/>
            <w:noWrap w:val="0"/>
            <w:vAlign w:val="center"/>
          </w:tcPr>
          <w:p>
            <w:pPr>
              <w:ind w:firstLine="360"/>
              <w:jc w:val="center"/>
              <w:rPr>
                <w:rFonts w:eastAsia="仿宋_GB2312"/>
                <w:sz w:val="18"/>
                <w:szCs w:val="18"/>
              </w:rPr>
            </w:pPr>
          </w:p>
        </w:tc>
        <w:tc>
          <w:tcPr>
            <w:tcW w:w="161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施工便道防治区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主体设计：</w:t>
            </w:r>
            <w:r>
              <w:rPr>
                <w:rFonts w:hint="eastAsia" w:eastAsia="仿宋_GB2312"/>
                <w:sz w:val="18"/>
                <w:szCs w:val="18"/>
              </w:rPr>
              <w:t>土地复耕</w:t>
            </w:r>
            <w:r>
              <w:rPr>
                <w:rFonts w:eastAsia="仿宋_GB2312"/>
                <w:sz w:val="18"/>
                <w:szCs w:val="18"/>
              </w:rPr>
              <w:t>0.10</w:t>
            </w:r>
            <w:r>
              <w:rPr>
                <w:rFonts w:hint="eastAsia" w:eastAsia="仿宋_GB2312"/>
                <w:sz w:val="18"/>
                <w:szCs w:val="18"/>
              </w:rPr>
              <w:t>hm</w:t>
            </w:r>
            <w:r>
              <w:rPr>
                <w:rFonts w:hint="eastAsia" w:eastAsia="仿宋_GB2312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/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方案新增：防雨布覆盖</w:t>
            </w:r>
            <w:r>
              <w:rPr>
                <w:rFonts w:hint="eastAsia" w:eastAsia="仿宋_GB2312"/>
                <w:sz w:val="18"/>
                <w:szCs w:val="18"/>
              </w:rPr>
              <w:t>8</w:t>
            </w:r>
            <w:r>
              <w:rPr>
                <w:rFonts w:eastAsia="仿宋_GB2312"/>
                <w:sz w:val="18"/>
                <w:szCs w:val="18"/>
              </w:rPr>
              <w:t>00m</w:t>
            </w:r>
            <w:r>
              <w:rPr>
                <w:rFonts w:eastAsia="仿宋_GB231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eastAsia="仿宋_GB2312"/>
                <w:sz w:val="18"/>
                <w:szCs w:val="18"/>
              </w:rPr>
              <w:t>，临时排水沟7</w:t>
            </w:r>
            <w:r>
              <w:rPr>
                <w:rFonts w:eastAsia="仿宋_GB2312"/>
                <w:sz w:val="18"/>
                <w:szCs w:val="18"/>
              </w:rPr>
              <w:t>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52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投资（万元）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主体已列：5.40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方案新增：1.68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主体已列：12.28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方案新增：0.40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主体已列：0</w:t>
            </w:r>
          </w:p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方案新增：</w:t>
            </w:r>
            <w:r>
              <w:rPr>
                <w:rFonts w:eastAsia="仿宋_GB2312"/>
                <w:kern w:val="0"/>
                <w:sz w:val="18"/>
                <w:szCs w:val="18"/>
                <w:lang w:bidi="ar"/>
              </w:rPr>
              <w:t>8.76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52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水土保持总投资（万元）</w:t>
            </w:r>
          </w:p>
        </w:tc>
        <w:tc>
          <w:tcPr>
            <w:tcW w:w="3074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kern w:val="0"/>
                <w:sz w:val="18"/>
                <w:szCs w:val="18"/>
                <w:lang w:bidi="ar"/>
              </w:rPr>
              <w:t>72.64</w:t>
            </w:r>
            <w:r>
              <w:rPr>
                <w:rFonts w:eastAsia="仿宋_GB2312"/>
                <w:sz w:val="18"/>
                <w:szCs w:val="18"/>
              </w:rPr>
              <w:t>（方案新增</w:t>
            </w:r>
            <w:r>
              <w:rPr>
                <w:rFonts w:hint="eastAsia" w:eastAsia="仿宋_GB2312"/>
                <w:sz w:val="18"/>
                <w:szCs w:val="18"/>
              </w:rPr>
              <w:t>5</w:t>
            </w:r>
            <w:r>
              <w:rPr>
                <w:rFonts w:eastAsia="仿宋_GB2312"/>
                <w:sz w:val="18"/>
                <w:szCs w:val="18"/>
              </w:rPr>
              <w:t>4.96）</w:t>
            </w:r>
          </w:p>
        </w:tc>
        <w:tc>
          <w:tcPr>
            <w:tcW w:w="2092" w:type="dxa"/>
            <w:gridSpan w:val="7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独立费用（万元)</w:t>
            </w:r>
          </w:p>
        </w:tc>
        <w:tc>
          <w:tcPr>
            <w:tcW w:w="22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20.49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152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基本预备费</w:t>
            </w:r>
            <w:r>
              <w:rPr>
                <w:rFonts w:eastAsia="仿宋_GB2312"/>
                <w:sz w:val="18"/>
                <w:szCs w:val="18"/>
              </w:rPr>
              <w:t>（万元）</w:t>
            </w:r>
          </w:p>
        </w:tc>
        <w:tc>
          <w:tcPr>
            <w:tcW w:w="764" w:type="dxa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2.45</w:t>
            </w:r>
          </w:p>
        </w:tc>
        <w:tc>
          <w:tcPr>
            <w:tcW w:w="2310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监测费（万元）</w:t>
            </w:r>
          </w:p>
        </w:tc>
        <w:tc>
          <w:tcPr>
            <w:tcW w:w="113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9.47</w:t>
            </w:r>
          </w:p>
        </w:tc>
        <w:tc>
          <w:tcPr>
            <w:tcW w:w="1529" w:type="dxa"/>
            <w:gridSpan w:val="6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补偿费（万元）</w:t>
            </w:r>
          </w:p>
        </w:tc>
        <w:tc>
          <w:tcPr>
            <w:tcW w:w="167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11.71268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方案编制单位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重庆达源工程设计有限公司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建设单位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重庆荣昌农牧科技集团有限公司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法定代表人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吴胜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法定代表人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晏礼旗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地址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pacing w:val="-6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重庆市正阳工业园区园区路白家河标准化厂房A栋4楼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地址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重庆市荣昌区昌州街道灵方大道22号1号楼2-10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邮编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/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邮编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402460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联系人及电话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彭超</w:t>
            </w:r>
            <w:r>
              <w:rPr>
                <w:rFonts w:eastAsia="仿宋_GB2312"/>
                <w:sz w:val="18"/>
                <w:szCs w:val="18"/>
              </w:rPr>
              <w:t>/ 18182228551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联系人及电话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陈然</w:t>
            </w:r>
            <w:r>
              <w:rPr>
                <w:rFonts w:eastAsia="仿宋_GB2312"/>
                <w:sz w:val="18"/>
                <w:szCs w:val="18"/>
              </w:rPr>
              <w:t>/ 15213671633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传真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/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传真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电子信箱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646756035@qq.com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电子信箱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093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企业信用代码</w:t>
            </w:r>
          </w:p>
        </w:tc>
        <w:tc>
          <w:tcPr>
            <w:tcW w:w="2829" w:type="dxa"/>
            <w:gridSpan w:val="4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91500114MA5YWEDU8F</w:t>
            </w:r>
          </w:p>
        </w:tc>
        <w:tc>
          <w:tcPr>
            <w:tcW w:w="1640" w:type="dxa"/>
            <w:gridSpan w:val="5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hint="eastAsia" w:eastAsia="仿宋_GB2312"/>
                <w:sz w:val="18"/>
                <w:szCs w:val="18"/>
              </w:rPr>
              <w:t>企业信用代码</w:t>
            </w:r>
          </w:p>
        </w:tc>
        <w:tc>
          <w:tcPr>
            <w:tcW w:w="3009" w:type="dxa"/>
            <w:gridSpan w:val="9"/>
            <w:noWrap w:val="0"/>
            <w:vAlign w:val="center"/>
          </w:tcPr>
          <w:p>
            <w:pPr>
              <w:jc w:val="center"/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/>
                <w:sz w:val="18"/>
                <w:szCs w:val="18"/>
              </w:rPr>
              <w:t>915002260661650439</w:t>
            </w:r>
          </w:p>
        </w:tc>
      </w:tr>
    </w:tbl>
    <w:p>
      <w:pPr>
        <w:pStyle w:val="14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br w:type="page"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r>
        <w:drawing>
          <wp:inline distT="0" distB="0" distL="114300" distR="114300">
            <wp:extent cx="5467350" cy="7572375"/>
            <wp:effectExtent l="0" t="0" r="0" b="9525"/>
            <wp:docPr id="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614670" cy="8066405"/>
            <wp:effectExtent l="0" t="0" r="5080" b="10795"/>
            <wp:docPr id="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2765" cy="7870825"/>
            <wp:effectExtent l="0" t="0" r="6985" b="15875"/>
            <wp:docPr id="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591175" cy="7791450"/>
            <wp:effectExtent l="0" t="0" r="9525" b="0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drawing>
          <wp:inline distT="0" distB="0" distL="114300" distR="114300">
            <wp:extent cx="5613400" cy="7659370"/>
            <wp:effectExtent l="0" t="0" r="6350" b="17780"/>
            <wp:docPr id="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2130" cy="8277860"/>
            <wp:effectExtent l="0" t="0" r="7620" b="8890"/>
            <wp:docPr id="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>
      <w:footerReference r:id="rId5" w:type="first"/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titlePg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504020202030204"/>
    <w:charset w:val="00"/>
    <w:family w:val="swiss"/>
    <w:pitch w:val="default"/>
    <w:sig w:usb0="00000000" w:usb1="00000000" w:usb2="00000000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  <w:rPr>
        <w:rFonts w:hint="default" w:eastAsia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8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hpgkvTAAAABQEAAA8AAAAAAAAAAQAgAAAAIgAAAGRycy9k&#10;b3ducmV2LnhtbFBLAQIUABQAAAAIAIdO4kDj0nAwzgEAAH0DAAAOAAAAAAAAAAEAIAAAACIBAABk&#10;cnMvZTJvRG9jLnhtbFBLBQYAAAAABgAGAFkBAABi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rPr>
        <w:rFonts w:hint="default" w:eastAsia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210"/>
  <w:drawingGridVerticalSpacing w:val="161"/>
  <w:displayHorizontalDrawingGridEvery w:val="1"/>
  <w:displayVerticalDrawingGridEvery w:val="2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793"/>
    <w:rsid w:val="00125167"/>
    <w:rsid w:val="0013642B"/>
    <w:rsid w:val="00192863"/>
    <w:rsid w:val="001F1FDF"/>
    <w:rsid w:val="001F6A2A"/>
    <w:rsid w:val="00206DF8"/>
    <w:rsid w:val="003C1EAF"/>
    <w:rsid w:val="003C7BE9"/>
    <w:rsid w:val="00425E7B"/>
    <w:rsid w:val="0043575A"/>
    <w:rsid w:val="00465C8E"/>
    <w:rsid w:val="004870E2"/>
    <w:rsid w:val="00507A0A"/>
    <w:rsid w:val="00531137"/>
    <w:rsid w:val="00560F8F"/>
    <w:rsid w:val="005731FD"/>
    <w:rsid w:val="005F59C2"/>
    <w:rsid w:val="00615EB8"/>
    <w:rsid w:val="006660D1"/>
    <w:rsid w:val="006860CA"/>
    <w:rsid w:val="006A31F6"/>
    <w:rsid w:val="006B652A"/>
    <w:rsid w:val="00720B17"/>
    <w:rsid w:val="007439CD"/>
    <w:rsid w:val="00747ACA"/>
    <w:rsid w:val="00771B03"/>
    <w:rsid w:val="00785BCA"/>
    <w:rsid w:val="0079257B"/>
    <w:rsid w:val="007A6A50"/>
    <w:rsid w:val="007B6C92"/>
    <w:rsid w:val="009005D6"/>
    <w:rsid w:val="00930F9F"/>
    <w:rsid w:val="00950225"/>
    <w:rsid w:val="009869F8"/>
    <w:rsid w:val="00A10766"/>
    <w:rsid w:val="00A40689"/>
    <w:rsid w:val="00A8061C"/>
    <w:rsid w:val="00BD20CD"/>
    <w:rsid w:val="00C73744"/>
    <w:rsid w:val="00C74606"/>
    <w:rsid w:val="00D26199"/>
    <w:rsid w:val="00D97E5D"/>
    <w:rsid w:val="00E55874"/>
    <w:rsid w:val="00EF3E8C"/>
    <w:rsid w:val="00F66039"/>
    <w:rsid w:val="00FE1684"/>
    <w:rsid w:val="00FF3BFA"/>
    <w:rsid w:val="01050BBA"/>
    <w:rsid w:val="015974C0"/>
    <w:rsid w:val="016030C3"/>
    <w:rsid w:val="01726817"/>
    <w:rsid w:val="017D631C"/>
    <w:rsid w:val="01931C3E"/>
    <w:rsid w:val="01B1018A"/>
    <w:rsid w:val="01FA452F"/>
    <w:rsid w:val="020A47E2"/>
    <w:rsid w:val="020B1CD2"/>
    <w:rsid w:val="02175FB3"/>
    <w:rsid w:val="021B6E3F"/>
    <w:rsid w:val="022A56B1"/>
    <w:rsid w:val="024F7D9B"/>
    <w:rsid w:val="02751185"/>
    <w:rsid w:val="028E0A41"/>
    <w:rsid w:val="02AD5BC1"/>
    <w:rsid w:val="02EC0689"/>
    <w:rsid w:val="031C0DC8"/>
    <w:rsid w:val="032A2ABD"/>
    <w:rsid w:val="036F7A44"/>
    <w:rsid w:val="03B562A5"/>
    <w:rsid w:val="03BA01AE"/>
    <w:rsid w:val="03E84B26"/>
    <w:rsid w:val="0447465F"/>
    <w:rsid w:val="04477A12"/>
    <w:rsid w:val="047F0110"/>
    <w:rsid w:val="049C465C"/>
    <w:rsid w:val="04ED3A23"/>
    <w:rsid w:val="04F3493D"/>
    <w:rsid w:val="04F53660"/>
    <w:rsid w:val="04FE38D1"/>
    <w:rsid w:val="0508204E"/>
    <w:rsid w:val="05543DCC"/>
    <w:rsid w:val="05D05BA3"/>
    <w:rsid w:val="05F302AB"/>
    <w:rsid w:val="061533C9"/>
    <w:rsid w:val="061978E9"/>
    <w:rsid w:val="06254DA5"/>
    <w:rsid w:val="06297316"/>
    <w:rsid w:val="062B51F3"/>
    <w:rsid w:val="06356A24"/>
    <w:rsid w:val="06412650"/>
    <w:rsid w:val="064F0924"/>
    <w:rsid w:val="067D5433"/>
    <w:rsid w:val="068A3260"/>
    <w:rsid w:val="06F8189C"/>
    <w:rsid w:val="06F84D7D"/>
    <w:rsid w:val="06F90600"/>
    <w:rsid w:val="07246C9E"/>
    <w:rsid w:val="07402F73"/>
    <w:rsid w:val="07794DDC"/>
    <w:rsid w:val="07857631"/>
    <w:rsid w:val="07A73C1C"/>
    <w:rsid w:val="07F05315"/>
    <w:rsid w:val="07FA739D"/>
    <w:rsid w:val="07FD6DF7"/>
    <w:rsid w:val="0809672C"/>
    <w:rsid w:val="08211367"/>
    <w:rsid w:val="0834033F"/>
    <w:rsid w:val="084F6F27"/>
    <w:rsid w:val="08707035"/>
    <w:rsid w:val="088B798D"/>
    <w:rsid w:val="08BC24CD"/>
    <w:rsid w:val="092376BD"/>
    <w:rsid w:val="093C402F"/>
    <w:rsid w:val="09562BF8"/>
    <w:rsid w:val="099877D9"/>
    <w:rsid w:val="09D80621"/>
    <w:rsid w:val="09F356BD"/>
    <w:rsid w:val="09FE2289"/>
    <w:rsid w:val="0A0437A8"/>
    <w:rsid w:val="0A110812"/>
    <w:rsid w:val="0A1B7CD8"/>
    <w:rsid w:val="0A2F40DF"/>
    <w:rsid w:val="0A8E4A52"/>
    <w:rsid w:val="0AD5793B"/>
    <w:rsid w:val="0AD61B30"/>
    <w:rsid w:val="0AD80598"/>
    <w:rsid w:val="0B3A6F45"/>
    <w:rsid w:val="0B447EFC"/>
    <w:rsid w:val="0B54661F"/>
    <w:rsid w:val="0B5D2913"/>
    <w:rsid w:val="0B976D8E"/>
    <w:rsid w:val="0C552FCB"/>
    <w:rsid w:val="0C6772FC"/>
    <w:rsid w:val="0CDC2F09"/>
    <w:rsid w:val="0CDF4236"/>
    <w:rsid w:val="0D0116EE"/>
    <w:rsid w:val="0D08483C"/>
    <w:rsid w:val="0D2E65B9"/>
    <w:rsid w:val="0D5B4A77"/>
    <w:rsid w:val="0D643188"/>
    <w:rsid w:val="0D8C2AD3"/>
    <w:rsid w:val="0DC65A2B"/>
    <w:rsid w:val="0E1032A1"/>
    <w:rsid w:val="0E3C0D3E"/>
    <w:rsid w:val="0E814859"/>
    <w:rsid w:val="0EA914F9"/>
    <w:rsid w:val="0EAC7321"/>
    <w:rsid w:val="0EBA2410"/>
    <w:rsid w:val="0EDD002C"/>
    <w:rsid w:val="0EE24DF9"/>
    <w:rsid w:val="0FAF4879"/>
    <w:rsid w:val="0FDD14E9"/>
    <w:rsid w:val="0FDE7EE2"/>
    <w:rsid w:val="0FE6570D"/>
    <w:rsid w:val="0FEE4213"/>
    <w:rsid w:val="10346FCF"/>
    <w:rsid w:val="10957C11"/>
    <w:rsid w:val="10A4084A"/>
    <w:rsid w:val="10CE5E8F"/>
    <w:rsid w:val="10D81D38"/>
    <w:rsid w:val="11142965"/>
    <w:rsid w:val="11200625"/>
    <w:rsid w:val="112B47BC"/>
    <w:rsid w:val="113450C7"/>
    <w:rsid w:val="115A12B4"/>
    <w:rsid w:val="118C3500"/>
    <w:rsid w:val="11B61D44"/>
    <w:rsid w:val="11E85D57"/>
    <w:rsid w:val="11EF5F62"/>
    <w:rsid w:val="120D2F86"/>
    <w:rsid w:val="121656BA"/>
    <w:rsid w:val="126D43FD"/>
    <w:rsid w:val="12860983"/>
    <w:rsid w:val="12B60446"/>
    <w:rsid w:val="130F36D3"/>
    <w:rsid w:val="13111365"/>
    <w:rsid w:val="134D0507"/>
    <w:rsid w:val="13522785"/>
    <w:rsid w:val="14353991"/>
    <w:rsid w:val="144B2E69"/>
    <w:rsid w:val="14550167"/>
    <w:rsid w:val="14623D1D"/>
    <w:rsid w:val="149A2D26"/>
    <w:rsid w:val="14B82AC2"/>
    <w:rsid w:val="1582409F"/>
    <w:rsid w:val="15982DCE"/>
    <w:rsid w:val="15B2104C"/>
    <w:rsid w:val="15BC4236"/>
    <w:rsid w:val="15C12C11"/>
    <w:rsid w:val="15DC5BBE"/>
    <w:rsid w:val="16047292"/>
    <w:rsid w:val="160938C3"/>
    <w:rsid w:val="16427D13"/>
    <w:rsid w:val="1671421E"/>
    <w:rsid w:val="16803F32"/>
    <w:rsid w:val="16A56FD1"/>
    <w:rsid w:val="1713756D"/>
    <w:rsid w:val="174F3E4D"/>
    <w:rsid w:val="1761695C"/>
    <w:rsid w:val="177C290D"/>
    <w:rsid w:val="17EA14C0"/>
    <w:rsid w:val="17FA3E81"/>
    <w:rsid w:val="181B2E1C"/>
    <w:rsid w:val="182B6996"/>
    <w:rsid w:val="1851035F"/>
    <w:rsid w:val="189221B3"/>
    <w:rsid w:val="18AB63FB"/>
    <w:rsid w:val="18B31505"/>
    <w:rsid w:val="18FB2FB0"/>
    <w:rsid w:val="190B5CFA"/>
    <w:rsid w:val="194B2F32"/>
    <w:rsid w:val="195B19B9"/>
    <w:rsid w:val="198932F6"/>
    <w:rsid w:val="198C27F7"/>
    <w:rsid w:val="19A23F00"/>
    <w:rsid w:val="19FE022E"/>
    <w:rsid w:val="1A114DB3"/>
    <w:rsid w:val="1A417A9E"/>
    <w:rsid w:val="1A481855"/>
    <w:rsid w:val="1AB81211"/>
    <w:rsid w:val="1AE719E6"/>
    <w:rsid w:val="1AF13313"/>
    <w:rsid w:val="1B1C6B16"/>
    <w:rsid w:val="1B31628F"/>
    <w:rsid w:val="1B6A7EDF"/>
    <w:rsid w:val="1B6B5C9C"/>
    <w:rsid w:val="1B7C9B45"/>
    <w:rsid w:val="1C4775D5"/>
    <w:rsid w:val="1CA006B3"/>
    <w:rsid w:val="1CA36D1D"/>
    <w:rsid w:val="1CEA0A5D"/>
    <w:rsid w:val="1CEB7029"/>
    <w:rsid w:val="1D1578C6"/>
    <w:rsid w:val="1D4C7300"/>
    <w:rsid w:val="1DD65F60"/>
    <w:rsid w:val="1ECE5D98"/>
    <w:rsid w:val="1EEE40CF"/>
    <w:rsid w:val="1EFF41D1"/>
    <w:rsid w:val="1F027470"/>
    <w:rsid w:val="1F0771F7"/>
    <w:rsid w:val="1F0B7BF4"/>
    <w:rsid w:val="1F475178"/>
    <w:rsid w:val="1F8934B7"/>
    <w:rsid w:val="1F9B76AE"/>
    <w:rsid w:val="1FBE49E5"/>
    <w:rsid w:val="1FDD62A8"/>
    <w:rsid w:val="1FE24962"/>
    <w:rsid w:val="20134A15"/>
    <w:rsid w:val="20415E2C"/>
    <w:rsid w:val="2049286D"/>
    <w:rsid w:val="205A088D"/>
    <w:rsid w:val="206A425E"/>
    <w:rsid w:val="206B21F3"/>
    <w:rsid w:val="207B498E"/>
    <w:rsid w:val="20861639"/>
    <w:rsid w:val="208A58CF"/>
    <w:rsid w:val="208C5AF3"/>
    <w:rsid w:val="20B34CDE"/>
    <w:rsid w:val="20C22570"/>
    <w:rsid w:val="21075D05"/>
    <w:rsid w:val="211D68E2"/>
    <w:rsid w:val="21521F59"/>
    <w:rsid w:val="21CE07B5"/>
    <w:rsid w:val="226A528A"/>
    <w:rsid w:val="22734C95"/>
    <w:rsid w:val="22743D02"/>
    <w:rsid w:val="227B6B42"/>
    <w:rsid w:val="22AC4D1C"/>
    <w:rsid w:val="230E33F3"/>
    <w:rsid w:val="23104780"/>
    <w:rsid w:val="23116C84"/>
    <w:rsid w:val="23264D00"/>
    <w:rsid w:val="23343A8F"/>
    <w:rsid w:val="23464B31"/>
    <w:rsid w:val="237B1C44"/>
    <w:rsid w:val="23813EE5"/>
    <w:rsid w:val="239B3369"/>
    <w:rsid w:val="23B9752B"/>
    <w:rsid w:val="23C4680E"/>
    <w:rsid w:val="241E6913"/>
    <w:rsid w:val="243C6508"/>
    <w:rsid w:val="24666B55"/>
    <w:rsid w:val="24B22C39"/>
    <w:rsid w:val="24D41A48"/>
    <w:rsid w:val="255130C2"/>
    <w:rsid w:val="25B25FF8"/>
    <w:rsid w:val="25C15C72"/>
    <w:rsid w:val="25D65845"/>
    <w:rsid w:val="25E33882"/>
    <w:rsid w:val="25F35B50"/>
    <w:rsid w:val="260728AB"/>
    <w:rsid w:val="26260D1B"/>
    <w:rsid w:val="26543820"/>
    <w:rsid w:val="26650930"/>
    <w:rsid w:val="267C149F"/>
    <w:rsid w:val="26A539FD"/>
    <w:rsid w:val="26B17391"/>
    <w:rsid w:val="26D364C3"/>
    <w:rsid w:val="26EB3B6A"/>
    <w:rsid w:val="273930FB"/>
    <w:rsid w:val="27544493"/>
    <w:rsid w:val="275C5122"/>
    <w:rsid w:val="27736757"/>
    <w:rsid w:val="27BD7AE2"/>
    <w:rsid w:val="27E50D24"/>
    <w:rsid w:val="280746CD"/>
    <w:rsid w:val="282A0C88"/>
    <w:rsid w:val="28481EA5"/>
    <w:rsid w:val="28CF3907"/>
    <w:rsid w:val="28D07074"/>
    <w:rsid w:val="28D96086"/>
    <w:rsid w:val="290B4DEA"/>
    <w:rsid w:val="295D22E9"/>
    <w:rsid w:val="29646099"/>
    <w:rsid w:val="299707EE"/>
    <w:rsid w:val="29996B45"/>
    <w:rsid w:val="29CF6816"/>
    <w:rsid w:val="29D3320B"/>
    <w:rsid w:val="29D44258"/>
    <w:rsid w:val="2A0A5D8F"/>
    <w:rsid w:val="2A5F3B83"/>
    <w:rsid w:val="2A6331A5"/>
    <w:rsid w:val="2A7B7189"/>
    <w:rsid w:val="2A893FD5"/>
    <w:rsid w:val="2A99252E"/>
    <w:rsid w:val="2ABB2386"/>
    <w:rsid w:val="2AE33042"/>
    <w:rsid w:val="2AF22BE0"/>
    <w:rsid w:val="2B494413"/>
    <w:rsid w:val="2BAB6ECD"/>
    <w:rsid w:val="2BC273AA"/>
    <w:rsid w:val="2BFD2C94"/>
    <w:rsid w:val="2C4665EE"/>
    <w:rsid w:val="2C4A4895"/>
    <w:rsid w:val="2C9E1FA1"/>
    <w:rsid w:val="2CA50E4D"/>
    <w:rsid w:val="2CA6571C"/>
    <w:rsid w:val="2D252160"/>
    <w:rsid w:val="2D3A4195"/>
    <w:rsid w:val="2D4C3CDE"/>
    <w:rsid w:val="2D6F6CBF"/>
    <w:rsid w:val="2D897464"/>
    <w:rsid w:val="2DD91AC6"/>
    <w:rsid w:val="2DF14466"/>
    <w:rsid w:val="2E1A4691"/>
    <w:rsid w:val="2E201880"/>
    <w:rsid w:val="2E296A4A"/>
    <w:rsid w:val="2E371B64"/>
    <w:rsid w:val="2E471A07"/>
    <w:rsid w:val="2E680B86"/>
    <w:rsid w:val="2E7338CF"/>
    <w:rsid w:val="2E955E1F"/>
    <w:rsid w:val="2E9D1EEA"/>
    <w:rsid w:val="2EE00777"/>
    <w:rsid w:val="2F5716BB"/>
    <w:rsid w:val="2F6EE46D"/>
    <w:rsid w:val="2F745341"/>
    <w:rsid w:val="2FAA57AC"/>
    <w:rsid w:val="2FCD7FE2"/>
    <w:rsid w:val="2FD1643E"/>
    <w:rsid w:val="2FDE422D"/>
    <w:rsid w:val="303A3EAC"/>
    <w:rsid w:val="305A1B2B"/>
    <w:rsid w:val="30947B8A"/>
    <w:rsid w:val="30AB3713"/>
    <w:rsid w:val="30B96D81"/>
    <w:rsid w:val="30CB7696"/>
    <w:rsid w:val="31350C4C"/>
    <w:rsid w:val="316F26CD"/>
    <w:rsid w:val="317B2A01"/>
    <w:rsid w:val="31974F30"/>
    <w:rsid w:val="324E12A6"/>
    <w:rsid w:val="325830AB"/>
    <w:rsid w:val="32686C9F"/>
    <w:rsid w:val="329972D1"/>
    <w:rsid w:val="332E7EBB"/>
    <w:rsid w:val="334129FB"/>
    <w:rsid w:val="33496BBD"/>
    <w:rsid w:val="335608C6"/>
    <w:rsid w:val="33713174"/>
    <w:rsid w:val="3393468B"/>
    <w:rsid w:val="33965530"/>
    <w:rsid w:val="33CA4725"/>
    <w:rsid w:val="34022063"/>
    <w:rsid w:val="34091AC8"/>
    <w:rsid w:val="3416416D"/>
    <w:rsid w:val="343637B7"/>
    <w:rsid w:val="343A1F0F"/>
    <w:rsid w:val="34D800FF"/>
    <w:rsid w:val="34F44E6F"/>
    <w:rsid w:val="350C4D8A"/>
    <w:rsid w:val="3522139B"/>
    <w:rsid w:val="35330334"/>
    <w:rsid w:val="355D36DF"/>
    <w:rsid w:val="35DF6DB8"/>
    <w:rsid w:val="364A2F59"/>
    <w:rsid w:val="366E2CE0"/>
    <w:rsid w:val="367D6EF4"/>
    <w:rsid w:val="36B21FB7"/>
    <w:rsid w:val="36B85FBC"/>
    <w:rsid w:val="36C957A6"/>
    <w:rsid w:val="36DA3A0A"/>
    <w:rsid w:val="36F8164E"/>
    <w:rsid w:val="36FD32CC"/>
    <w:rsid w:val="37372AEC"/>
    <w:rsid w:val="37403744"/>
    <w:rsid w:val="375168D4"/>
    <w:rsid w:val="375F291F"/>
    <w:rsid w:val="377848DF"/>
    <w:rsid w:val="37A17F73"/>
    <w:rsid w:val="37D529A9"/>
    <w:rsid w:val="380A2E23"/>
    <w:rsid w:val="380B63EA"/>
    <w:rsid w:val="38111F8A"/>
    <w:rsid w:val="38186E90"/>
    <w:rsid w:val="386D73F9"/>
    <w:rsid w:val="38A01F74"/>
    <w:rsid w:val="38A16F34"/>
    <w:rsid w:val="38D336D5"/>
    <w:rsid w:val="38D76F5B"/>
    <w:rsid w:val="38F56F49"/>
    <w:rsid w:val="3927163A"/>
    <w:rsid w:val="392D2B1B"/>
    <w:rsid w:val="394E246B"/>
    <w:rsid w:val="399C2315"/>
    <w:rsid w:val="39B573BE"/>
    <w:rsid w:val="39B6763B"/>
    <w:rsid w:val="39C53ADC"/>
    <w:rsid w:val="39DE6029"/>
    <w:rsid w:val="3A2A53FC"/>
    <w:rsid w:val="3A314D86"/>
    <w:rsid w:val="3A975F1E"/>
    <w:rsid w:val="3ACF7538"/>
    <w:rsid w:val="3B441BF9"/>
    <w:rsid w:val="3B96A7AA"/>
    <w:rsid w:val="3BC82C9D"/>
    <w:rsid w:val="3BE810DF"/>
    <w:rsid w:val="3BF71D88"/>
    <w:rsid w:val="3BFF76F6"/>
    <w:rsid w:val="3C284141"/>
    <w:rsid w:val="3C2A782D"/>
    <w:rsid w:val="3C86279C"/>
    <w:rsid w:val="3CE04B19"/>
    <w:rsid w:val="3CF60541"/>
    <w:rsid w:val="3CFF0705"/>
    <w:rsid w:val="3D4079F3"/>
    <w:rsid w:val="3D484BDD"/>
    <w:rsid w:val="3D98761F"/>
    <w:rsid w:val="3DAE273F"/>
    <w:rsid w:val="3DAF31CE"/>
    <w:rsid w:val="3DB21C7C"/>
    <w:rsid w:val="3DDE420D"/>
    <w:rsid w:val="3DF9AAD9"/>
    <w:rsid w:val="3DFD13F0"/>
    <w:rsid w:val="3E0735F1"/>
    <w:rsid w:val="3E183853"/>
    <w:rsid w:val="3E1C72D0"/>
    <w:rsid w:val="3E484D41"/>
    <w:rsid w:val="3E6A344B"/>
    <w:rsid w:val="3E7D7E0D"/>
    <w:rsid w:val="3EAF29BA"/>
    <w:rsid w:val="3EC95405"/>
    <w:rsid w:val="3EDF2406"/>
    <w:rsid w:val="3F0E1401"/>
    <w:rsid w:val="3F417C77"/>
    <w:rsid w:val="3F5F7C90"/>
    <w:rsid w:val="3F6F184D"/>
    <w:rsid w:val="3F76839D"/>
    <w:rsid w:val="3F7BF243"/>
    <w:rsid w:val="3FAC5A63"/>
    <w:rsid w:val="3FB466AE"/>
    <w:rsid w:val="3FBD93F9"/>
    <w:rsid w:val="3FE40DF9"/>
    <w:rsid w:val="3FF5312B"/>
    <w:rsid w:val="3FF86C89"/>
    <w:rsid w:val="3FFF8102"/>
    <w:rsid w:val="3FFFA00F"/>
    <w:rsid w:val="40080A88"/>
    <w:rsid w:val="403646E7"/>
    <w:rsid w:val="40410BF2"/>
    <w:rsid w:val="404943F1"/>
    <w:rsid w:val="40854381"/>
    <w:rsid w:val="40C5587F"/>
    <w:rsid w:val="41074175"/>
    <w:rsid w:val="411B28FF"/>
    <w:rsid w:val="41351087"/>
    <w:rsid w:val="4143122B"/>
    <w:rsid w:val="41D237DA"/>
    <w:rsid w:val="41E4537A"/>
    <w:rsid w:val="41FC3492"/>
    <w:rsid w:val="420B5908"/>
    <w:rsid w:val="42260B4E"/>
    <w:rsid w:val="42271614"/>
    <w:rsid w:val="42475BC0"/>
    <w:rsid w:val="42780119"/>
    <w:rsid w:val="42B23223"/>
    <w:rsid w:val="42B27404"/>
    <w:rsid w:val="42C13BD8"/>
    <w:rsid w:val="42F3500A"/>
    <w:rsid w:val="43883D41"/>
    <w:rsid w:val="4393553A"/>
    <w:rsid w:val="43A522CE"/>
    <w:rsid w:val="43AA4C63"/>
    <w:rsid w:val="43C01B40"/>
    <w:rsid w:val="44106D1A"/>
    <w:rsid w:val="442B1DE9"/>
    <w:rsid w:val="443C66A2"/>
    <w:rsid w:val="446F15F6"/>
    <w:rsid w:val="4471188C"/>
    <w:rsid w:val="449B0018"/>
    <w:rsid w:val="44A450E1"/>
    <w:rsid w:val="44AC1D9A"/>
    <w:rsid w:val="44E5044C"/>
    <w:rsid w:val="44FF33EB"/>
    <w:rsid w:val="4503780B"/>
    <w:rsid w:val="45163B74"/>
    <w:rsid w:val="45F3276F"/>
    <w:rsid w:val="45FC0CF7"/>
    <w:rsid w:val="46003C35"/>
    <w:rsid w:val="4627649C"/>
    <w:rsid w:val="462F67FC"/>
    <w:rsid w:val="464E4544"/>
    <w:rsid w:val="46614566"/>
    <w:rsid w:val="466A7166"/>
    <w:rsid w:val="46C175E7"/>
    <w:rsid w:val="470D1EAB"/>
    <w:rsid w:val="4716123C"/>
    <w:rsid w:val="47581037"/>
    <w:rsid w:val="47635F37"/>
    <w:rsid w:val="47652830"/>
    <w:rsid w:val="479F32F0"/>
    <w:rsid w:val="47F61255"/>
    <w:rsid w:val="484400D1"/>
    <w:rsid w:val="484C3424"/>
    <w:rsid w:val="485920AB"/>
    <w:rsid w:val="4866566A"/>
    <w:rsid w:val="48AA52E2"/>
    <w:rsid w:val="48B4188A"/>
    <w:rsid w:val="48FF3A76"/>
    <w:rsid w:val="49000053"/>
    <w:rsid w:val="492B74A4"/>
    <w:rsid w:val="494D0152"/>
    <w:rsid w:val="494E5BED"/>
    <w:rsid w:val="49827327"/>
    <w:rsid w:val="49A068D7"/>
    <w:rsid w:val="49A1056D"/>
    <w:rsid w:val="49D37A50"/>
    <w:rsid w:val="49DD4031"/>
    <w:rsid w:val="49EA33DA"/>
    <w:rsid w:val="49EA763F"/>
    <w:rsid w:val="4A2645B2"/>
    <w:rsid w:val="4A2E7440"/>
    <w:rsid w:val="4A366E42"/>
    <w:rsid w:val="4A463A7E"/>
    <w:rsid w:val="4AA17056"/>
    <w:rsid w:val="4AF41787"/>
    <w:rsid w:val="4B3E507F"/>
    <w:rsid w:val="4C0A180C"/>
    <w:rsid w:val="4C2535CE"/>
    <w:rsid w:val="4C2A6FBA"/>
    <w:rsid w:val="4C840BCC"/>
    <w:rsid w:val="4C871285"/>
    <w:rsid w:val="4C8D3FC5"/>
    <w:rsid w:val="4C9A660B"/>
    <w:rsid w:val="4CA01546"/>
    <w:rsid w:val="4CC86B06"/>
    <w:rsid w:val="4D5E3807"/>
    <w:rsid w:val="4D984403"/>
    <w:rsid w:val="4DED2335"/>
    <w:rsid w:val="4DFF6877"/>
    <w:rsid w:val="4E162FB5"/>
    <w:rsid w:val="4E764940"/>
    <w:rsid w:val="4E8D76B7"/>
    <w:rsid w:val="4E8F44F1"/>
    <w:rsid w:val="4EB53369"/>
    <w:rsid w:val="4EB75CE0"/>
    <w:rsid w:val="4EC40A2A"/>
    <w:rsid w:val="4F0422E0"/>
    <w:rsid w:val="4F531A4F"/>
    <w:rsid w:val="4F627EE7"/>
    <w:rsid w:val="4F727663"/>
    <w:rsid w:val="4F8C06E1"/>
    <w:rsid w:val="4FB85088"/>
    <w:rsid w:val="4FD56D87"/>
    <w:rsid w:val="4FE57021"/>
    <w:rsid w:val="4FFB3A8A"/>
    <w:rsid w:val="50375BA9"/>
    <w:rsid w:val="50666C7A"/>
    <w:rsid w:val="506B34B5"/>
    <w:rsid w:val="50786558"/>
    <w:rsid w:val="507947E8"/>
    <w:rsid w:val="50AA7A06"/>
    <w:rsid w:val="50F36996"/>
    <w:rsid w:val="51090BB5"/>
    <w:rsid w:val="514B0298"/>
    <w:rsid w:val="51ED4678"/>
    <w:rsid w:val="52092426"/>
    <w:rsid w:val="521B3AA9"/>
    <w:rsid w:val="52212AA1"/>
    <w:rsid w:val="52336E2C"/>
    <w:rsid w:val="52383FF3"/>
    <w:rsid w:val="52652CC6"/>
    <w:rsid w:val="52B87102"/>
    <w:rsid w:val="52D43868"/>
    <w:rsid w:val="53733491"/>
    <w:rsid w:val="53D03D2F"/>
    <w:rsid w:val="53D81CA6"/>
    <w:rsid w:val="53F3083B"/>
    <w:rsid w:val="54183A0C"/>
    <w:rsid w:val="54B56AD7"/>
    <w:rsid w:val="54EB2BE4"/>
    <w:rsid w:val="54FA5DCB"/>
    <w:rsid w:val="550E04D1"/>
    <w:rsid w:val="5523071D"/>
    <w:rsid w:val="553C65BE"/>
    <w:rsid w:val="553E660A"/>
    <w:rsid w:val="55591A7E"/>
    <w:rsid w:val="55C2140D"/>
    <w:rsid w:val="55E22217"/>
    <w:rsid w:val="55EA3E67"/>
    <w:rsid w:val="5616550C"/>
    <w:rsid w:val="566343DC"/>
    <w:rsid w:val="567394F1"/>
    <w:rsid w:val="567EE708"/>
    <w:rsid w:val="56854903"/>
    <w:rsid w:val="568B4416"/>
    <w:rsid w:val="56B00B8D"/>
    <w:rsid w:val="56C675EA"/>
    <w:rsid w:val="56EB1DA8"/>
    <w:rsid w:val="5729748F"/>
    <w:rsid w:val="572B080B"/>
    <w:rsid w:val="5749682A"/>
    <w:rsid w:val="576212B2"/>
    <w:rsid w:val="577D5E6B"/>
    <w:rsid w:val="578B523B"/>
    <w:rsid w:val="579B0E0D"/>
    <w:rsid w:val="57A0641C"/>
    <w:rsid w:val="57DDA84B"/>
    <w:rsid w:val="57E04882"/>
    <w:rsid w:val="57E532C4"/>
    <w:rsid w:val="580B2309"/>
    <w:rsid w:val="58533C67"/>
    <w:rsid w:val="58585782"/>
    <w:rsid w:val="58670CF0"/>
    <w:rsid w:val="586B0F9F"/>
    <w:rsid w:val="58815E29"/>
    <w:rsid w:val="58D96DA5"/>
    <w:rsid w:val="58DB3739"/>
    <w:rsid w:val="59177978"/>
    <w:rsid w:val="59282EEE"/>
    <w:rsid w:val="593928F1"/>
    <w:rsid w:val="595B0854"/>
    <w:rsid w:val="59755249"/>
    <w:rsid w:val="59A81264"/>
    <w:rsid w:val="59AD137C"/>
    <w:rsid w:val="59DC603E"/>
    <w:rsid w:val="59E00B01"/>
    <w:rsid w:val="59EBFBDD"/>
    <w:rsid w:val="5A542A90"/>
    <w:rsid w:val="5A652A64"/>
    <w:rsid w:val="5A6532CF"/>
    <w:rsid w:val="5AA30DE4"/>
    <w:rsid w:val="5AC25E6B"/>
    <w:rsid w:val="5B28389C"/>
    <w:rsid w:val="5B3B4685"/>
    <w:rsid w:val="5B407EB2"/>
    <w:rsid w:val="5B4A406A"/>
    <w:rsid w:val="5BA416E6"/>
    <w:rsid w:val="5BA913F1"/>
    <w:rsid w:val="5BBF38ED"/>
    <w:rsid w:val="5BE21763"/>
    <w:rsid w:val="5C1C115E"/>
    <w:rsid w:val="5C1D2397"/>
    <w:rsid w:val="5C730ABA"/>
    <w:rsid w:val="5CC1443C"/>
    <w:rsid w:val="5CF01C4F"/>
    <w:rsid w:val="5D1A254C"/>
    <w:rsid w:val="5D4B2BA6"/>
    <w:rsid w:val="5DED4F58"/>
    <w:rsid w:val="5DEF6D65"/>
    <w:rsid w:val="5E1749DC"/>
    <w:rsid w:val="5E35715D"/>
    <w:rsid w:val="5E5FF566"/>
    <w:rsid w:val="5E6164F1"/>
    <w:rsid w:val="5EBD515A"/>
    <w:rsid w:val="5EDFDDD0"/>
    <w:rsid w:val="5F013C4C"/>
    <w:rsid w:val="5F0608C4"/>
    <w:rsid w:val="5F074E9F"/>
    <w:rsid w:val="5F192012"/>
    <w:rsid w:val="5F398D69"/>
    <w:rsid w:val="5F3E8C9E"/>
    <w:rsid w:val="5F8D48C9"/>
    <w:rsid w:val="5FB72019"/>
    <w:rsid w:val="5FBB57DD"/>
    <w:rsid w:val="5FC566AF"/>
    <w:rsid w:val="5FDF26F2"/>
    <w:rsid w:val="5FE46642"/>
    <w:rsid w:val="5FF76AAE"/>
    <w:rsid w:val="5FFFCF80"/>
    <w:rsid w:val="601A2EBA"/>
    <w:rsid w:val="601F0693"/>
    <w:rsid w:val="603850B2"/>
    <w:rsid w:val="607D7E42"/>
    <w:rsid w:val="607E6C35"/>
    <w:rsid w:val="608813D3"/>
    <w:rsid w:val="608A1C1D"/>
    <w:rsid w:val="60B00639"/>
    <w:rsid w:val="60BC3607"/>
    <w:rsid w:val="60CA048F"/>
    <w:rsid w:val="60FC0761"/>
    <w:rsid w:val="611D1A4C"/>
    <w:rsid w:val="61461DEA"/>
    <w:rsid w:val="6169542C"/>
    <w:rsid w:val="61712EDB"/>
    <w:rsid w:val="61870E92"/>
    <w:rsid w:val="61E37726"/>
    <w:rsid w:val="622E40FA"/>
    <w:rsid w:val="624A6990"/>
    <w:rsid w:val="62650862"/>
    <w:rsid w:val="62755FDB"/>
    <w:rsid w:val="62B871D6"/>
    <w:rsid w:val="63331680"/>
    <w:rsid w:val="6358480C"/>
    <w:rsid w:val="63616199"/>
    <w:rsid w:val="63B773F7"/>
    <w:rsid w:val="63BD54EC"/>
    <w:rsid w:val="63C55EBE"/>
    <w:rsid w:val="63F70F2B"/>
    <w:rsid w:val="645D573E"/>
    <w:rsid w:val="64634251"/>
    <w:rsid w:val="648C1D90"/>
    <w:rsid w:val="650773F3"/>
    <w:rsid w:val="651C3E24"/>
    <w:rsid w:val="65330DDA"/>
    <w:rsid w:val="65444172"/>
    <w:rsid w:val="65453DB0"/>
    <w:rsid w:val="654A5CBA"/>
    <w:rsid w:val="654C4079"/>
    <w:rsid w:val="655C0B7A"/>
    <w:rsid w:val="65667B55"/>
    <w:rsid w:val="657213FC"/>
    <w:rsid w:val="659D5AC4"/>
    <w:rsid w:val="65A11084"/>
    <w:rsid w:val="65BC7EFB"/>
    <w:rsid w:val="65BF28D0"/>
    <w:rsid w:val="65CB435F"/>
    <w:rsid w:val="65E85810"/>
    <w:rsid w:val="65F52DD0"/>
    <w:rsid w:val="66277C26"/>
    <w:rsid w:val="663626B1"/>
    <w:rsid w:val="669FFCBE"/>
    <w:rsid w:val="66B35ADA"/>
    <w:rsid w:val="66BA2932"/>
    <w:rsid w:val="66D02916"/>
    <w:rsid w:val="66FF03D5"/>
    <w:rsid w:val="67133B87"/>
    <w:rsid w:val="671C39B6"/>
    <w:rsid w:val="67212F61"/>
    <w:rsid w:val="676E7F3D"/>
    <w:rsid w:val="67754D90"/>
    <w:rsid w:val="679E0379"/>
    <w:rsid w:val="679F1971"/>
    <w:rsid w:val="67E16194"/>
    <w:rsid w:val="67F01206"/>
    <w:rsid w:val="68311231"/>
    <w:rsid w:val="68355AD3"/>
    <w:rsid w:val="687F4DDE"/>
    <w:rsid w:val="68824879"/>
    <w:rsid w:val="688F1590"/>
    <w:rsid w:val="68CA7D9D"/>
    <w:rsid w:val="68D02803"/>
    <w:rsid w:val="691654D9"/>
    <w:rsid w:val="69187F79"/>
    <w:rsid w:val="693D1CA6"/>
    <w:rsid w:val="694552DC"/>
    <w:rsid w:val="694E2B74"/>
    <w:rsid w:val="69A4094C"/>
    <w:rsid w:val="6A0720EC"/>
    <w:rsid w:val="6A0E4E95"/>
    <w:rsid w:val="6A336996"/>
    <w:rsid w:val="6A584189"/>
    <w:rsid w:val="6A766412"/>
    <w:rsid w:val="6A8B7E5B"/>
    <w:rsid w:val="6AB97AD1"/>
    <w:rsid w:val="6ABF84C9"/>
    <w:rsid w:val="6AC27AE8"/>
    <w:rsid w:val="6AE67270"/>
    <w:rsid w:val="6AF4482C"/>
    <w:rsid w:val="6AFE1DBC"/>
    <w:rsid w:val="6B768D55"/>
    <w:rsid w:val="6B7D2DD2"/>
    <w:rsid w:val="6B824FBF"/>
    <w:rsid w:val="6B880FF7"/>
    <w:rsid w:val="6B8922FC"/>
    <w:rsid w:val="6BAE389A"/>
    <w:rsid w:val="6BAF0B71"/>
    <w:rsid w:val="6BBB1626"/>
    <w:rsid w:val="6BD64235"/>
    <w:rsid w:val="6BFB3802"/>
    <w:rsid w:val="6BFF7765"/>
    <w:rsid w:val="6C707D2D"/>
    <w:rsid w:val="6C791DB5"/>
    <w:rsid w:val="6C807E94"/>
    <w:rsid w:val="6CAD3450"/>
    <w:rsid w:val="6CCA1DA6"/>
    <w:rsid w:val="6CE9D5EF"/>
    <w:rsid w:val="6CF65770"/>
    <w:rsid w:val="6D0D2768"/>
    <w:rsid w:val="6D4C2FBC"/>
    <w:rsid w:val="6D8F100A"/>
    <w:rsid w:val="6D901489"/>
    <w:rsid w:val="6D944080"/>
    <w:rsid w:val="6DD462D4"/>
    <w:rsid w:val="6E000787"/>
    <w:rsid w:val="6E033702"/>
    <w:rsid w:val="6E136122"/>
    <w:rsid w:val="6E202B8B"/>
    <w:rsid w:val="6E534B3E"/>
    <w:rsid w:val="6E610242"/>
    <w:rsid w:val="6EB312A2"/>
    <w:rsid w:val="6EE012E3"/>
    <w:rsid w:val="6EEA1A1D"/>
    <w:rsid w:val="6F042F5B"/>
    <w:rsid w:val="6F1005C4"/>
    <w:rsid w:val="6F130B60"/>
    <w:rsid w:val="6F190213"/>
    <w:rsid w:val="6F1F4B0D"/>
    <w:rsid w:val="6F5523AF"/>
    <w:rsid w:val="6F6B6383"/>
    <w:rsid w:val="6F92180A"/>
    <w:rsid w:val="6FAC50F7"/>
    <w:rsid w:val="6FAF781B"/>
    <w:rsid w:val="6FB761FE"/>
    <w:rsid w:val="6FD40970"/>
    <w:rsid w:val="70A95BEB"/>
    <w:rsid w:val="70B12664"/>
    <w:rsid w:val="70B43926"/>
    <w:rsid w:val="70BC57A8"/>
    <w:rsid w:val="70DD1E3C"/>
    <w:rsid w:val="70DD38BD"/>
    <w:rsid w:val="70DF2F53"/>
    <w:rsid w:val="70FFF52D"/>
    <w:rsid w:val="7156194F"/>
    <w:rsid w:val="7163403E"/>
    <w:rsid w:val="717016AA"/>
    <w:rsid w:val="717C1131"/>
    <w:rsid w:val="71877E35"/>
    <w:rsid w:val="71A06199"/>
    <w:rsid w:val="71E80E9A"/>
    <w:rsid w:val="71FE1F10"/>
    <w:rsid w:val="7219088D"/>
    <w:rsid w:val="72490608"/>
    <w:rsid w:val="724A0C0D"/>
    <w:rsid w:val="72826E72"/>
    <w:rsid w:val="72BC6C8E"/>
    <w:rsid w:val="72E178B6"/>
    <w:rsid w:val="72F83F36"/>
    <w:rsid w:val="7301789C"/>
    <w:rsid w:val="730A49CC"/>
    <w:rsid w:val="731D2368"/>
    <w:rsid w:val="73202389"/>
    <w:rsid w:val="734E3393"/>
    <w:rsid w:val="73931837"/>
    <w:rsid w:val="739921B8"/>
    <w:rsid w:val="73C7778D"/>
    <w:rsid w:val="73E3E4B9"/>
    <w:rsid w:val="73EF8851"/>
    <w:rsid w:val="73F47B5B"/>
    <w:rsid w:val="74037DBB"/>
    <w:rsid w:val="741B5BB7"/>
    <w:rsid w:val="74BA1EED"/>
    <w:rsid w:val="74CA4A29"/>
    <w:rsid w:val="74D15DEC"/>
    <w:rsid w:val="74E1077C"/>
    <w:rsid w:val="74E6EF87"/>
    <w:rsid w:val="75025345"/>
    <w:rsid w:val="751C6FDC"/>
    <w:rsid w:val="752C55F8"/>
    <w:rsid w:val="753352D6"/>
    <w:rsid w:val="755E2ACD"/>
    <w:rsid w:val="758375D1"/>
    <w:rsid w:val="75980597"/>
    <w:rsid w:val="75DE78F4"/>
    <w:rsid w:val="76342701"/>
    <w:rsid w:val="76393596"/>
    <w:rsid w:val="763B5B08"/>
    <w:rsid w:val="767072ED"/>
    <w:rsid w:val="769BBCA6"/>
    <w:rsid w:val="76A26D24"/>
    <w:rsid w:val="76B78FBB"/>
    <w:rsid w:val="76E3201A"/>
    <w:rsid w:val="76E74354"/>
    <w:rsid w:val="76F167B0"/>
    <w:rsid w:val="76F44AD0"/>
    <w:rsid w:val="76F70991"/>
    <w:rsid w:val="771A4E4F"/>
    <w:rsid w:val="776B5D95"/>
    <w:rsid w:val="777F002C"/>
    <w:rsid w:val="777F37B4"/>
    <w:rsid w:val="778F5D05"/>
    <w:rsid w:val="77CA0CEF"/>
    <w:rsid w:val="77E11C02"/>
    <w:rsid w:val="77E67D42"/>
    <w:rsid w:val="77E872FF"/>
    <w:rsid w:val="77FC7CE8"/>
    <w:rsid w:val="785BCB37"/>
    <w:rsid w:val="78783BD3"/>
    <w:rsid w:val="787B46DE"/>
    <w:rsid w:val="78DF6E30"/>
    <w:rsid w:val="78E31B5E"/>
    <w:rsid w:val="79652605"/>
    <w:rsid w:val="797F35DD"/>
    <w:rsid w:val="79B742FF"/>
    <w:rsid w:val="79E80231"/>
    <w:rsid w:val="79FF1631"/>
    <w:rsid w:val="7A0B7A1A"/>
    <w:rsid w:val="7A312E32"/>
    <w:rsid w:val="7A5B39F5"/>
    <w:rsid w:val="7A8269D5"/>
    <w:rsid w:val="7A9F6BA2"/>
    <w:rsid w:val="7ABE6EF5"/>
    <w:rsid w:val="7AC93E80"/>
    <w:rsid w:val="7ADB7DC1"/>
    <w:rsid w:val="7AFE33EE"/>
    <w:rsid w:val="7B10294B"/>
    <w:rsid w:val="7B452056"/>
    <w:rsid w:val="7B77DB40"/>
    <w:rsid w:val="7B7B1EF2"/>
    <w:rsid w:val="7B857C2E"/>
    <w:rsid w:val="7B9B5736"/>
    <w:rsid w:val="7BBBA35E"/>
    <w:rsid w:val="7BD3FD46"/>
    <w:rsid w:val="7BE20172"/>
    <w:rsid w:val="7BFE4797"/>
    <w:rsid w:val="7C0E23D7"/>
    <w:rsid w:val="7C20309D"/>
    <w:rsid w:val="7C244A77"/>
    <w:rsid w:val="7C8FEC5C"/>
    <w:rsid w:val="7CBEEEE4"/>
    <w:rsid w:val="7CCA5158"/>
    <w:rsid w:val="7CFB221F"/>
    <w:rsid w:val="7CFE85EC"/>
    <w:rsid w:val="7D0B25B3"/>
    <w:rsid w:val="7D5D4EC8"/>
    <w:rsid w:val="7DE4387E"/>
    <w:rsid w:val="7DEFA3DD"/>
    <w:rsid w:val="7E0C094B"/>
    <w:rsid w:val="7E6D6866"/>
    <w:rsid w:val="7E7F873B"/>
    <w:rsid w:val="7E9B3BF2"/>
    <w:rsid w:val="7EBA77DA"/>
    <w:rsid w:val="7EBF7D63"/>
    <w:rsid w:val="7EC47386"/>
    <w:rsid w:val="7EEC2EC3"/>
    <w:rsid w:val="7EEE3152"/>
    <w:rsid w:val="7EEF13AE"/>
    <w:rsid w:val="7EF5E237"/>
    <w:rsid w:val="7F1D2FEF"/>
    <w:rsid w:val="7F2461B1"/>
    <w:rsid w:val="7F2B5A22"/>
    <w:rsid w:val="7F46622B"/>
    <w:rsid w:val="7F47795F"/>
    <w:rsid w:val="7F5DA9EC"/>
    <w:rsid w:val="7F6276C1"/>
    <w:rsid w:val="7F83DD99"/>
    <w:rsid w:val="7F93BB23"/>
    <w:rsid w:val="7F97337D"/>
    <w:rsid w:val="7FA01C66"/>
    <w:rsid w:val="7FC1391C"/>
    <w:rsid w:val="7FC95A43"/>
    <w:rsid w:val="7FCE30BB"/>
    <w:rsid w:val="7FDB8EE0"/>
    <w:rsid w:val="7FE505A1"/>
    <w:rsid w:val="7FED8D4C"/>
    <w:rsid w:val="7FF43764"/>
    <w:rsid w:val="7FFA561D"/>
    <w:rsid w:val="7FFB7ED0"/>
    <w:rsid w:val="7FFDC3B5"/>
    <w:rsid w:val="7FFE16CF"/>
    <w:rsid w:val="7FFF3A3F"/>
    <w:rsid w:val="7FFF9ED8"/>
    <w:rsid w:val="8BF9322F"/>
    <w:rsid w:val="8EDB0C2A"/>
    <w:rsid w:val="9EB77B36"/>
    <w:rsid w:val="9FFFD439"/>
    <w:rsid w:val="A1FF2F37"/>
    <w:rsid w:val="A3EBD53D"/>
    <w:rsid w:val="A699725E"/>
    <w:rsid w:val="AFDEE46A"/>
    <w:rsid w:val="B3EFD338"/>
    <w:rsid w:val="B6EA8F20"/>
    <w:rsid w:val="B6FB2D91"/>
    <w:rsid w:val="B77F9E2D"/>
    <w:rsid w:val="B7FE2F47"/>
    <w:rsid w:val="B9D9F91A"/>
    <w:rsid w:val="BAFD01AF"/>
    <w:rsid w:val="BDB0B914"/>
    <w:rsid w:val="BDEB109F"/>
    <w:rsid w:val="BEA40087"/>
    <w:rsid w:val="BEAB83F4"/>
    <w:rsid w:val="BEDED3C4"/>
    <w:rsid w:val="BEEE6128"/>
    <w:rsid w:val="BF66C59D"/>
    <w:rsid w:val="BFAC4A91"/>
    <w:rsid w:val="BFDC5829"/>
    <w:rsid w:val="BFEF898F"/>
    <w:rsid w:val="BFFAF7B2"/>
    <w:rsid w:val="CBBF6414"/>
    <w:rsid w:val="CFB5E7BC"/>
    <w:rsid w:val="CFFFD43A"/>
    <w:rsid w:val="D69F2B18"/>
    <w:rsid w:val="D7F62196"/>
    <w:rsid w:val="DBFE3B9F"/>
    <w:rsid w:val="DD9F697C"/>
    <w:rsid w:val="DDF34E87"/>
    <w:rsid w:val="DEF24F3C"/>
    <w:rsid w:val="DF2F60A2"/>
    <w:rsid w:val="DF3D2F7A"/>
    <w:rsid w:val="DFBD002C"/>
    <w:rsid w:val="DFFFE2E1"/>
    <w:rsid w:val="DFFFEAB5"/>
    <w:rsid w:val="E3D7302F"/>
    <w:rsid w:val="E3F5FAF1"/>
    <w:rsid w:val="E5B6D677"/>
    <w:rsid w:val="E79A6816"/>
    <w:rsid w:val="E9A7C55C"/>
    <w:rsid w:val="EA9708C2"/>
    <w:rsid w:val="EAD98538"/>
    <w:rsid w:val="EB7D8EE5"/>
    <w:rsid w:val="EBDFABB4"/>
    <w:rsid w:val="EC7AFA1B"/>
    <w:rsid w:val="EDD73CC1"/>
    <w:rsid w:val="EFEE8288"/>
    <w:rsid w:val="EFFDE507"/>
    <w:rsid w:val="F21E92F8"/>
    <w:rsid w:val="F5549FF6"/>
    <w:rsid w:val="F5708719"/>
    <w:rsid w:val="F7D746BE"/>
    <w:rsid w:val="F7ECFCAD"/>
    <w:rsid w:val="F7F32B3A"/>
    <w:rsid w:val="F7F54762"/>
    <w:rsid w:val="F7F715C8"/>
    <w:rsid w:val="F96F4419"/>
    <w:rsid w:val="F9BB1C4B"/>
    <w:rsid w:val="F9BD50DD"/>
    <w:rsid w:val="F9FB9855"/>
    <w:rsid w:val="FBAE2717"/>
    <w:rsid w:val="FBBFAD08"/>
    <w:rsid w:val="FBD33B23"/>
    <w:rsid w:val="FCE74A38"/>
    <w:rsid w:val="FCF5539C"/>
    <w:rsid w:val="FD1A7C42"/>
    <w:rsid w:val="FDBBBB4E"/>
    <w:rsid w:val="FDBFDC08"/>
    <w:rsid w:val="FEBDF7C0"/>
    <w:rsid w:val="FEDB14AC"/>
    <w:rsid w:val="FEDCFBDA"/>
    <w:rsid w:val="FEEFD082"/>
    <w:rsid w:val="FEFFE43B"/>
    <w:rsid w:val="FF1F750C"/>
    <w:rsid w:val="FF5922B3"/>
    <w:rsid w:val="FF69CA15"/>
    <w:rsid w:val="FF7E6A76"/>
    <w:rsid w:val="FF7F608F"/>
    <w:rsid w:val="FF7FCFE2"/>
    <w:rsid w:val="FF7FE809"/>
    <w:rsid w:val="FF9FEE15"/>
    <w:rsid w:val="FFDEC7B3"/>
    <w:rsid w:val="FFE6C5B7"/>
    <w:rsid w:val="FFEECAE7"/>
    <w:rsid w:val="FFF1695C"/>
    <w:rsid w:val="FFF390CB"/>
    <w:rsid w:val="FFF779A8"/>
    <w:rsid w:val="FFFD69C9"/>
    <w:rsid w:val="FFFF09EF"/>
    <w:rsid w:val="FFFF57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99" w:semiHidden="0" w:name="heading 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99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qFormat="1" w:uiPriority="99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99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99"/>
    <w:pPr>
      <w:keepNext/>
      <w:keepLines/>
      <w:spacing w:before="340" w:beforeLines="0" w:after="330" w:afterLines="0" w:line="576" w:lineRule="auto"/>
      <w:outlineLvl w:val="0"/>
    </w:pPr>
    <w:rPr>
      <w:rFonts w:hint="eastAsia"/>
      <w:b/>
      <w:kern w:val="44"/>
      <w:sz w:val="44"/>
    </w:rPr>
  </w:style>
  <w:style w:type="paragraph" w:styleId="4">
    <w:name w:val="heading 2"/>
    <w:next w:val="1"/>
    <w:qFormat/>
    <w:locked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17">
    <w:name w:val="Default Paragraph Font"/>
    <w:unhideWhenUsed/>
    <w:qFormat/>
    <w:uiPriority w:val="99"/>
    <w:rPr>
      <w:rFonts w:hint="default"/>
    </w:rPr>
  </w:style>
  <w:style w:type="table" w:default="1" w:styleId="15">
    <w:name w:val="Normal Table"/>
    <w:unhideWhenUsed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beforeLines="0" w:afterLines="0"/>
    </w:pPr>
    <w:rPr>
      <w:rFonts w:hint="eastAsia"/>
      <w:sz w:val="21"/>
    </w:rPr>
  </w:style>
  <w:style w:type="paragraph" w:styleId="5">
    <w:name w:val="Normal Indent"/>
    <w:basedOn w:val="1"/>
    <w:next w:val="1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Date"/>
    <w:basedOn w:val="1"/>
    <w:next w:val="1"/>
    <w:unhideWhenUsed/>
    <w:qFormat/>
    <w:uiPriority w:val="99"/>
    <w:pPr>
      <w:spacing w:beforeLines="0" w:afterLines="0"/>
      <w:ind w:left="100" w:leftChars="2500"/>
    </w:pPr>
    <w:rPr>
      <w:rFonts w:hint="eastAsia"/>
      <w:sz w:val="21"/>
    </w:rPr>
  </w:style>
  <w:style w:type="paragraph" w:styleId="7">
    <w:name w:val="Body Text Indent 2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eastAsia"/>
      <w:sz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Lines="0" w:afterLines="0"/>
      <w:jc w:val="center"/>
    </w:pPr>
    <w:rPr>
      <w:rFonts w:hint="eastAsia"/>
      <w:sz w:val="18"/>
    </w:rPr>
  </w:style>
  <w:style w:type="paragraph" w:styleId="10">
    <w:name w:val="Body Text 2"/>
    <w:basedOn w:val="1"/>
    <w:unhideWhenUsed/>
    <w:qFormat/>
    <w:uiPriority w:val="99"/>
    <w:pPr>
      <w:spacing w:beforeLines="0" w:after="120" w:afterLines="0" w:line="480" w:lineRule="auto"/>
    </w:pPr>
    <w:rPr>
      <w:rFonts w:hint="eastAsia"/>
      <w:sz w:val="21"/>
    </w:rPr>
  </w:style>
  <w:style w:type="paragraph" w:styleId="11">
    <w:name w:val="Message Header"/>
    <w:basedOn w:val="1"/>
    <w:next w:val="2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Lines="0" w:afterLines="0"/>
      <w:ind w:left="1080" w:leftChars="500" w:hanging="1080" w:hangingChars="500"/>
    </w:pPr>
    <w:rPr>
      <w:rFonts w:hint="eastAsia" w:ascii="Cambria" w:hAnsi="Cambria"/>
      <w:sz w:val="24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sz w:val="24"/>
    </w:rPr>
  </w:style>
  <w:style w:type="paragraph" w:styleId="13">
    <w:name w:val="Title"/>
    <w:qFormat/>
    <w:locked/>
    <w:uiPriority w:val="10"/>
    <w:pPr>
      <w:spacing w:before="240" w:beforeLines="0" w:after="60" w:afterLines="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14">
    <w:name w:val="Body Text First Indent"/>
    <w:basedOn w:val="2"/>
    <w:next w:val="1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宋体" w:cs="Times New Roman"/>
      <w:kern w:val="2"/>
      <w:sz w:val="28"/>
      <w:szCs w:val="20"/>
      <w:lang w:val="en-US" w:eastAsia="zh-CN" w:bidi="ar-SA"/>
    </w:rPr>
  </w:style>
  <w:style w:type="table" w:styleId="16">
    <w:name w:val="Table Grid"/>
    <w:basedOn w:val="15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8">
    <w:name w:val="page number"/>
    <w:basedOn w:val="17"/>
    <w:unhideWhenUsed/>
    <w:qFormat/>
    <w:uiPriority w:val="99"/>
    <w:rPr>
      <w:rFonts w:hint="default" w:ascii="Times New Roman"/>
    </w:rPr>
  </w:style>
  <w:style w:type="character" w:styleId="19">
    <w:name w:val="Hyperlink"/>
    <w:unhideWhenUsed/>
    <w:qFormat/>
    <w:uiPriority w:val="99"/>
    <w:rPr>
      <w:rFonts w:hint="default" w:ascii="Times New Roman" w:hAnsi="Times New Roman" w:eastAsia="宋体"/>
      <w:color w:val="0000FF"/>
      <w:sz w:val="24"/>
      <w:u w:val="single"/>
    </w:rPr>
  </w:style>
  <w:style w:type="character" w:customStyle="1" w:styleId="20">
    <w:name w:val="页脚 字符"/>
    <w:link w:val="8"/>
    <w:unhideWhenUsed/>
    <w:qFormat/>
    <w:locked/>
    <w:uiPriority w:val="99"/>
    <w:rPr>
      <w:rFonts w:hint="eastAsia" w:ascii="Calibri" w:hAnsi="Calibri" w:eastAsia="宋体"/>
      <w:kern w:val="2"/>
      <w:sz w:val="18"/>
    </w:rPr>
  </w:style>
  <w:style w:type="character" w:customStyle="1" w:styleId="21">
    <w:name w:val="页眉 字符"/>
    <w:link w:val="9"/>
    <w:unhideWhenUsed/>
    <w:qFormat/>
    <w:locked/>
    <w:uiPriority w:val="99"/>
    <w:rPr>
      <w:rFonts w:hint="eastAsia" w:ascii="Calibri" w:hAnsi="Calibri" w:eastAsia="宋体"/>
      <w:kern w:val="2"/>
      <w:sz w:val="18"/>
    </w:rPr>
  </w:style>
  <w:style w:type="character" w:customStyle="1" w:styleId="22">
    <w:name w:val="font21"/>
    <w:unhideWhenUsed/>
    <w:qFormat/>
    <w:uiPriority w:val="99"/>
    <w:rPr>
      <w:rFonts w:hint="eastAsia" w:ascii="宋体" w:hAnsi="宋体" w:eastAsia="宋体"/>
      <w:color w:val="000000"/>
      <w:sz w:val="24"/>
    </w:rPr>
  </w:style>
  <w:style w:type="character" w:customStyle="1" w:styleId="23">
    <w:name w:val="font01"/>
    <w:unhideWhenUsed/>
    <w:qFormat/>
    <w:uiPriority w:val="99"/>
    <w:rPr>
      <w:rFonts w:hint="eastAsia" w:ascii="宋体" w:hAnsi="宋体" w:eastAsia="宋体"/>
      <w:b/>
      <w:color w:val="000000"/>
      <w:sz w:val="24"/>
    </w:rPr>
  </w:style>
  <w:style w:type="character" w:customStyle="1" w:styleId="24">
    <w:name w:val="NormalCharacter"/>
    <w:qFormat/>
    <w:uiPriority w:val="0"/>
    <w:rPr>
      <w:rFonts w:ascii="Calibri" w:hAnsi="Calibri" w:eastAsia="宋体"/>
    </w:rPr>
  </w:style>
  <w:style w:type="paragraph" w:customStyle="1" w:styleId="25">
    <w:name w:val="p0"/>
    <w:basedOn w:val="1"/>
    <w:qFormat/>
    <w:uiPriority w:val="0"/>
    <w:pPr>
      <w:widowControl/>
    </w:pPr>
    <w:rPr>
      <w:rFonts w:cs="宋体"/>
      <w:kern w:val="0"/>
      <w:szCs w:val="21"/>
    </w:rPr>
  </w:style>
  <w:style w:type="paragraph" w:customStyle="1" w:styleId="26">
    <w:name w:val="表格标题序号"/>
    <w:basedOn w:val="1"/>
    <w:qFormat/>
    <w:uiPriority w:val="0"/>
    <w:rPr>
      <w:rFonts w:ascii="Times New Roman" w:hAnsi="Times New Roman"/>
    </w:rPr>
  </w:style>
  <w:style w:type="paragraph" w:customStyle="1" w:styleId="27">
    <w:name w:val="水保正文"/>
    <w:next w:val="1"/>
    <w:qFormat/>
    <w:uiPriority w:val="0"/>
    <w:pPr>
      <w:widowControl w:val="0"/>
      <w:spacing w:line="5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24"/>
      <w:szCs w:val="28"/>
      <w:lang w:val="en-US" w:eastAsia="zh-CN" w:bidi="ar-SA"/>
    </w:rPr>
  </w:style>
  <w:style w:type="paragraph" w:customStyle="1" w:styleId="28">
    <w:name w:val="表格文字"/>
    <w:basedOn w:val="2"/>
    <w:next w:val="1"/>
    <w:qFormat/>
    <w:uiPriority w:val="0"/>
    <w:pPr>
      <w:widowControl/>
      <w:tabs>
        <w:tab w:val="left" w:pos="-24"/>
      </w:tabs>
      <w:spacing w:line="0" w:lineRule="atLeast"/>
      <w:ind w:firstLine="0" w:firstLineChars="0"/>
      <w:jc w:val="center"/>
      <w:textAlignment w:val="baseline"/>
    </w:pPr>
    <w:rPr>
      <w:color w:val="000000"/>
      <w:sz w:val="21"/>
      <w:szCs w:val="20"/>
      <w:u w:val="none" w:color="000000"/>
    </w:rPr>
  </w:style>
  <w:style w:type="paragraph" w:customStyle="1" w:styleId="29">
    <w:name w:val="表格内容"/>
    <w:basedOn w:val="1"/>
    <w:qFormat/>
    <w:uiPriority w:val="0"/>
    <w:pPr>
      <w:adjustRightInd w:val="0"/>
      <w:spacing w:line="400" w:lineRule="exact"/>
      <w:jc w:val="center"/>
      <w:textAlignment w:val="baseline"/>
    </w:pPr>
    <w:rPr>
      <w:rFonts w:ascii="宋体" w:hAnsi="宋体"/>
      <w:color w:val="000000"/>
      <w:sz w:val="18"/>
      <w:szCs w:val="21"/>
    </w:rPr>
  </w:style>
  <w:style w:type="paragraph" w:customStyle="1" w:styleId="30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</w:style>
  <w:style w:type="paragraph" w:customStyle="1" w:styleId="32">
    <w:name w:val="表格标题文字"/>
    <w:basedOn w:val="1"/>
    <w:next w:val="26"/>
    <w:qFormat/>
    <w:uiPriority w:val="0"/>
    <w:pPr>
      <w:ind w:firstLine="0" w:firstLineChars="0"/>
      <w:jc w:val="center"/>
    </w:pPr>
  </w:style>
  <w:style w:type="paragraph" w:customStyle="1" w:styleId="33">
    <w:name w:val="正文 首行缩进:  2 字符"/>
    <w:qFormat/>
    <w:uiPriority w:val="0"/>
    <w:pPr>
      <w:spacing w:line="500" w:lineRule="exact"/>
      <w:ind w:firstLine="560" w:firstLineChars="200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paragraph" w:customStyle="1" w:styleId="34">
    <w:name w:val="样式 表格文字 + 宋体"/>
    <w:basedOn w:val="28"/>
    <w:qFormat/>
    <w:uiPriority w:val="0"/>
    <w:rPr>
      <w:rFonts w:ascii="宋体"/>
    </w:rPr>
  </w:style>
  <w:style w:type="paragraph" w:customStyle="1" w:styleId="35">
    <w:name w:val="正文缩2"/>
    <w:qFormat/>
    <w:uiPriority w:val="0"/>
    <w:pPr>
      <w:spacing w:line="360" w:lineRule="auto"/>
      <w:ind w:firstLine="240" w:firstLineChars="100"/>
    </w:pPr>
    <w:rPr>
      <w:rFonts w:ascii="Times New Roman" w:hAnsi="Times New Roman" w:eastAsia="宋体" w:cs="Times New Roman"/>
      <w:color w:val="FF0000"/>
      <w:sz w:val="24"/>
      <w:szCs w:val="24"/>
      <w:lang w:val="en-US" w:eastAsia="zh-CN" w:bidi="ar-SA"/>
    </w:rPr>
  </w:style>
  <w:style w:type="paragraph" w:customStyle="1" w:styleId="36">
    <w:name w:val="列出段落"/>
    <w:basedOn w:val="1"/>
    <w:qFormat/>
    <w:uiPriority w:val="0"/>
    <w:pPr>
      <w:ind w:firstLine="420" w:firstLineChars="200"/>
    </w:pPr>
    <w:rPr>
      <w:rFonts w:hint="default"/>
      <w:szCs w:val="22"/>
    </w:rPr>
  </w:style>
  <w:style w:type="paragraph" w:customStyle="1" w:styleId="37">
    <w:name w:val="表格文本"/>
    <w:basedOn w:val="1"/>
    <w:next w:val="1"/>
    <w:qFormat/>
    <w:uiPriority w:val="0"/>
    <w:pPr>
      <w:adjustRightInd w:val="0"/>
      <w:snapToGrid w:val="0"/>
      <w:spacing w:line="460" w:lineRule="exact"/>
      <w:ind w:firstLine="200" w:firstLineChars="200"/>
      <w:jc w:val="center"/>
    </w:pPr>
    <w:rPr>
      <w:rFonts w:ascii="Calibri" w:hAnsi="Calibri" w:cs="Times New Roman"/>
      <w:color w:val="000000"/>
      <w:szCs w:val="21"/>
    </w:rPr>
  </w:style>
  <w:style w:type="paragraph" w:customStyle="1" w:styleId="38">
    <w:name w:val="报告书正标题"/>
    <w:basedOn w:val="1"/>
    <w:qFormat/>
    <w:uiPriority w:val="0"/>
    <w:pPr>
      <w:widowControl/>
      <w:tabs>
        <w:tab w:val="left" w:pos="-24"/>
      </w:tabs>
      <w:spacing w:before="120" w:after="120"/>
      <w:jc w:val="center"/>
      <w:textAlignment w:val="baseline"/>
    </w:pPr>
    <w:rPr>
      <w:rFonts w:ascii="黑体" w:hAnsi="宋体" w:eastAsia="黑体"/>
      <w:color w:val="000000"/>
      <w:spacing w:val="120"/>
      <w:kern w:val="0"/>
      <w:sz w:val="72"/>
      <w:szCs w:val="20"/>
      <w:u w:val="none" w:color="000000"/>
    </w:rPr>
  </w:style>
  <w:style w:type="paragraph" w:customStyle="1" w:styleId="39">
    <w:name w:val="p18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40">
    <w:name w:val="Default"/>
    <w:unhideWhenUsed/>
    <w:qFormat/>
    <w:uiPriority w:val="99"/>
    <w:pPr>
      <w:widowControl w:val="0"/>
      <w:autoSpaceDE w:val="0"/>
      <w:autoSpaceDN w:val="0"/>
    </w:pPr>
    <w:rPr>
      <w:rFonts w:hint="eastAsia" w:ascii="仿宋_GB2312" w:hAnsi="Calibri" w:eastAsia="仿宋_GB2312" w:cs="Times New Roman"/>
      <w:color w:val="000000"/>
      <w:sz w:val="24"/>
      <w:lang w:val="en-US" w:eastAsia="zh-CN" w:bidi="ar-SA"/>
    </w:rPr>
  </w:style>
  <w:style w:type="paragraph" w:customStyle="1" w:styleId="41">
    <w:name w:val="表格样式"/>
    <w:basedOn w:val="1"/>
    <w:qFormat/>
    <w:uiPriority w:val="0"/>
    <w:pPr>
      <w:spacing w:line="240" w:lineRule="auto"/>
      <w:ind w:firstLine="0" w:firstLineChars="0"/>
      <w:jc w:val="center"/>
      <w:textAlignment w:val="center"/>
    </w:pPr>
    <w:rPr>
      <w:rFonts w:ascii="Times New Roman" w:hAnsi="Times New Roman" w:eastAsia="仿宋" w:cs="Times New Roman"/>
      <w:sz w:val="21"/>
    </w:rPr>
  </w:style>
  <w:style w:type="paragraph" w:customStyle="1" w:styleId="42">
    <w:name w:val="正文1"/>
    <w:basedOn w:val="1"/>
    <w:qFormat/>
    <w:uiPriority w:val="0"/>
    <w:pPr>
      <w:spacing w:line="460" w:lineRule="atLeast"/>
    </w:pPr>
    <w:rPr>
      <w:rFonts w:ascii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2727</Words>
  <Characters>3196</Characters>
  <Lines>23</Lines>
  <Paragraphs>6</Paragraphs>
  <TotalTime>3</TotalTime>
  <ScaleCrop>false</ScaleCrop>
  <LinksUpToDate>false</LinksUpToDate>
  <CharactersWithSpaces>3234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2021-01-09T08:56:00Z</dcterms:created>
  <dc:creator>管理员</dc:creator>
  <cp:lastModifiedBy>Administrator</cp:lastModifiedBy>
  <cp:lastPrinted>2025-03-25T08:18:00Z</cp:lastPrinted>
  <dcterms:modified xsi:type="dcterms:W3CDTF">2025-08-01T03:07:34Z</dcterms:modified>
  <dc:title>重庆市荣昌区水利局文件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E6EEDF6D5CF342FCA84152324BE4C741</vt:lpwstr>
  </property>
  <property fmtid="{D5CDD505-2E9C-101B-9397-08002B2CF9AE}" pid="4" name="KSOTemplateDocerSaveRecord">
    <vt:lpwstr>eyJoZGlkIjoiNzNiZDc1NWM1MDIxZjk4NDI4YjE0NjEzNjRmYjAxZmEiLCJ1c2VySWQiOiIxMTQyODc3MjA3In0=</vt:lpwstr>
  </property>
</Properties>
</file>