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重庆市荣昌区水利局</w:t>
      </w:r>
      <w:bookmarkStart w:id="0" w:name="OLE_LINK8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关于重庆市荣昌区重点区域森林草原防火道路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720" w:lineRule="atLeas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建设项目水土保持方案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准予许可的决定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区林业局：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你单位提交的《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重庆市荣昌区重点区域森林草原防火道路建设项目水土保持方案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审批申请表（项目代码：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500153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518054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）》和《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重庆市荣昌区重点区域森林草原防火道路建设项目水土保持方案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报告书》收悉。经审查，该申请符合法定条件，根据《中华人民共和国行政许可法》第三十八条第一款、《水行政许可实施办法》第三十二条第一项，决定准予行政许可。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重庆市荣昌区重点区域森林草原防火道路建设项目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位于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荣昌区国有岚峰林场、双河街道、昌州街道、广顺街道、清升镇和荣隆镇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，为新建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、改建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类项目，项目法人为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重庆市荣昌区林业局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工程主要建设内容：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防火道路64条，路线总长度39.14公里，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用四级公路技术标准，设计速度15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k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m/h，路基宽度4.0m，路面宽度3.0m。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（二）本工程总占地面积34.41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hm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，均为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  <w:t>永久占地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本项目土石方开挖量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26.21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</w:rPr>
        <w:t>万m³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填方</w:t>
      </w:r>
      <w:r>
        <w:rPr>
          <w:rFonts w:hint="default" w:ascii="Times New Roman" w:hAnsi="Times New Roman" w:eastAsia="方正仿宋_GBK" w:cs="Times New Roman"/>
          <w:b w:val="0"/>
          <w:color w:val="000000"/>
          <w:sz w:val="32"/>
          <w:szCs w:val="32"/>
          <w:lang w:val="en-US" w:eastAsia="zh-CN"/>
        </w:rPr>
        <w:t>26.21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 w:eastAsia="zh-CN"/>
        </w:rPr>
        <w:t>万m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无借方和弃方产生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本项目建设时间为20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24年5月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2025年4月，</w:t>
      </w:r>
      <w:bookmarkStart w:id="1" w:name="OLE_LINK5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总工期为12个月。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二、水土保持方案总体意见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（一）基本同意建设期水土流失防治责任范围为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34.41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hm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（二）同意水土流失防治执行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西南紫色土区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建设类项目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（三）基本同意水土流失治理度9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%、土壤流失控制比1.0、渣土防护率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%，林草植被恢复率9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%、林草覆盖率2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（四）基本同意水土流失防治分区和分区防治措施安排。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）基本同意水土保持方案实施进度安排。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）基本同意水土保持监测时段、内容和方法。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（七）基本同意方案设计水平年为202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三、水土保持方案投资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工程水土保持总投资为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253.68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万元，其中主体已列水土保持投资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134.14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万元，方案新增水土保持投资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119.54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主体已列投资中：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工程措施费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49.31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万元，植物措施费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84.83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</w:t>
      </w:r>
      <w:bookmarkStart w:id="4" w:name="_GoBack"/>
      <w:bookmarkEnd w:id="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方案新增投资中：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植物措施费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26.69万元，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监测措施费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34.53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万元，独立费用6.10万元，基本预备费4.04万元，水土保持补偿费48.18万元（481775.00元）。</w:t>
      </w:r>
    </w:p>
    <w:p>
      <w:pPr>
        <w:keepNext w:val="0"/>
        <w:keepLines w:val="0"/>
        <w:pageBreakBefore w:val="0"/>
        <w:widowControl w:val="0"/>
        <w:kinsoku/>
        <w:overflowPunct/>
        <w:autoSpaceDE w:val="0"/>
        <w:autoSpaceDN w:val="0"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四、相关法规要求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生产建设单位在项目建设中应全面落实《中华人民共和国水土保持法》《重庆市实施〈中华人民共和国水土保持法〉办法》的各项要求：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（一）在初步设计和施工图设计阶段，根据批复的水土保持方案和有关技术标准，组织开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展水土保持设计，编制水土保持设计篇章，并作为主体工程设计的重要组成部分；在施工阶段，加强施工组织和管理工作，切实落实水土保持“三同时”制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在工程建设过程中，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严格按方案要求落实各项水土保持措施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，保证水土保持措施的质量、实施进度和资金投入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各类施工活动要严格限定在用地范围内，严禁随意占压、扰动和破坏地表植被。做好表土的剥离和弃渣综合利用，建设过程中产生的弃土要及时运至方案确定的专门场地。根据方案要求合理安排施工时序和水土保持措施实施进度，严格控制施工期间可能造成的水土流失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将水土保持工作任务和内容纳入施工合同，落实施工单位水土保持责任。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（三）切实做好水土保持监测工作，加强水土流失动态监控，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在工程建设期间应将水土保持监测季报按规定在网站公开，同时在业主项目部和施工项目部公开，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并按规定向我局提交监测季度及总结报告。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）采购土、石、砂等建筑材料要选择符合规定的料场，明确水土流失防治责任。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）项目开工前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向主管税务机关申报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缴纳水土保持补偿费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（免征项目除外）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（六）按照水土保持监理标准和规范开展水土保持工程施工监理，确保水土保持工程建设质量和进度。</w:t>
      </w:r>
    </w:p>
    <w:bookmarkEnd w:id="2"/>
    <w:p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（一）本项目的地点、规模如发生重大变化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，或者水土保持方案实施过程中水土保持措施发生重大变更的，应按照“水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利部第53号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令”规定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理。确需在水土保持方案确定的弃渣场以外新设弃渣场的，或者因弃渣量增加导致弃渣场等级提高的，生产建设单位应当开展弃渣减量化、资源化论证，在弃渣前编制水土保持方案补充报告，并完成弃渣场变更审批手续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工程完工后、项目投产使用前应及时组织开展水土保持设施自主验收，并在水土保持设施自主验收通过3个月内，向我局报备验收材料（包括水土保持设施验收鉴定书、水土保持设施验收报告和水土保持监测总结报告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FFFF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（三）本行政许可决定有效期为3年。水土保持方案自批准之日起满3年，生产建设项目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开工建设的，其水土保持方案报我局重新审核。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FFFFFF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</w:t>
      </w:r>
      <w:bookmarkStart w:id="3" w:name="_Hlk92963462"/>
      <w:r>
        <w:rPr>
          <w:rFonts w:hint="default" w:ascii="Times New Roman" w:hAnsi="Times New Roman" w:eastAsia="方正仿宋_GBK" w:cs="Times New Roman"/>
          <w:sz w:val="32"/>
          <w:szCs w:val="32"/>
        </w:rPr>
        <w:t>．水土保持方案特性表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240" w:lineRule="auto"/>
        <w:ind w:left="2086" w:leftChars="771" w:hanging="467" w:hangingChars="14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重庆市荣昌区重点区域森林草原防火道路建设项目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水土保持方案报告书专家评审意见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80" w:firstLineChars="1525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重庆市荣昌区水利局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158" w:firstLineChars="1612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GB" w:eastAsia="zh-CN" w:bidi="ar-SA"/>
        </w:rPr>
        <w:t>重庆市荣昌区重点区域森林草原防火道路建设项目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水土保持方案特性表</w:t>
      </w:r>
    </w:p>
    <w:tbl>
      <w:tblPr>
        <w:tblStyle w:val="15"/>
        <w:tblW w:w="89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625"/>
        <w:gridCol w:w="536"/>
        <w:gridCol w:w="296"/>
        <w:gridCol w:w="322"/>
        <w:gridCol w:w="254"/>
        <w:gridCol w:w="44"/>
        <w:gridCol w:w="1446"/>
        <w:gridCol w:w="235"/>
        <w:gridCol w:w="412"/>
        <w:gridCol w:w="385"/>
        <w:gridCol w:w="617"/>
        <w:gridCol w:w="268"/>
        <w:gridCol w:w="7"/>
        <w:gridCol w:w="235"/>
        <w:gridCol w:w="501"/>
        <w:gridCol w:w="462"/>
        <w:gridCol w:w="241"/>
        <w:gridCol w:w="1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935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项目名称</w:t>
            </w:r>
          </w:p>
        </w:tc>
        <w:tc>
          <w:tcPr>
            <w:tcW w:w="3930" w:type="dxa"/>
            <w:gridSpan w:val="9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重庆市荣昌区重点区域森林草原防火道路建设项目</w:t>
            </w:r>
          </w:p>
        </w:tc>
        <w:tc>
          <w:tcPr>
            <w:tcW w:w="2331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流域管理机构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水利部长江水利委员会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635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涉及省（市、区）</w:t>
            </w:r>
          </w:p>
        </w:tc>
        <w:tc>
          <w:tcPr>
            <w:tcW w:w="1408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重庆市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涉及地市或个数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  <w:tc>
          <w:tcPr>
            <w:tcW w:w="2331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涉及区/县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荣昌区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项目规模</w:t>
            </w:r>
          </w:p>
        </w:tc>
        <w:tc>
          <w:tcPr>
            <w:tcW w:w="2898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设计防火道路64条，路线总长度39.140km，采用四级公路技术标准，设计速度15Km/h，路基宽度4.0m，路面宽度3.0m。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总投资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1983.54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土建投资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1673.51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动工时间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2024年5月</w:t>
            </w:r>
          </w:p>
        </w:tc>
        <w:tc>
          <w:tcPr>
            <w:tcW w:w="1446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完工时间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2025年4月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设计水平年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2026年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34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工程占地（h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2</w:t>
            </w:r>
            <w:r>
              <w:rPr>
                <w:rFonts w:hAnsi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34.41</w:t>
            </w:r>
          </w:p>
        </w:tc>
        <w:tc>
          <w:tcPr>
            <w:tcW w:w="1446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永久占地（h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2</w:t>
            </w:r>
            <w:r>
              <w:rPr>
                <w:rFonts w:hAnsi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34.41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临时占地（h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2</w:t>
            </w:r>
            <w:r>
              <w:rPr>
                <w:rFonts w:hAnsi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86" w:type="dxa"/>
            <w:gridSpan w:val="7"/>
            <w:vMerge w:val="restart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土石方量（万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3</w:t>
            </w:r>
            <w:r>
              <w:rPr>
                <w:rFonts w:hAnsi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挖方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填方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借方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弃方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86" w:type="dxa"/>
            <w:gridSpan w:val="7"/>
            <w:vMerge w:val="continue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26.21</w:t>
            </w:r>
          </w:p>
        </w:tc>
        <w:tc>
          <w:tcPr>
            <w:tcW w:w="1682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26.21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  <w:tc>
          <w:tcPr>
            <w:tcW w:w="1263" w:type="dxa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588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重点防治区名称</w:t>
            </w:r>
          </w:p>
        </w:tc>
        <w:tc>
          <w:tcPr>
            <w:tcW w:w="6370" w:type="dxa"/>
            <w:gridSpan w:val="1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荣昌区岚峰森林公园水土流失重点预防区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588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地貌类型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丘陵地貌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水土保持区划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西南紫色土区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588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土壤侵蚀类型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水力侵蚀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土壤侵蚀强度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轻度侵蚀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588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防治责任范围面积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34.41h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2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容许土壤流失量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500t/（k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2</w:t>
            </w:r>
            <w:r>
              <w:rPr>
                <w:rFonts w:hAnsi="Times New Roman"/>
                <w:color w:val="auto"/>
                <w:sz w:val="18"/>
                <w:szCs w:val="18"/>
              </w:rPr>
              <w:t>·a）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588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土壤流失预测总量</w:t>
            </w:r>
          </w:p>
        </w:tc>
        <w:tc>
          <w:tcPr>
            <w:tcW w:w="19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1581t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新增土壤流失量</w:t>
            </w:r>
          </w:p>
        </w:tc>
        <w:tc>
          <w:tcPr>
            <w:tcW w:w="2467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1173t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588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水土流失防治标准执行等级</w:t>
            </w:r>
          </w:p>
        </w:tc>
        <w:tc>
          <w:tcPr>
            <w:tcW w:w="6370" w:type="dxa"/>
            <w:gridSpan w:val="1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西南紫色土区建设类项目一级防治标准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防治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指标</w:t>
            </w:r>
          </w:p>
        </w:tc>
        <w:tc>
          <w:tcPr>
            <w:tcW w:w="17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水土流失治理度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97%</w:t>
            </w:r>
          </w:p>
        </w:tc>
        <w:tc>
          <w:tcPr>
            <w:tcW w:w="2013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土壤流失控制比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7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渣土防护率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92%</w:t>
            </w:r>
          </w:p>
        </w:tc>
        <w:tc>
          <w:tcPr>
            <w:tcW w:w="2013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表土保护率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77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林草植被恢复率</w:t>
            </w:r>
          </w:p>
        </w:tc>
        <w:tc>
          <w:tcPr>
            <w:tcW w:w="2391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97%</w:t>
            </w:r>
          </w:p>
        </w:tc>
        <w:tc>
          <w:tcPr>
            <w:tcW w:w="2013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林草覆盖率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25%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09" w:type="dxa"/>
            <w:vMerge w:val="restart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防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治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措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施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防治分区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工程措施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植物措施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临时措施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道路工程防治区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主体设计：排水土沟26695m；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主体设计：栽植灌木26100株；</w:t>
            </w:r>
          </w:p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方案新增：撒播草籽10.66h</w:t>
            </w:r>
            <w:r>
              <w:rPr>
                <w:rFonts w:hAnsi="Times New Roman"/>
                <w:color w:val="auto"/>
              </w:rPr>
              <w:t>m</w:t>
            </w:r>
            <w:r>
              <w:rPr>
                <w:rFonts w:hAnsi="Times New Roman"/>
                <w:color w:val="auto"/>
                <w:vertAlign w:val="superscript"/>
              </w:rPr>
              <w:t>2</w:t>
            </w:r>
            <w:r>
              <w:rPr>
                <w:rFonts w:hAnsi="Times New Roman"/>
                <w:color w:val="auto"/>
                <w:sz w:val="18"/>
                <w:szCs w:val="18"/>
              </w:rPr>
              <w:t>、爬山虎8630株。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09" w:type="dxa"/>
            <w:vMerge w:val="continue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投资（万元）</w:t>
            </w:r>
          </w:p>
        </w:tc>
        <w:tc>
          <w:tcPr>
            <w:tcW w:w="2066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49.31（新增：0.00）</w:t>
            </w:r>
          </w:p>
        </w:tc>
        <w:tc>
          <w:tcPr>
            <w:tcW w:w="1924" w:type="dxa"/>
            <w:gridSpan w:val="6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111.52（新增:26.69）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0（新增：0）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水土保持总投资（万元）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int="eastAsia" w:hAnsi="Times New Roman"/>
                <w:color w:val="auto"/>
                <w:sz w:val="18"/>
                <w:szCs w:val="18"/>
              </w:rPr>
              <w:t>253.68</w:t>
            </w:r>
            <w:r>
              <w:rPr>
                <w:rFonts w:hAnsi="Times New Roman"/>
                <w:color w:val="auto"/>
                <w:sz w:val="18"/>
                <w:szCs w:val="18"/>
              </w:rPr>
              <w:t>（新增：</w:t>
            </w:r>
            <w:r>
              <w:rPr>
                <w:rFonts w:hint="eastAsia" w:hAnsi="Times New Roman"/>
                <w:color w:val="auto"/>
                <w:sz w:val="18"/>
                <w:szCs w:val="18"/>
              </w:rPr>
              <w:t>119.54</w:t>
            </w:r>
            <w:r>
              <w:rPr>
                <w:rFonts w:hAnsi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2660" w:type="dxa"/>
            <w:gridSpan w:val="8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独立费用（万元）</w:t>
            </w:r>
          </w:p>
        </w:tc>
        <w:tc>
          <w:tcPr>
            <w:tcW w:w="1966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6.10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监理费（万元）</w:t>
            </w:r>
          </w:p>
        </w:tc>
        <w:tc>
          <w:tcPr>
            <w:tcW w:w="872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监测费（万元）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int="eastAsia" w:hAnsi="Times New Roman"/>
                <w:color w:val="auto"/>
                <w:sz w:val="18"/>
                <w:szCs w:val="18"/>
              </w:rPr>
              <w:t>34.53</w:t>
            </w:r>
          </w:p>
        </w:tc>
        <w:tc>
          <w:tcPr>
            <w:tcW w:w="1473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补偿费（万元）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48.1775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方案编制单位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重庆元琳环保工程有限公司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建设单位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重庆市荣昌区林业局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法定代表人及电话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孙建康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法定代表人及电话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刘辉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社会信用代码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91500114MA60K9XX1M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社会信用代码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115002260093413118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地址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int="eastAsia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重庆渝北区红锦大道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</w:t>
            </w:r>
            <w:r>
              <w:rPr>
                <w:rFonts w:hAnsi="Times New Roman"/>
                <w:color w:val="auto"/>
                <w:sz w:val="18"/>
                <w:szCs w:val="18"/>
              </w:rPr>
              <w:t>号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Ansi="Times New Roman"/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Ansi="Times New Roman"/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地址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int="eastAsia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重庆市荣昌区昌州街道昌龙大道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</w:t>
            </w:r>
            <w:r>
              <w:rPr>
                <w:rFonts w:hAnsi="Times New Roman"/>
                <w:color w:val="auto"/>
                <w:sz w:val="18"/>
                <w:szCs w:val="18"/>
              </w:rPr>
              <w:t>号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Ansi="Times New Roman"/>
                <w:color w:val="auto"/>
                <w:sz w:val="18"/>
                <w:szCs w:val="18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401120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  <w:highlight w:val="green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402460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联系人及电话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孙琳/15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*******</w:t>
            </w:r>
            <w:r>
              <w:rPr>
                <w:rFonts w:hAnsi="Times New Roman"/>
                <w:color w:val="auto"/>
                <w:sz w:val="18"/>
                <w:szCs w:val="18"/>
              </w:rPr>
              <w:t>85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联系人及电话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  <w:highlight w:val="green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王</w:t>
            </w:r>
            <w:r>
              <w:rPr>
                <w:rFonts w:hint="eastAsia" w:hAnsi="Times New Roman"/>
                <w:color w:val="auto"/>
                <w:sz w:val="18"/>
                <w:szCs w:val="18"/>
                <w:lang w:eastAsia="zh-CN"/>
              </w:rPr>
              <w:t>老师</w:t>
            </w:r>
            <w:r>
              <w:rPr>
                <w:rFonts w:hAnsi="Times New Roman"/>
                <w:color w:val="auto"/>
                <w:sz w:val="18"/>
                <w:szCs w:val="18"/>
              </w:rPr>
              <w:t xml:space="preserve"> 13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*******</w:t>
            </w:r>
            <w:r>
              <w:rPr>
                <w:rFonts w:hAnsi="Times New Roman"/>
                <w:color w:val="auto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传真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传真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2362" w:type="dxa"/>
            <w:gridSpan w:val="5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54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*****</w:t>
            </w:r>
            <w:r>
              <w:rPr>
                <w:rFonts w:hAnsi="Times New Roman"/>
                <w:color w:val="auto"/>
                <w:sz w:val="18"/>
                <w:szCs w:val="18"/>
              </w:rPr>
              <w:t>70@qq.com</w:t>
            </w:r>
          </w:p>
        </w:tc>
        <w:tc>
          <w:tcPr>
            <w:tcW w:w="1649" w:type="dxa"/>
            <w:gridSpan w:val="4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pStyle w:val="28"/>
              <w:spacing w:line="240" w:lineRule="exact"/>
              <w:rPr>
                <w:rFonts w:hAnsi="Times New Roman"/>
                <w:color w:val="auto"/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18"/>
                <w:szCs w:val="18"/>
              </w:rPr>
              <w:t>81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*****</w:t>
            </w:r>
            <w:r>
              <w:rPr>
                <w:rFonts w:hAnsi="Times New Roman"/>
                <w:color w:val="auto"/>
                <w:sz w:val="18"/>
                <w:szCs w:val="18"/>
              </w:rPr>
              <w:t>68@qq.com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r>
        <w:drawing>
          <wp:inline distT="0" distB="0" distL="114300" distR="114300">
            <wp:extent cx="5438140" cy="7486650"/>
            <wp:effectExtent l="0" t="0" r="1016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5614035" cy="7891780"/>
            <wp:effectExtent l="0" t="0" r="5715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78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612765" cy="7906385"/>
            <wp:effectExtent l="0" t="0" r="6985" b="184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90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29275" cy="7533640"/>
            <wp:effectExtent l="0" t="0" r="9525" b="1016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53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抄送：局综合监督安全科。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BEFE1379-00E7-4C73-85D9-BB91C25ACE41}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4F3F270-C8DB-43C6-8876-62827CF3817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1939A6D-3D3A-48FA-A84B-FBD768AF2A4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F6E60EB-6116-45A2-8CD5-989CD38EF0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  <w:rPr>
        <w:rFonts w:hint="default" w:eastAsia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hint="default"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793"/>
    <w:rsid w:val="00125167"/>
    <w:rsid w:val="0013642B"/>
    <w:rsid w:val="00192863"/>
    <w:rsid w:val="001F1FDF"/>
    <w:rsid w:val="001F6A2A"/>
    <w:rsid w:val="00206DF8"/>
    <w:rsid w:val="003C1EAF"/>
    <w:rsid w:val="003C7BE9"/>
    <w:rsid w:val="00425E7B"/>
    <w:rsid w:val="0043575A"/>
    <w:rsid w:val="00465C8E"/>
    <w:rsid w:val="004870E2"/>
    <w:rsid w:val="00507A0A"/>
    <w:rsid w:val="00531137"/>
    <w:rsid w:val="00560F8F"/>
    <w:rsid w:val="005731FD"/>
    <w:rsid w:val="005F59C2"/>
    <w:rsid w:val="00615EB8"/>
    <w:rsid w:val="006660D1"/>
    <w:rsid w:val="006860CA"/>
    <w:rsid w:val="006A31F6"/>
    <w:rsid w:val="006B652A"/>
    <w:rsid w:val="00720B17"/>
    <w:rsid w:val="007439CD"/>
    <w:rsid w:val="00747ACA"/>
    <w:rsid w:val="00771B03"/>
    <w:rsid w:val="00785BCA"/>
    <w:rsid w:val="0079257B"/>
    <w:rsid w:val="007A6A50"/>
    <w:rsid w:val="007B6C92"/>
    <w:rsid w:val="009005D6"/>
    <w:rsid w:val="00930F9F"/>
    <w:rsid w:val="00950225"/>
    <w:rsid w:val="009869F8"/>
    <w:rsid w:val="00A10766"/>
    <w:rsid w:val="00A40689"/>
    <w:rsid w:val="00A8061C"/>
    <w:rsid w:val="00BD20CD"/>
    <w:rsid w:val="00C73744"/>
    <w:rsid w:val="00C74606"/>
    <w:rsid w:val="00D26199"/>
    <w:rsid w:val="00D97E5D"/>
    <w:rsid w:val="00E55874"/>
    <w:rsid w:val="00EF3E8C"/>
    <w:rsid w:val="00F66039"/>
    <w:rsid w:val="00FE1684"/>
    <w:rsid w:val="00FF3BFA"/>
    <w:rsid w:val="01050BBA"/>
    <w:rsid w:val="015974C0"/>
    <w:rsid w:val="016030C3"/>
    <w:rsid w:val="01726817"/>
    <w:rsid w:val="017D631C"/>
    <w:rsid w:val="01931C3E"/>
    <w:rsid w:val="01B1018A"/>
    <w:rsid w:val="01D0080D"/>
    <w:rsid w:val="01FA452F"/>
    <w:rsid w:val="020A47E2"/>
    <w:rsid w:val="020B1CD2"/>
    <w:rsid w:val="02175FB3"/>
    <w:rsid w:val="021B6E3F"/>
    <w:rsid w:val="022A56B1"/>
    <w:rsid w:val="024F7D9B"/>
    <w:rsid w:val="02751185"/>
    <w:rsid w:val="028E0A41"/>
    <w:rsid w:val="02AD5BC1"/>
    <w:rsid w:val="02EC0689"/>
    <w:rsid w:val="031C0DC8"/>
    <w:rsid w:val="032A2ABD"/>
    <w:rsid w:val="036F7A44"/>
    <w:rsid w:val="039A5762"/>
    <w:rsid w:val="03B562A5"/>
    <w:rsid w:val="03BA01AE"/>
    <w:rsid w:val="03E84B26"/>
    <w:rsid w:val="0447465F"/>
    <w:rsid w:val="04477A12"/>
    <w:rsid w:val="047F0110"/>
    <w:rsid w:val="049C465C"/>
    <w:rsid w:val="049C5052"/>
    <w:rsid w:val="04ED3A23"/>
    <w:rsid w:val="04F3493D"/>
    <w:rsid w:val="04F53660"/>
    <w:rsid w:val="04FE38D1"/>
    <w:rsid w:val="0508204E"/>
    <w:rsid w:val="05543DCC"/>
    <w:rsid w:val="05D05BA3"/>
    <w:rsid w:val="05F302AB"/>
    <w:rsid w:val="061533C9"/>
    <w:rsid w:val="061978E9"/>
    <w:rsid w:val="06254DA5"/>
    <w:rsid w:val="06297316"/>
    <w:rsid w:val="062B51F3"/>
    <w:rsid w:val="06356A24"/>
    <w:rsid w:val="06412650"/>
    <w:rsid w:val="064F0924"/>
    <w:rsid w:val="067D5433"/>
    <w:rsid w:val="068A3260"/>
    <w:rsid w:val="06F8189C"/>
    <w:rsid w:val="06F84D7D"/>
    <w:rsid w:val="06F90600"/>
    <w:rsid w:val="07246C9E"/>
    <w:rsid w:val="07402F73"/>
    <w:rsid w:val="07794DDC"/>
    <w:rsid w:val="07857631"/>
    <w:rsid w:val="07A73C1C"/>
    <w:rsid w:val="07F05315"/>
    <w:rsid w:val="07FA739D"/>
    <w:rsid w:val="07FD6DF7"/>
    <w:rsid w:val="0809672C"/>
    <w:rsid w:val="08211367"/>
    <w:rsid w:val="0834033F"/>
    <w:rsid w:val="084F6F27"/>
    <w:rsid w:val="08707035"/>
    <w:rsid w:val="088B798D"/>
    <w:rsid w:val="08BC24CD"/>
    <w:rsid w:val="092376BD"/>
    <w:rsid w:val="093C402F"/>
    <w:rsid w:val="09562BF8"/>
    <w:rsid w:val="099877D9"/>
    <w:rsid w:val="09D80621"/>
    <w:rsid w:val="09F356BD"/>
    <w:rsid w:val="09FE2289"/>
    <w:rsid w:val="0A0437A8"/>
    <w:rsid w:val="0A110812"/>
    <w:rsid w:val="0A1B7CD8"/>
    <w:rsid w:val="0A2F40DF"/>
    <w:rsid w:val="0A8E4A52"/>
    <w:rsid w:val="0AD5793B"/>
    <w:rsid w:val="0AD61B30"/>
    <w:rsid w:val="0AD80598"/>
    <w:rsid w:val="0B3A6F45"/>
    <w:rsid w:val="0B447EFC"/>
    <w:rsid w:val="0B54661F"/>
    <w:rsid w:val="0B5D2913"/>
    <w:rsid w:val="0B976D8E"/>
    <w:rsid w:val="0C552FCB"/>
    <w:rsid w:val="0C6772FC"/>
    <w:rsid w:val="0CDC2F09"/>
    <w:rsid w:val="0CDF4236"/>
    <w:rsid w:val="0D0116EE"/>
    <w:rsid w:val="0D08483C"/>
    <w:rsid w:val="0D2E65B9"/>
    <w:rsid w:val="0D5B4A77"/>
    <w:rsid w:val="0D643188"/>
    <w:rsid w:val="0D8C2AD3"/>
    <w:rsid w:val="0DC65A2B"/>
    <w:rsid w:val="0E1032A1"/>
    <w:rsid w:val="0E3C0D3E"/>
    <w:rsid w:val="0E814859"/>
    <w:rsid w:val="0EA914F9"/>
    <w:rsid w:val="0EAC7321"/>
    <w:rsid w:val="0EBA2410"/>
    <w:rsid w:val="0EDD002C"/>
    <w:rsid w:val="0EE24DF9"/>
    <w:rsid w:val="0FAF4879"/>
    <w:rsid w:val="0FDD14E9"/>
    <w:rsid w:val="0FDE7EE2"/>
    <w:rsid w:val="0FE6570D"/>
    <w:rsid w:val="0FEE4213"/>
    <w:rsid w:val="10147E89"/>
    <w:rsid w:val="10346FCF"/>
    <w:rsid w:val="10957C11"/>
    <w:rsid w:val="10A4084A"/>
    <w:rsid w:val="10CE5E8F"/>
    <w:rsid w:val="10D81D38"/>
    <w:rsid w:val="1109405D"/>
    <w:rsid w:val="11142965"/>
    <w:rsid w:val="11200625"/>
    <w:rsid w:val="112B47BC"/>
    <w:rsid w:val="113450C7"/>
    <w:rsid w:val="115A12B4"/>
    <w:rsid w:val="118C3500"/>
    <w:rsid w:val="11B61D44"/>
    <w:rsid w:val="11E85D57"/>
    <w:rsid w:val="11EF5F62"/>
    <w:rsid w:val="12013503"/>
    <w:rsid w:val="120D2F86"/>
    <w:rsid w:val="121656BA"/>
    <w:rsid w:val="126D43FD"/>
    <w:rsid w:val="12860983"/>
    <w:rsid w:val="12B60446"/>
    <w:rsid w:val="130F36D3"/>
    <w:rsid w:val="13111365"/>
    <w:rsid w:val="134D0507"/>
    <w:rsid w:val="13522785"/>
    <w:rsid w:val="13A25149"/>
    <w:rsid w:val="14353991"/>
    <w:rsid w:val="144B2E69"/>
    <w:rsid w:val="14550167"/>
    <w:rsid w:val="14623D1D"/>
    <w:rsid w:val="149A2D26"/>
    <w:rsid w:val="14B82AC2"/>
    <w:rsid w:val="1582409F"/>
    <w:rsid w:val="15982DCE"/>
    <w:rsid w:val="15B2104C"/>
    <w:rsid w:val="15BC4236"/>
    <w:rsid w:val="15C12C11"/>
    <w:rsid w:val="15DC5BBE"/>
    <w:rsid w:val="16047292"/>
    <w:rsid w:val="160938C3"/>
    <w:rsid w:val="16427D13"/>
    <w:rsid w:val="1671421E"/>
    <w:rsid w:val="16803F32"/>
    <w:rsid w:val="16A56FD1"/>
    <w:rsid w:val="1713756D"/>
    <w:rsid w:val="174F3E4D"/>
    <w:rsid w:val="1761695C"/>
    <w:rsid w:val="177C290D"/>
    <w:rsid w:val="17EA14C0"/>
    <w:rsid w:val="17FA3E81"/>
    <w:rsid w:val="181B2E1C"/>
    <w:rsid w:val="182B6996"/>
    <w:rsid w:val="1851035F"/>
    <w:rsid w:val="189221B3"/>
    <w:rsid w:val="18AB63FB"/>
    <w:rsid w:val="18B31505"/>
    <w:rsid w:val="18FB2FB0"/>
    <w:rsid w:val="190B5CFA"/>
    <w:rsid w:val="19475A1A"/>
    <w:rsid w:val="194B2F32"/>
    <w:rsid w:val="195B19B9"/>
    <w:rsid w:val="198932F6"/>
    <w:rsid w:val="198C27F7"/>
    <w:rsid w:val="19A23F00"/>
    <w:rsid w:val="19FE022E"/>
    <w:rsid w:val="1A114DB3"/>
    <w:rsid w:val="1A417A9E"/>
    <w:rsid w:val="1A481855"/>
    <w:rsid w:val="1AB81211"/>
    <w:rsid w:val="1AE719E6"/>
    <w:rsid w:val="1AF13313"/>
    <w:rsid w:val="1B1C6B16"/>
    <w:rsid w:val="1B31628F"/>
    <w:rsid w:val="1B551368"/>
    <w:rsid w:val="1B6A7EDF"/>
    <w:rsid w:val="1B6B5C9C"/>
    <w:rsid w:val="1B7C9B45"/>
    <w:rsid w:val="1C4775D5"/>
    <w:rsid w:val="1CA006B3"/>
    <w:rsid w:val="1CA36D1D"/>
    <w:rsid w:val="1CEA0A5D"/>
    <w:rsid w:val="1CEB7029"/>
    <w:rsid w:val="1D1578C6"/>
    <w:rsid w:val="1D4C7300"/>
    <w:rsid w:val="1DD65F60"/>
    <w:rsid w:val="1E617D87"/>
    <w:rsid w:val="1ECE5D98"/>
    <w:rsid w:val="1EEE40CF"/>
    <w:rsid w:val="1EFF41D1"/>
    <w:rsid w:val="1F027470"/>
    <w:rsid w:val="1F0771F7"/>
    <w:rsid w:val="1F0B7BF4"/>
    <w:rsid w:val="1F475178"/>
    <w:rsid w:val="1F8934B7"/>
    <w:rsid w:val="1F9B76AE"/>
    <w:rsid w:val="1FBE49E5"/>
    <w:rsid w:val="1FDD62A8"/>
    <w:rsid w:val="1FE24962"/>
    <w:rsid w:val="20134A15"/>
    <w:rsid w:val="20415E2C"/>
    <w:rsid w:val="2049286D"/>
    <w:rsid w:val="205A088D"/>
    <w:rsid w:val="206A425E"/>
    <w:rsid w:val="206B21F3"/>
    <w:rsid w:val="207B498E"/>
    <w:rsid w:val="20861639"/>
    <w:rsid w:val="208A58CF"/>
    <w:rsid w:val="208C5AF3"/>
    <w:rsid w:val="20B34CDE"/>
    <w:rsid w:val="20C22570"/>
    <w:rsid w:val="21075D05"/>
    <w:rsid w:val="211D68E2"/>
    <w:rsid w:val="21521F59"/>
    <w:rsid w:val="21CC5B2F"/>
    <w:rsid w:val="21CE07B5"/>
    <w:rsid w:val="226A528A"/>
    <w:rsid w:val="22734C95"/>
    <w:rsid w:val="22743D02"/>
    <w:rsid w:val="227B6B42"/>
    <w:rsid w:val="22AC4D1C"/>
    <w:rsid w:val="230E33F3"/>
    <w:rsid w:val="23104780"/>
    <w:rsid w:val="23116C84"/>
    <w:rsid w:val="23264D00"/>
    <w:rsid w:val="23343A8F"/>
    <w:rsid w:val="23464B31"/>
    <w:rsid w:val="237B1C44"/>
    <w:rsid w:val="23813EE5"/>
    <w:rsid w:val="239B3369"/>
    <w:rsid w:val="23B9752B"/>
    <w:rsid w:val="23C4680E"/>
    <w:rsid w:val="241E6913"/>
    <w:rsid w:val="243C6508"/>
    <w:rsid w:val="24666B55"/>
    <w:rsid w:val="24B22C39"/>
    <w:rsid w:val="24C76F5D"/>
    <w:rsid w:val="24D41A48"/>
    <w:rsid w:val="255130C2"/>
    <w:rsid w:val="25B25FF8"/>
    <w:rsid w:val="25C15C72"/>
    <w:rsid w:val="25D65845"/>
    <w:rsid w:val="25E33882"/>
    <w:rsid w:val="25F35B50"/>
    <w:rsid w:val="260728AB"/>
    <w:rsid w:val="26260D1B"/>
    <w:rsid w:val="26543820"/>
    <w:rsid w:val="26650930"/>
    <w:rsid w:val="267C149F"/>
    <w:rsid w:val="26A539FD"/>
    <w:rsid w:val="26B17391"/>
    <w:rsid w:val="26D364C3"/>
    <w:rsid w:val="26EB3B6A"/>
    <w:rsid w:val="273930FB"/>
    <w:rsid w:val="27544493"/>
    <w:rsid w:val="275C5122"/>
    <w:rsid w:val="27736757"/>
    <w:rsid w:val="27BD7AE2"/>
    <w:rsid w:val="27E50D24"/>
    <w:rsid w:val="280746CD"/>
    <w:rsid w:val="282A0C88"/>
    <w:rsid w:val="28481EA5"/>
    <w:rsid w:val="28CF3907"/>
    <w:rsid w:val="28D07074"/>
    <w:rsid w:val="28D96086"/>
    <w:rsid w:val="290B4DEA"/>
    <w:rsid w:val="295D22E9"/>
    <w:rsid w:val="29646099"/>
    <w:rsid w:val="299707EE"/>
    <w:rsid w:val="29996B45"/>
    <w:rsid w:val="29CF6816"/>
    <w:rsid w:val="29D3320B"/>
    <w:rsid w:val="29D44258"/>
    <w:rsid w:val="2A0A5D8F"/>
    <w:rsid w:val="2A5F3B83"/>
    <w:rsid w:val="2A6331A5"/>
    <w:rsid w:val="2A7B7189"/>
    <w:rsid w:val="2A893FD5"/>
    <w:rsid w:val="2A99252E"/>
    <w:rsid w:val="2ABB2386"/>
    <w:rsid w:val="2AE33042"/>
    <w:rsid w:val="2AF22BE0"/>
    <w:rsid w:val="2B494413"/>
    <w:rsid w:val="2B5F099C"/>
    <w:rsid w:val="2BAB6ECD"/>
    <w:rsid w:val="2BC273AA"/>
    <w:rsid w:val="2BFD2C94"/>
    <w:rsid w:val="2C4665EE"/>
    <w:rsid w:val="2C4A4895"/>
    <w:rsid w:val="2C9E1FA1"/>
    <w:rsid w:val="2CA50E4D"/>
    <w:rsid w:val="2CA6571C"/>
    <w:rsid w:val="2D252160"/>
    <w:rsid w:val="2D3A4195"/>
    <w:rsid w:val="2D4C3CDE"/>
    <w:rsid w:val="2D661989"/>
    <w:rsid w:val="2D6F6CBF"/>
    <w:rsid w:val="2D897464"/>
    <w:rsid w:val="2DD91AC6"/>
    <w:rsid w:val="2DF14466"/>
    <w:rsid w:val="2E1A4691"/>
    <w:rsid w:val="2E201880"/>
    <w:rsid w:val="2E296A4A"/>
    <w:rsid w:val="2E371B64"/>
    <w:rsid w:val="2E471A07"/>
    <w:rsid w:val="2E680B86"/>
    <w:rsid w:val="2E7338CF"/>
    <w:rsid w:val="2E955E1F"/>
    <w:rsid w:val="2E9D1EEA"/>
    <w:rsid w:val="2EE00777"/>
    <w:rsid w:val="2F5716BB"/>
    <w:rsid w:val="2F6EE46D"/>
    <w:rsid w:val="2F745341"/>
    <w:rsid w:val="2FAA57AC"/>
    <w:rsid w:val="2FCA2F04"/>
    <w:rsid w:val="2FCD7FE2"/>
    <w:rsid w:val="2FD1643E"/>
    <w:rsid w:val="2FDE422D"/>
    <w:rsid w:val="303A3EAC"/>
    <w:rsid w:val="305A1B2B"/>
    <w:rsid w:val="30947B8A"/>
    <w:rsid w:val="30AB3713"/>
    <w:rsid w:val="30B96D81"/>
    <w:rsid w:val="30CB7696"/>
    <w:rsid w:val="31350C4C"/>
    <w:rsid w:val="316F26CD"/>
    <w:rsid w:val="317B2A01"/>
    <w:rsid w:val="31974F30"/>
    <w:rsid w:val="324E12A6"/>
    <w:rsid w:val="325830AB"/>
    <w:rsid w:val="32686C9F"/>
    <w:rsid w:val="329972D1"/>
    <w:rsid w:val="332E7EBB"/>
    <w:rsid w:val="334129FB"/>
    <w:rsid w:val="33496BBD"/>
    <w:rsid w:val="335608C6"/>
    <w:rsid w:val="33713174"/>
    <w:rsid w:val="3393468B"/>
    <w:rsid w:val="33965530"/>
    <w:rsid w:val="33CA4725"/>
    <w:rsid w:val="34022063"/>
    <w:rsid w:val="34091AC8"/>
    <w:rsid w:val="3416416D"/>
    <w:rsid w:val="343637B7"/>
    <w:rsid w:val="343A1F0F"/>
    <w:rsid w:val="34D800FF"/>
    <w:rsid w:val="34F44E6F"/>
    <w:rsid w:val="350C4D8A"/>
    <w:rsid w:val="3522139B"/>
    <w:rsid w:val="35330334"/>
    <w:rsid w:val="355D36DF"/>
    <w:rsid w:val="35DF6DB8"/>
    <w:rsid w:val="364A2F59"/>
    <w:rsid w:val="366E2CE0"/>
    <w:rsid w:val="367D6EF4"/>
    <w:rsid w:val="36891325"/>
    <w:rsid w:val="36AB1679"/>
    <w:rsid w:val="36B21FB7"/>
    <w:rsid w:val="36B85FBC"/>
    <w:rsid w:val="36C957A6"/>
    <w:rsid w:val="36DA3A0A"/>
    <w:rsid w:val="36F8164E"/>
    <w:rsid w:val="36FD32CC"/>
    <w:rsid w:val="37372AEC"/>
    <w:rsid w:val="37403744"/>
    <w:rsid w:val="375168D4"/>
    <w:rsid w:val="375F291F"/>
    <w:rsid w:val="377848DF"/>
    <w:rsid w:val="37A17F73"/>
    <w:rsid w:val="37B502D9"/>
    <w:rsid w:val="37D529A9"/>
    <w:rsid w:val="380A2E23"/>
    <w:rsid w:val="380B63EA"/>
    <w:rsid w:val="38111F8A"/>
    <w:rsid w:val="38186E90"/>
    <w:rsid w:val="386D73F9"/>
    <w:rsid w:val="38A01F74"/>
    <w:rsid w:val="38A16F34"/>
    <w:rsid w:val="38D336D5"/>
    <w:rsid w:val="38D76F5B"/>
    <w:rsid w:val="38F56F49"/>
    <w:rsid w:val="3927163A"/>
    <w:rsid w:val="392D2B1B"/>
    <w:rsid w:val="394E246B"/>
    <w:rsid w:val="399C2315"/>
    <w:rsid w:val="39B573BE"/>
    <w:rsid w:val="39B6763B"/>
    <w:rsid w:val="39C53ADC"/>
    <w:rsid w:val="39DE6029"/>
    <w:rsid w:val="3A2A53FC"/>
    <w:rsid w:val="3A314D86"/>
    <w:rsid w:val="3A975F1E"/>
    <w:rsid w:val="3ACF7538"/>
    <w:rsid w:val="3B441BF9"/>
    <w:rsid w:val="3B96A7AA"/>
    <w:rsid w:val="3BC82C9D"/>
    <w:rsid w:val="3BE810DF"/>
    <w:rsid w:val="3BF71D88"/>
    <w:rsid w:val="3BFF76F6"/>
    <w:rsid w:val="3C284141"/>
    <w:rsid w:val="3C2A782D"/>
    <w:rsid w:val="3C86279C"/>
    <w:rsid w:val="3CE04B19"/>
    <w:rsid w:val="3CF60541"/>
    <w:rsid w:val="3CFF0705"/>
    <w:rsid w:val="3D0E3475"/>
    <w:rsid w:val="3D4079F3"/>
    <w:rsid w:val="3D484BDD"/>
    <w:rsid w:val="3D98761F"/>
    <w:rsid w:val="3DAE273F"/>
    <w:rsid w:val="3DAF31CE"/>
    <w:rsid w:val="3DB21C7C"/>
    <w:rsid w:val="3DDE420D"/>
    <w:rsid w:val="3DF9AAD9"/>
    <w:rsid w:val="3DFD13F0"/>
    <w:rsid w:val="3E0735F1"/>
    <w:rsid w:val="3E183853"/>
    <w:rsid w:val="3E1C72D0"/>
    <w:rsid w:val="3E484D41"/>
    <w:rsid w:val="3E6A344B"/>
    <w:rsid w:val="3E7D7E0D"/>
    <w:rsid w:val="3EAF29BA"/>
    <w:rsid w:val="3EC95405"/>
    <w:rsid w:val="3EDF2406"/>
    <w:rsid w:val="3F0E1401"/>
    <w:rsid w:val="3F417C77"/>
    <w:rsid w:val="3F564A45"/>
    <w:rsid w:val="3F5F7C90"/>
    <w:rsid w:val="3F6F184D"/>
    <w:rsid w:val="3F76839D"/>
    <w:rsid w:val="3F7BF243"/>
    <w:rsid w:val="3FAC5A63"/>
    <w:rsid w:val="3FB466AE"/>
    <w:rsid w:val="3FBD93F9"/>
    <w:rsid w:val="3FE40DF9"/>
    <w:rsid w:val="3FF5312B"/>
    <w:rsid w:val="3FF86C89"/>
    <w:rsid w:val="3FFF8102"/>
    <w:rsid w:val="3FFFA00F"/>
    <w:rsid w:val="40080A88"/>
    <w:rsid w:val="403646E7"/>
    <w:rsid w:val="40410BF2"/>
    <w:rsid w:val="404943F1"/>
    <w:rsid w:val="40843028"/>
    <w:rsid w:val="40854381"/>
    <w:rsid w:val="40C5587F"/>
    <w:rsid w:val="41074175"/>
    <w:rsid w:val="411B28FF"/>
    <w:rsid w:val="41351087"/>
    <w:rsid w:val="4143122B"/>
    <w:rsid w:val="41D237DA"/>
    <w:rsid w:val="41E4537A"/>
    <w:rsid w:val="41FC3492"/>
    <w:rsid w:val="420B5908"/>
    <w:rsid w:val="42260B4E"/>
    <w:rsid w:val="42271614"/>
    <w:rsid w:val="42475BC0"/>
    <w:rsid w:val="42780119"/>
    <w:rsid w:val="42B23223"/>
    <w:rsid w:val="42B27404"/>
    <w:rsid w:val="42C13BD8"/>
    <w:rsid w:val="42F3500A"/>
    <w:rsid w:val="43883D41"/>
    <w:rsid w:val="4393553A"/>
    <w:rsid w:val="43A522CE"/>
    <w:rsid w:val="43AA4C63"/>
    <w:rsid w:val="43C01B40"/>
    <w:rsid w:val="44106D1A"/>
    <w:rsid w:val="442B1DE9"/>
    <w:rsid w:val="443C66A2"/>
    <w:rsid w:val="446F15F6"/>
    <w:rsid w:val="4471188C"/>
    <w:rsid w:val="449B0018"/>
    <w:rsid w:val="44A358F9"/>
    <w:rsid w:val="44A450E1"/>
    <w:rsid w:val="44AC1D9A"/>
    <w:rsid w:val="44E5044C"/>
    <w:rsid w:val="44FF33EB"/>
    <w:rsid w:val="4503780B"/>
    <w:rsid w:val="45163B74"/>
    <w:rsid w:val="45F3276F"/>
    <w:rsid w:val="45F71F4F"/>
    <w:rsid w:val="45FC0CF7"/>
    <w:rsid w:val="46003C35"/>
    <w:rsid w:val="4627649C"/>
    <w:rsid w:val="462F67FC"/>
    <w:rsid w:val="464E4544"/>
    <w:rsid w:val="46614566"/>
    <w:rsid w:val="466A7166"/>
    <w:rsid w:val="46C175E7"/>
    <w:rsid w:val="470D1EAB"/>
    <w:rsid w:val="4716123C"/>
    <w:rsid w:val="47581037"/>
    <w:rsid w:val="47635F37"/>
    <w:rsid w:val="47652830"/>
    <w:rsid w:val="479F32F0"/>
    <w:rsid w:val="47F61255"/>
    <w:rsid w:val="484400D1"/>
    <w:rsid w:val="484C3424"/>
    <w:rsid w:val="485920AB"/>
    <w:rsid w:val="4866566A"/>
    <w:rsid w:val="48AA52E2"/>
    <w:rsid w:val="48B4188A"/>
    <w:rsid w:val="48B90AD3"/>
    <w:rsid w:val="48FF3A76"/>
    <w:rsid w:val="49000053"/>
    <w:rsid w:val="492B74A4"/>
    <w:rsid w:val="494D0152"/>
    <w:rsid w:val="494E5BED"/>
    <w:rsid w:val="49827327"/>
    <w:rsid w:val="49A068D7"/>
    <w:rsid w:val="49A1056D"/>
    <w:rsid w:val="49D37A50"/>
    <w:rsid w:val="49DD4031"/>
    <w:rsid w:val="49EA33DA"/>
    <w:rsid w:val="49EA763F"/>
    <w:rsid w:val="4A2645B2"/>
    <w:rsid w:val="4A2E7440"/>
    <w:rsid w:val="4A366E42"/>
    <w:rsid w:val="4A463A7E"/>
    <w:rsid w:val="4AA17056"/>
    <w:rsid w:val="4AF41787"/>
    <w:rsid w:val="4B3E507F"/>
    <w:rsid w:val="4BEC6945"/>
    <w:rsid w:val="4C0A180C"/>
    <w:rsid w:val="4C2535CE"/>
    <w:rsid w:val="4C2A6FBA"/>
    <w:rsid w:val="4C7C60B2"/>
    <w:rsid w:val="4C840BCC"/>
    <w:rsid w:val="4C871285"/>
    <w:rsid w:val="4C8D3FC5"/>
    <w:rsid w:val="4C9A660B"/>
    <w:rsid w:val="4CA01546"/>
    <w:rsid w:val="4CC86B06"/>
    <w:rsid w:val="4D5E3807"/>
    <w:rsid w:val="4D984403"/>
    <w:rsid w:val="4DED2335"/>
    <w:rsid w:val="4DFF6877"/>
    <w:rsid w:val="4E162FB5"/>
    <w:rsid w:val="4E764940"/>
    <w:rsid w:val="4E8D76B7"/>
    <w:rsid w:val="4E8F44F1"/>
    <w:rsid w:val="4EB53369"/>
    <w:rsid w:val="4EB75CE0"/>
    <w:rsid w:val="4EC40A2A"/>
    <w:rsid w:val="4F0422E0"/>
    <w:rsid w:val="4F531A4F"/>
    <w:rsid w:val="4F627EE7"/>
    <w:rsid w:val="4F727663"/>
    <w:rsid w:val="4F8C06E1"/>
    <w:rsid w:val="4FB85088"/>
    <w:rsid w:val="4FD56D87"/>
    <w:rsid w:val="4FD8095A"/>
    <w:rsid w:val="4FE57021"/>
    <w:rsid w:val="4FFB3A8A"/>
    <w:rsid w:val="50375BA9"/>
    <w:rsid w:val="50666C7A"/>
    <w:rsid w:val="506B34B5"/>
    <w:rsid w:val="50786558"/>
    <w:rsid w:val="507947E8"/>
    <w:rsid w:val="50AA7A06"/>
    <w:rsid w:val="50F36996"/>
    <w:rsid w:val="51090BB5"/>
    <w:rsid w:val="5149299C"/>
    <w:rsid w:val="514B0298"/>
    <w:rsid w:val="51ED4678"/>
    <w:rsid w:val="51FC0D06"/>
    <w:rsid w:val="52092426"/>
    <w:rsid w:val="521B3AA9"/>
    <w:rsid w:val="52212AA1"/>
    <w:rsid w:val="52336E2C"/>
    <w:rsid w:val="52383FF3"/>
    <w:rsid w:val="52652CC6"/>
    <w:rsid w:val="52B87102"/>
    <w:rsid w:val="52D43868"/>
    <w:rsid w:val="53733491"/>
    <w:rsid w:val="53D03D2F"/>
    <w:rsid w:val="53D11E10"/>
    <w:rsid w:val="53D81CA6"/>
    <w:rsid w:val="53F3083B"/>
    <w:rsid w:val="54183A0C"/>
    <w:rsid w:val="54B56AD7"/>
    <w:rsid w:val="54EB2BE4"/>
    <w:rsid w:val="54FA5DCB"/>
    <w:rsid w:val="550E04D1"/>
    <w:rsid w:val="5523071D"/>
    <w:rsid w:val="553C65BE"/>
    <w:rsid w:val="553E660A"/>
    <w:rsid w:val="55591A7E"/>
    <w:rsid w:val="55C2140D"/>
    <w:rsid w:val="55E22217"/>
    <w:rsid w:val="55EA3E67"/>
    <w:rsid w:val="5616550C"/>
    <w:rsid w:val="566343DC"/>
    <w:rsid w:val="567394F1"/>
    <w:rsid w:val="567EE708"/>
    <w:rsid w:val="56854903"/>
    <w:rsid w:val="568B4416"/>
    <w:rsid w:val="56B00B8D"/>
    <w:rsid w:val="56C675EA"/>
    <w:rsid w:val="56EB1DA8"/>
    <w:rsid w:val="5729748F"/>
    <w:rsid w:val="572B080B"/>
    <w:rsid w:val="5749682A"/>
    <w:rsid w:val="576212B2"/>
    <w:rsid w:val="577D5E6B"/>
    <w:rsid w:val="578B523B"/>
    <w:rsid w:val="579B0E0D"/>
    <w:rsid w:val="57A0641C"/>
    <w:rsid w:val="57DDA84B"/>
    <w:rsid w:val="57E04882"/>
    <w:rsid w:val="57E532C4"/>
    <w:rsid w:val="580B2309"/>
    <w:rsid w:val="58533C67"/>
    <w:rsid w:val="58585782"/>
    <w:rsid w:val="58670CF0"/>
    <w:rsid w:val="586B0F9F"/>
    <w:rsid w:val="58815E29"/>
    <w:rsid w:val="58D96DA5"/>
    <w:rsid w:val="58DB3739"/>
    <w:rsid w:val="59177978"/>
    <w:rsid w:val="59282EEE"/>
    <w:rsid w:val="593928F1"/>
    <w:rsid w:val="595B0854"/>
    <w:rsid w:val="59755249"/>
    <w:rsid w:val="59A61C58"/>
    <w:rsid w:val="59A81264"/>
    <w:rsid w:val="59AD137C"/>
    <w:rsid w:val="59DC603E"/>
    <w:rsid w:val="59E00B01"/>
    <w:rsid w:val="59EBFBDD"/>
    <w:rsid w:val="5A542A90"/>
    <w:rsid w:val="5A652A64"/>
    <w:rsid w:val="5A6532CF"/>
    <w:rsid w:val="5AA30DE4"/>
    <w:rsid w:val="5AC25E6B"/>
    <w:rsid w:val="5B28389C"/>
    <w:rsid w:val="5B3B4685"/>
    <w:rsid w:val="5B407EB2"/>
    <w:rsid w:val="5B4A406A"/>
    <w:rsid w:val="5BA416E6"/>
    <w:rsid w:val="5BA913F1"/>
    <w:rsid w:val="5BBF38ED"/>
    <w:rsid w:val="5BE21763"/>
    <w:rsid w:val="5C1C115E"/>
    <w:rsid w:val="5C1D2397"/>
    <w:rsid w:val="5C730ABA"/>
    <w:rsid w:val="5CC1443C"/>
    <w:rsid w:val="5CF01C4F"/>
    <w:rsid w:val="5D1A254C"/>
    <w:rsid w:val="5D4B2BA6"/>
    <w:rsid w:val="5D982458"/>
    <w:rsid w:val="5DED4F58"/>
    <w:rsid w:val="5DEF6D65"/>
    <w:rsid w:val="5E1749DC"/>
    <w:rsid w:val="5E235446"/>
    <w:rsid w:val="5E35715D"/>
    <w:rsid w:val="5E5FF566"/>
    <w:rsid w:val="5E6164F1"/>
    <w:rsid w:val="5E7F3F46"/>
    <w:rsid w:val="5EBD515A"/>
    <w:rsid w:val="5EDFDDD0"/>
    <w:rsid w:val="5F013C4C"/>
    <w:rsid w:val="5F0608C4"/>
    <w:rsid w:val="5F074E9F"/>
    <w:rsid w:val="5F192012"/>
    <w:rsid w:val="5F398D69"/>
    <w:rsid w:val="5F3E8C9E"/>
    <w:rsid w:val="5F8D48C9"/>
    <w:rsid w:val="5FB72019"/>
    <w:rsid w:val="5FBB57DD"/>
    <w:rsid w:val="5FC566AF"/>
    <w:rsid w:val="5FDF26F2"/>
    <w:rsid w:val="5FE46642"/>
    <w:rsid w:val="5FF76AAE"/>
    <w:rsid w:val="5FFFCF80"/>
    <w:rsid w:val="601A2EBA"/>
    <w:rsid w:val="601F0693"/>
    <w:rsid w:val="603850B2"/>
    <w:rsid w:val="607D7E42"/>
    <w:rsid w:val="607E6C35"/>
    <w:rsid w:val="608813D3"/>
    <w:rsid w:val="608A1C1D"/>
    <w:rsid w:val="60B00639"/>
    <w:rsid w:val="60BC3607"/>
    <w:rsid w:val="60CA048F"/>
    <w:rsid w:val="60FC0761"/>
    <w:rsid w:val="611D1A4C"/>
    <w:rsid w:val="61461DEA"/>
    <w:rsid w:val="6169542C"/>
    <w:rsid w:val="61712EDB"/>
    <w:rsid w:val="61870E92"/>
    <w:rsid w:val="618E7072"/>
    <w:rsid w:val="61E37726"/>
    <w:rsid w:val="61E567AA"/>
    <w:rsid w:val="622E40FA"/>
    <w:rsid w:val="624A6990"/>
    <w:rsid w:val="62650862"/>
    <w:rsid w:val="62755FDB"/>
    <w:rsid w:val="62B871D6"/>
    <w:rsid w:val="63331680"/>
    <w:rsid w:val="6358480C"/>
    <w:rsid w:val="63616199"/>
    <w:rsid w:val="63B773F7"/>
    <w:rsid w:val="63BD54EC"/>
    <w:rsid w:val="63C55EBE"/>
    <w:rsid w:val="63F70F2B"/>
    <w:rsid w:val="645D573E"/>
    <w:rsid w:val="64634251"/>
    <w:rsid w:val="648C1D90"/>
    <w:rsid w:val="650773F3"/>
    <w:rsid w:val="651C3E24"/>
    <w:rsid w:val="65330DDA"/>
    <w:rsid w:val="65444172"/>
    <w:rsid w:val="65453DB0"/>
    <w:rsid w:val="654A5CBA"/>
    <w:rsid w:val="654C4079"/>
    <w:rsid w:val="655C0B7A"/>
    <w:rsid w:val="65667B55"/>
    <w:rsid w:val="657213FC"/>
    <w:rsid w:val="659D5AC4"/>
    <w:rsid w:val="65A11084"/>
    <w:rsid w:val="65BC7EFB"/>
    <w:rsid w:val="65BF28D0"/>
    <w:rsid w:val="65CB435F"/>
    <w:rsid w:val="65E85810"/>
    <w:rsid w:val="65F52DD0"/>
    <w:rsid w:val="66277C26"/>
    <w:rsid w:val="663626B1"/>
    <w:rsid w:val="669FFCBE"/>
    <w:rsid w:val="66B35ADA"/>
    <w:rsid w:val="66BA2932"/>
    <w:rsid w:val="66D02916"/>
    <w:rsid w:val="66FF03D5"/>
    <w:rsid w:val="67133B87"/>
    <w:rsid w:val="671C39B6"/>
    <w:rsid w:val="67212F61"/>
    <w:rsid w:val="676E7F3D"/>
    <w:rsid w:val="67754D90"/>
    <w:rsid w:val="679E0379"/>
    <w:rsid w:val="679F1971"/>
    <w:rsid w:val="67E16194"/>
    <w:rsid w:val="67F01206"/>
    <w:rsid w:val="68311231"/>
    <w:rsid w:val="68355AD3"/>
    <w:rsid w:val="687F4DDE"/>
    <w:rsid w:val="68824879"/>
    <w:rsid w:val="688F1590"/>
    <w:rsid w:val="689B282D"/>
    <w:rsid w:val="68CA7D9D"/>
    <w:rsid w:val="68D02803"/>
    <w:rsid w:val="691654D9"/>
    <w:rsid w:val="69187F79"/>
    <w:rsid w:val="693D1CA6"/>
    <w:rsid w:val="694552DC"/>
    <w:rsid w:val="694E2B74"/>
    <w:rsid w:val="69A4094C"/>
    <w:rsid w:val="6A0720EC"/>
    <w:rsid w:val="6A0E4E95"/>
    <w:rsid w:val="6A336996"/>
    <w:rsid w:val="6A584189"/>
    <w:rsid w:val="6A766412"/>
    <w:rsid w:val="6A8B7E5B"/>
    <w:rsid w:val="6AB97AD1"/>
    <w:rsid w:val="6ABF84C9"/>
    <w:rsid w:val="6AC27AE8"/>
    <w:rsid w:val="6AE67270"/>
    <w:rsid w:val="6AF4482C"/>
    <w:rsid w:val="6AFE1DBC"/>
    <w:rsid w:val="6B0C4630"/>
    <w:rsid w:val="6B3621E4"/>
    <w:rsid w:val="6B768D55"/>
    <w:rsid w:val="6B7D2DD2"/>
    <w:rsid w:val="6B824FBF"/>
    <w:rsid w:val="6B880FF7"/>
    <w:rsid w:val="6B8922FC"/>
    <w:rsid w:val="6BAE389A"/>
    <w:rsid w:val="6BAF0B71"/>
    <w:rsid w:val="6BBB1626"/>
    <w:rsid w:val="6BD64235"/>
    <w:rsid w:val="6BFB3802"/>
    <w:rsid w:val="6BFF7765"/>
    <w:rsid w:val="6C707D2D"/>
    <w:rsid w:val="6C791DB5"/>
    <w:rsid w:val="6C807E94"/>
    <w:rsid w:val="6CAD3450"/>
    <w:rsid w:val="6CCA1DA6"/>
    <w:rsid w:val="6CE9D5EF"/>
    <w:rsid w:val="6CF65770"/>
    <w:rsid w:val="6D0D2768"/>
    <w:rsid w:val="6D235432"/>
    <w:rsid w:val="6D4C2FBC"/>
    <w:rsid w:val="6D8F100A"/>
    <w:rsid w:val="6D901489"/>
    <w:rsid w:val="6D944080"/>
    <w:rsid w:val="6DD462D4"/>
    <w:rsid w:val="6E000787"/>
    <w:rsid w:val="6E033702"/>
    <w:rsid w:val="6E136122"/>
    <w:rsid w:val="6E202B8B"/>
    <w:rsid w:val="6E420C28"/>
    <w:rsid w:val="6E534B3E"/>
    <w:rsid w:val="6E610242"/>
    <w:rsid w:val="6EB312A2"/>
    <w:rsid w:val="6EE012E3"/>
    <w:rsid w:val="6EEA1A1D"/>
    <w:rsid w:val="6F042F5B"/>
    <w:rsid w:val="6F1005C4"/>
    <w:rsid w:val="6F130B60"/>
    <w:rsid w:val="6F190213"/>
    <w:rsid w:val="6F1F4B0D"/>
    <w:rsid w:val="6F5523AF"/>
    <w:rsid w:val="6F6B6383"/>
    <w:rsid w:val="6F92180A"/>
    <w:rsid w:val="6F951F66"/>
    <w:rsid w:val="6FAC50F7"/>
    <w:rsid w:val="6FAF781B"/>
    <w:rsid w:val="6FB761FE"/>
    <w:rsid w:val="6FD40970"/>
    <w:rsid w:val="70A95BEB"/>
    <w:rsid w:val="70B12664"/>
    <w:rsid w:val="70B43926"/>
    <w:rsid w:val="70BC57A8"/>
    <w:rsid w:val="70DD1E3C"/>
    <w:rsid w:val="70DD38BD"/>
    <w:rsid w:val="70DF2F53"/>
    <w:rsid w:val="70F46266"/>
    <w:rsid w:val="70FFF52D"/>
    <w:rsid w:val="71162407"/>
    <w:rsid w:val="7156194F"/>
    <w:rsid w:val="7163403E"/>
    <w:rsid w:val="717016AA"/>
    <w:rsid w:val="717C1131"/>
    <w:rsid w:val="71877E35"/>
    <w:rsid w:val="71A06199"/>
    <w:rsid w:val="71E80E9A"/>
    <w:rsid w:val="71F5585E"/>
    <w:rsid w:val="71FE1F10"/>
    <w:rsid w:val="7219088D"/>
    <w:rsid w:val="72490608"/>
    <w:rsid w:val="724A0C0D"/>
    <w:rsid w:val="72826E72"/>
    <w:rsid w:val="72BC6C8E"/>
    <w:rsid w:val="72E178B6"/>
    <w:rsid w:val="72F83F36"/>
    <w:rsid w:val="7301789C"/>
    <w:rsid w:val="73035479"/>
    <w:rsid w:val="730A49CC"/>
    <w:rsid w:val="731D2368"/>
    <w:rsid w:val="73202389"/>
    <w:rsid w:val="733A2887"/>
    <w:rsid w:val="734E3393"/>
    <w:rsid w:val="73931837"/>
    <w:rsid w:val="739921B8"/>
    <w:rsid w:val="73C7778D"/>
    <w:rsid w:val="73E3E4B9"/>
    <w:rsid w:val="73EF8851"/>
    <w:rsid w:val="73F47B5B"/>
    <w:rsid w:val="74037DBB"/>
    <w:rsid w:val="741B5BB7"/>
    <w:rsid w:val="74BA1EED"/>
    <w:rsid w:val="74CA4A29"/>
    <w:rsid w:val="74D15DEC"/>
    <w:rsid w:val="74E1077C"/>
    <w:rsid w:val="74E6EF87"/>
    <w:rsid w:val="75025345"/>
    <w:rsid w:val="751C6FDC"/>
    <w:rsid w:val="752C55F8"/>
    <w:rsid w:val="753352D6"/>
    <w:rsid w:val="755E2ACD"/>
    <w:rsid w:val="758375D1"/>
    <w:rsid w:val="75980597"/>
    <w:rsid w:val="75DE78F4"/>
    <w:rsid w:val="76342701"/>
    <w:rsid w:val="76393596"/>
    <w:rsid w:val="763B5B08"/>
    <w:rsid w:val="767072ED"/>
    <w:rsid w:val="768936BE"/>
    <w:rsid w:val="76975293"/>
    <w:rsid w:val="769BBCA6"/>
    <w:rsid w:val="76A26D24"/>
    <w:rsid w:val="76B78FBB"/>
    <w:rsid w:val="76BC35DB"/>
    <w:rsid w:val="76E3201A"/>
    <w:rsid w:val="76E74354"/>
    <w:rsid w:val="76F167B0"/>
    <w:rsid w:val="76F44AD0"/>
    <w:rsid w:val="76F70991"/>
    <w:rsid w:val="776B5D95"/>
    <w:rsid w:val="777F002C"/>
    <w:rsid w:val="777F37B4"/>
    <w:rsid w:val="778F5D05"/>
    <w:rsid w:val="77CA0CEF"/>
    <w:rsid w:val="77E11C02"/>
    <w:rsid w:val="77E67D42"/>
    <w:rsid w:val="77E872FF"/>
    <w:rsid w:val="77FC7CE8"/>
    <w:rsid w:val="785BCB37"/>
    <w:rsid w:val="78783BD3"/>
    <w:rsid w:val="787B46DE"/>
    <w:rsid w:val="789C51A5"/>
    <w:rsid w:val="78DF6E30"/>
    <w:rsid w:val="78E31B5E"/>
    <w:rsid w:val="79652605"/>
    <w:rsid w:val="797F35DD"/>
    <w:rsid w:val="79B66AB8"/>
    <w:rsid w:val="79B742FF"/>
    <w:rsid w:val="79E80231"/>
    <w:rsid w:val="79FF1631"/>
    <w:rsid w:val="7A0B7A1A"/>
    <w:rsid w:val="7A312E32"/>
    <w:rsid w:val="7A5B39F5"/>
    <w:rsid w:val="7A8269D5"/>
    <w:rsid w:val="7A9F6BA2"/>
    <w:rsid w:val="7ABE6EF5"/>
    <w:rsid w:val="7AC93E80"/>
    <w:rsid w:val="7ADB7DC1"/>
    <w:rsid w:val="7AFE33EE"/>
    <w:rsid w:val="7B10294B"/>
    <w:rsid w:val="7B452056"/>
    <w:rsid w:val="7B77DB40"/>
    <w:rsid w:val="7B7B1EF2"/>
    <w:rsid w:val="7B857C2E"/>
    <w:rsid w:val="7B9B5736"/>
    <w:rsid w:val="7BBBA35E"/>
    <w:rsid w:val="7BD3FD46"/>
    <w:rsid w:val="7BE20172"/>
    <w:rsid w:val="7BED5DBB"/>
    <w:rsid w:val="7BFE4797"/>
    <w:rsid w:val="7C0E23D7"/>
    <w:rsid w:val="7C20309D"/>
    <w:rsid w:val="7C244A77"/>
    <w:rsid w:val="7C8FEC5C"/>
    <w:rsid w:val="7CBEEEE4"/>
    <w:rsid w:val="7CCA5158"/>
    <w:rsid w:val="7CFB221F"/>
    <w:rsid w:val="7CFE85EC"/>
    <w:rsid w:val="7D0B25B3"/>
    <w:rsid w:val="7D5D4EC8"/>
    <w:rsid w:val="7DE4387E"/>
    <w:rsid w:val="7DEFA3DD"/>
    <w:rsid w:val="7E0C094B"/>
    <w:rsid w:val="7E6D6866"/>
    <w:rsid w:val="7E7F873B"/>
    <w:rsid w:val="7E9B3BF2"/>
    <w:rsid w:val="7EBA77DA"/>
    <w:rsid w:val="7EBF7D63"/>
    <w:rsid w:val="7EC47386"/>
    <w:rsid w:val="7EEC2EC3"/>
    <w:rsid w:val="7EEE3152"/>
    <w:rsid w:val="7EEF13AE"/>
    <w:rsid w:val="7EF5E237"/>
    <w:rsid w:val="7F1D2FEF"/>
    <w:rsid w:val="7F2461B1"/>
    <w:rsid w:val="7F2B5A22"/>
    <w:rsid w:val="7F46622B"/>
    <w:rsid w:val="7F47795F"/>
    <w:rsid w:val="7F5DA9EC"/>
    <w:rsid w:val="7F6276C1"/>
    <w:rsid w:val="7F83DD99"/>
    <w:rsid w:val="7F93BB23"/>
    <w:rsid w:val="7F97337D"/>
    <w:rsid w:val="7FA01C66"/>
    <w:rsid w:val="7FC1391C"/>
    <w:rsid w:val="7FC27B46"/>
    <w:rsid w:val="7FC95A43"/>
    <w:rsid w:val="7FCE30BB"/>
    <w:rsid w:val="7FDB8EE0"/>
    <w:rsid w:val="7FE273C3"/>
    <w:rsid w:val="7FE505A1"/>
    <w:rsid w:val="7FED8D4C"/>
    <w:rsid w:val="7FF43764"/>
    <w:rsid w:val="7FFA561D"/>
    <w:rsid w:val="7FFB7ED0"/>
    <w:rsid w:val="7FFDC3B5"/>
    <w:rsid w:val="7FFE16CF"/>
    <w:rsid w:val="7FFF3A3F"/>
    <w:rsid w:val="7FFF9ED8"/>
    <w:rsid w:val="8BF9322F"/>
    <w:rsid w:val="8EDB0C2A"/>
    <w:rsid w:val="9EB77B36"/>
    <w:rsid w:val="9FFFD439"/>
    <w:rsid w:val="A1FF2F37"/>
    <w:rsid w:val="A3EBD53D"/>
    <w:rsid w:val="A699725E"/>
    <w:rsid w:val="AFDEE46A"/>
    <w:rsid w:val="B3EFD338"/>
    <w:rsid w:val="B6EA8F20"/>
    <w:rsid w:val="B6FB2D91"/>
    <w:rsid w:val="B77F9E2D"/>
    <w:rsid w:val="B7FE2F47"/>
    <w:rsid w:val="B9D9F91A"/>
    <w:rsid w:val="BAFD01AF"/>
    <w:rsid w:val="BDB0B914"/>
    <w:rsid w:val="BDEB109F"/>
    <w:rsid w:val="BEA40087"/>
    <w:rsid w:val="BEAB83F4"/>
    <w:rsid w:val="BEDED3C4"/>
    <w:rsid w:val="BEEE6128"/>
    <w:rsid w:val="BF66C59D"/>
    <w:rsid w:val="BFAC4A91"/>
    <w:rsid w:val="BFDC5829"/>
    <w:rsid w:val="BFEF898F"/>
    <w:rsid w:val="BFFAF7B2"/>
    <w:rsid w:val="CBBF6414"/>
    <w:rsid w:val="CFB5E7BC"/>
    <w:rsid w:val="CFFFD43A"/>
    <w:rsid w:val="D69F2B18"/>
    <w:rsid w:val="D7F62196"/>
    <w:rsid w:val="DBFE3B9F"/>
    <w:rsid w:val="DD9F697C"/>
    <w:rsid w:val="DDF34E87"/>
    <w:rsid w:val="DEF24F3C"/>
    <w:rsid w:val="DF2F60A2"/>
    <w:rsid w:val="DF3D2F7A"/>
    <w:rsid w:val="DFBD002C"/>
    <w:rsid w:val="DFFFE2E1"/>
    <w:rsid w:val="DFFFEAB5"/>
    <w:rsid w:val="E3D7302F"/>
    <w:rsid w:val="E3F5FAF1"/>
    <w:rsid w:val="E5B6D677"/>
    <w:rsid w:val="E79A6816"/>
    <w:rsid w:val="E9A7C55C"/>
    <w:rsid w:val="EA9708C2"/>
    <w:rsid w:val="EAD98538"/>
    <w:rsid w:val="EB7D8EE5"/>
    <w:rsid w:val="EBDFABB4"/>
    <w:rsid w:val="EC7AFA1B"/>
    <w:rsid w:val="EDD73CC1"/>
    <w:rsid w:val="EFEE8288"/>
    <w:rsid w:val="EFFDE507"/>
    <w:rsid w:val="F21E92F8"/>
    <w:rsid w:val="F5549FF6"/>
    <w:rsid w:val="F5708719"/>
    <w:rsid w:val="F7D746BE"/>
    <w:rsid w:val="F7ECFCAD"/>
    <w:rsid w:val="F7F32B3A"/>
    <w:rsid w:val="F7F54762"/>
    <w:rsid w:val="F7F715C8"/>
    <w:rsid w:val="F96F4419"/>
    <w:rsid w:val="F9BB1C4B"/>
    <w:rsid w:val="F9BD50DD"/>
    <w:rsid w:val="F9FB9855"/>
    <w:rsid w:val="FBAE2717"/>
    <w:rsid w:val="FBBFAD08"/>
    <w:rsid w:val="FBD33B23"/>
    <w:rsid w:val="FCE74A38"/>
    <w:rsid w:val="FCF5539C"/>
    <w:rsid w:val="FD1A7C42"/>
    <w:rsid w:val="FDBBBB4E"/>
    <w:rsid w:val="FDBFDC08"/>
    <w:rsid w:val="FEBDF7C0"/>
    <w:rsid w:val="FEDB14AC"/>
    <w:rsid w:val="FEDCFBDA"/>
    <w:rsid w:val="FEEFD082"/>
    <w:rsid w:val="FEFEED81"/>
    <w:rsid w:val="FEFFE43B"/>
    <w:rsid w:val="FF1F750C"/>
    <w:rsid w:val="FF5922B3"/>
    <w:rsid w:val="FF69CA15"/>
    <w:rsid w:val="FF7E6A76"/>
    <w:rsid w:val="FF7F608F"/>
    <w:rsid w:val="FF7FCFE2"/>
    <w:rsid w:val="FF7FE809"/>
    <w:rsid w:val="FF9FEE15"/>
    <w:rsid w:val="FFDEC7B3"/>
    <w:rsid w:val="FFE6C5B7"/>
    <w:rsid w:val="FFEECAE7"/>
    <w:rsid w:val="FFF1695C"/>
    <w:rsid w:val="FFF390CB"/>
    <w:rsid w:val="FFF779A8"/>
    <w:rsid w:val="FFFD69C9"/>
    <w:rsid w:val="FFFF09EF"/>
    <w:rsid w:val="FFFF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99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340" w:beforeLines="0" w:after="330" w:afterLines="0" w:line="576" w:lineRule="auto"/>
      <w:outlineLvl w:val="0"/>
    </w:pPr>
    <w:rPr>
      <w:rFonts w:hint="eastAsia"/>
      <w:b/>
      <w:kern w:val="44"/>
      <w:sz w:val="44"/>
    </w:rPr>
  </w:style>
  <w:style w:type="paragraph" w:styleId="5">
    <w:name w:val="heading 2"/>
    <w:next w:val="1"/>
    <w:qFormat/>
    <w:locked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7">
    <w:name w:val="Default Paragraph Font"/>
    <w:unhideWhenUsed/>
    <w:qFormat/>
    <w:uiPriority w:val="99"/>
    <w:rPr>
      <w:rFonts w:hint="default"/>
    </w:rPr>
  </w:style>
  <w:style w:type="table" w:default="1" w:styleId="15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beforeLines="0" w:afterLines="0"/>
    </w:pPr>
    <w:rPr>
      <w:rFonts w:hint="eastAsia"/>
      <w:sz w:val="21"/>
    </w:rPr>
  </w:style>
  <w:style w:type="paragraph" w:styleId="6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8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11">
    <w:name w:val="Body Text 2"/>
    <w:basedOn w:val="1"/>
    <w:unhideWhenUsed/>
    <w:qFormat/>
    <w:uiPriority w:val="99"/>
    <w:pPr>
      <w:spacing w:beforeLines="0" w:after="120" w:afterLines="0" w:line="480" w:lineRule="auto"/>
    </w:pPr>
    <w:rPr>
      <w:rFonts w:hint="eastAsia"/>
      <w:sz w:val="21"/>
    </w:rPr>
  </w:style>
  <w:style w:type="paragraph" w:styleId="1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Lines="0" w:afterLines="0"/>
      <w:ind w:left="1080" w:leftChars="500" w:hanging="1080" w:hangingChars="500"/>
    </w:pPr>
    <w:rPr>
      <w:rFonts w:hint="eastAsia" w:ascii="Cambria" w:hAnsi="Cambria"/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styleId="14">
    <w:name w:val="Title"/>
    <w:qFormat/>
    <w:locked/>
    <w:uiPriority w:val="1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6">
    <w:name w:val="Table Grid"/>
    <w:basedOn w:val="1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page number"/>
    <w:basedOn w:val="17"/>
    <w:unhideWhenUsed/>
    <w:qFormat/>
    <w:uiPriority w:val="99"/>
    <w:rPr>
      <w:rFonts w:hint="default" w:ascii="Times New Roman"/>
    </w:rPr>
  </w:style>
  <w:style w:type="character" w:styleId="19">
    <w:name w:val="Hyperlink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character" w:customStyle="1" w:styleId="20">
    <w:name w:val="页脚 字符"/>
    <w:link w:val="9"/>
    <w:unhideWhenUsed/>
    <w:qFormat/>
    <w:locked/>
    <w:uiPriority w:val="99"/>
    <w:rPr>
      <w:rFonts w:hint="eastAsia" w:ascii="Calibri" w:hAnsi="Calibri" w:eastAsia="宋体"/>
      <w:kern w:val="2"/>
      <w:sz w:val="18"/>
    </w:rPr>
  </w:style>
  <w:style w:type="character" w:customStyle="1" w:styleId="21">
    <w:name w:val="页眉 字符"/>
    <w:link w:val="10"/>
    <w:unhideWhenUsed/>
    <w:qFormat/>
    <w:locked/>
    <w:uiPriority w:val="99"/>
    <w:rPr>
      <w:rFonts w:hint="eastAsia" w:ascii="Calibri" w:hAnsi="Calibri" w:eastAsia="宋体"/>
      <w:kern w:val="2"/>
      <w:sz w:val="18"/>
    </w:rPr>
  </w:style>
  <w:style w:type="character" w:customStyle="1" w:styleId="22">
    <w:name w:val="font21"/>
    <w:unhideWhenUsed/>
    <w:qFormat/>
    <w:uiPriority w:val="99"/>
    <w:rPr>
      <w:rFonts w:hint="eastAsia" w:ascii="宋体" w:hAnsi="宋体" w:eastAsia="宋体"/>
      <w:color w:val="000000"/>
      <w:sz w:val="24"/>
    </w:rPr>
  </w:style>
  <w:style w:type="character" w:customStyle="1" w:styleId="23">
    <w:name w:val="font01"/>
    <w:unhideWhenUsed/>
    <w:qFormat/>
    <w:uiPriority w:val="99"/>
    <w:rPr>
      <w:rFonts w:hint="eastAsia" w:ascii="宋体" w:hAnsi="宋体" w:eastAsia="宋体"/>
      <w:b/>
      <w:color w:val="000000"/>
      <w:sz w:val="24"/>
    </w:rPr>
  </w:style>
  <w:style w:type="character" w:customStyle="1" w:styleId="24">
    <w:name w:val="NormalCharacter"/>
    <w:qFormat/>
    <w:uiPriority w:val="0"/>
    <w:rPr>
      <w:rFonts w:ascii="Calibri" w:hAnsi="Calibri" w:eastAsia="宋体"/>
    </w:r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表格标题序号"/>
    <w:basedOn w:val="1"/>
    <w:qFormat/>
    <w:uiPriority w:val="0"/>
    <w:rPr>
      <w:rFonts w:ascii="Times New Roman" w:hAnsi="Times New Roman"/>
    </w:rPr>
  </w:style>
  <w:style w:type="paragraph" w:customStyle="1" w:styleId="27">
    <w:name w:val="水保正文"/>
    <w:next w:val="1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8"/>
      <w:lang w:val="en-US" w:eastAsia="zh-CN" w:bidi="ar-SA"/>
    </w:rPr>
  </w:style>
  <w:style w:type="paragraph" w:customStyle="1" w:styleId="28">
    <w:name w:val="表格文字"/>
    <w:basedOn w:val="3"/>
    <w:next w:val="1"/>
    <w:qFormat/>
    <w:uiPriority w:val="0"/>
    <w:pPr>
      <w:widowControl/>
      <w:tabs>
        <w:tab w:val="left" w:pos="-24"/>
      </w:tabs>
      <w:spacing w:line="0" w:lineRule="atLeast"/>
      <w:ind w:firstLine="0" w:firstLineChars="0"/>
      <w:jc w:val="center"/>
      <w:textAlignment w:val="baseline"/>
    </w:pPr>
    <w:rPr>
      <w:color w:val="000000"/>
      <w:sz w:val="21"/>
      <w:szCs w:val="20"/>
      <w:u w:val="none" w:color="000000"/>
    </w:rPr>
  </w:style>
  <w:style w:type="paragraph" w:customStyle="1" w:styleId="29">
    <w:name w:val="表格内容"/>
    <w:basedOn w:val="1"/>
    <w:qFormat/>
    <w:uiPriority w:val="0"/>
    <w:pPr>
      <w:adjustRightInd w:val="0"/>
      <w:spacing w:line="400" w:lineRule="exact"/>
      <w:jc w:val="center"/>
      <w:textAlignment w:val="baseline"/>
    </w:pPr>
    <w:rPr>
      <w:rFonts w:ascii="宋体" w:hAnsi="宋体"/>
      <w:color w:val="000000"/>
      <w:sz w:val="18"/>
      <w:szCs w:val="21"/>
    </w:rPr>
  </w:style>
  <w:style w:type="paragraph" w:customStyle="1" w:styleId="3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paragraph" w:customStyle="1" w:styleId="32">
    <w:name w:val="表格标题文字"/>
    <w:basedOn w:val="1"/>
    <w:next w:val="26"/>
    <w:qFormat/>
    <w:uiPriority w:val="0"/>
    <w:pPr>
      <w:ind w:firstLine="0" w:firstLineChars="0"/>
      <w:jc w:val="center"/>
    </w:pPr>
  </w:style>
  <w:style w:type="paragraph" w:customStyle="1" w:styleId="33">
    <w:name w:val="正文 首行缩进:  2 字符"/>
    <w:qFormat/>
    <w:uiPriority w:val="0"/>
    <w:pPr>
      <w:spacing w:line="500" w:lineRule="exact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34">
    <w:name w:val="样式 表格文字 + 宋体"/>
    <w:basedOn w:val="28"/>
    <w:qFormat/>
    <w:uiPriority w:val="0"/>
    <w:rPr>
      <w:rFonts w:ascii="宋体"/>
    </w:rPr>
  </w:style>
  <w:style w:type="paragraph" w:customStyle="1" w:styleId="35">
    <w:name w:val="正文缩2"/>
    <w:qFormat/>
    <w:uiPriority w:val="0"/>
    <w:pPr>
      <w:spacing w:line="360" w:lineRule="auto"/>
      <w:ind w:firstLine="240" w:firstLineChars="100"/>
    </w:pPr>
    <w:rPr>
      <w:rFonts w:ascii="Times New Roman" w:hAnsi="Times New Roman" w:eastAsia="宋体" w:cs="Times New Roman"/>
      <w:color w:val="FF0000"/>
      <w:sz w:val="24"/>
      <w:szCs w:val="24"/>
      <w:lang w:val="en-US" w:eastAsia="zh-CN" w:bidi="ar-SA"/>
    </w:rPr>
  </w:style>
  <w:style w:type="paragraph" w:customStyle="1" w:styleId="36">
    <w:name w:val="列出段落"/>
    <w:basedOn w:val="1"/>
    <w:qFormat/>
    <w:uiPriority w:val="0"/>
    <w:pPr>
      <w:ind w:firstLine="420" w:firstLineChars="200"/>
    </w:pPr>
    <w:rPr>
      <w:rFonts w:hint="default"/>
      <w:szCs w:val="22"/>
    </w:rPr>
  </w:style>
  <w:style w:type="paragraph" w:customStyle="1" w:styleId="37">
    <w:name w:val="表格文本"/>
    <w:basedOn w:val="1"/>
    <w:next w:val="1"/>
    <w:qFormat/>
    <w:uiPriority w:val="0"/>
    <w:pPr>
      <w:adjustRightInd w:val="0"/>
      <w:snapToGrid w:val="0"/>
      <w:spacing w:line="460" w:lineRule="exact"/>
      <w:ind w:firstLine="200" w:firstLineChars="200"/>
      <w:jc w:val="center"/>
    </w:pPr>
    <w:rPr>
      <w:rFonts w:ascii="Calibri" w:hAnsi="Calibri" w:cs="Times New Roman"/>
      <w:color w:val="000000"/>
      <w:szCs w:val="21"/>
    </w:rPr>
  </w:style>
  <w:style w:type="paragraph" w:customStyle="1" w:styleId="38">
    <w:name w:val="报告书正标题"/>
    <w:basedOn w:val="1"/>
    <w:qFormat/>
    <w:uiPriority w:val="0"/>
    <w:pPr>
      <w:widowControl/>
      <w:tabs>
        <w:tab w:val="left" w:pos="-24"/>
      </w:tabs>
      <w:spacing w:before="120" w:after="120"/>
      <w:jc w:val="center"/>
      <w:textAlignment w:val="baseline"/>
    </w:pPr>
    <w:rPr>
      <w:rFonts w:ascii="黑体" w:hAnsi="宋体" w:eastAsia="黑体"/>
      <w:color w:val="000000"/>
      <w:spacing w:val="120"/>
      <w:kern w:val="0"/>
      <w:sz w:val="72"/>
      <w:szCs w:val="20"/>
      <w:u w:val="none" w:color="000000"/>
    </w:rPr>
  </w:style>
  <w:style w:type="paragraph" w:customStyle="1" w:styleId="39">
    <w:name w:val="p18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0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仿宋_GB2312" w:hAnsi="Calibri" w:eastAsia="仿宋_GB2312" w:cs="Times New Roman"/>
      <w:color w:val="000000"/>
      <w:sz w:val="24"/>
      <w:lang w:val="en-US" w:eastAsia="zh-CN" w:bidi="ar-SA"/>
    </w:rPr>
  </w:style>
  <w:style w:type="paragraph" w:customStyle="1" w:styleId="41">
    <w:name w:val="表格样式"/>
    <w:basedOn w:val="1"/>
    <w:qFormat/>
    <w:uiPriority w:val="0"/>
    <w:pPr>
      <w:spacing w:line="240" w:lineRule="auto"/>
      <w:ind w:firstLine="0" w:firstLineChars="0"/>
      <w:jc w:val="center"/>
      <w:textAlignment w:val="center"/>
    </w:pPr>
    <w:rPr>
      <w:rFonts w:ascii="Times New Roman" w:hAnsi="Times New Roman" w:eastAsia="仿宋" w:cs="Times New Roman"/>
      <w:sz w:val="21"/>
    </w:rPr>
  </w:style>
  <w:style w:type="paragraph" w:customStyle="1" w:styleId="42">
    <w:name w:val="正文1"/>
    <w:basedOn w:val="1"/>
    <w:qFormat/>
    <w:uiPriority w:val="0"/>
    <w:pPr>
      <w:spacing w:line="460" w:lineRule="atLeast"/>
    </w:pPr>
    <w:rPr>
      <w:rFonts w:ascii="宋体"/>
      <w:sz w:val="28"/>
    </w:rPr>
  </w:style>
  <w:style w:type="paragraph" w:customStyle="1" w:styleId="43">
    <w:name w:val="表格10号"/>
    <w:basedOn w:val="44"/>
    <w:qFormat/>
    <w:uiPriority w:val="0"/>
    <w:pPr>
      <w:widowControl w:val="0"/>
    </w:pPr>
    <w:rPr>
      <w:kern w:val="2"/>
      <w:sz w:val="20"/>
      <w:szCs w:val="28"/>
    </w:rPr>
  </w:style>
  <w:style w:type="paragraph" w:customStyle="1" w:styleId="44">
    <w:name w:val="表格"/>
    <w:basedOn w:val="45"/>
    <w:qFormat/>
    <w:uiPriority w:val="0"/>
    <w:pPr>
      <w:keepLines/>
      <w:widowControl/>
      <w:adjustRightInd w:val="0"/>
      <w:snapToGrid w:val="0"/>
      <w:spacing w:line="240" w:lineRule="auto"/>
      <w:ind w:firstLine="0" w:firstLineChars="0"/>
      <w:jc w:val="center"/>
    </w:pPr>
    <w:rPr>
      <w:bCs/>
      <w:kern w:val="0"/>
      <w:sz w:val="22"/>
      <w:szCs w:val="20"/>
    </w:rPr>
  </w:style>
  <w:style w:type="paragraph" w:customStyle="1" w:styleId="45">
    <w:name w:val="表文字"/>
    <w:basedOn w:val="1"/>
    <w:next w:val="1"/>
    <w:qFormat/>
    <w:uiPriority w:val="0"/>
    <w:pPr>
      <w:widowControl/>
      <w:adjustRightInd w:val="0"/>
      <w:spacing w:line="240" w:lineRule="exact"/>
      <w:ind w:firstLine="0" w:firstLineChars="0"/>
      <w:jc w:val="center"/>
    </w:pPr>
    <w:rPr>
      <w:color w:val="auto"/>
      <w:kern w:val="0"/>
      <w:sz w:val="18"/>
      <w:szCs w:val="18"/>
    </w:rPr>
  </w:style>
  <w:style w:type="paragraph" w:customStyle="1" w:styleId="46">
    <w:name w:val="08表格-20"/>
    <w:basedOn w:val="1"/>
    <w:next w:val="1"/>
    <w:qFormat/>
    <w:uiPriority w:val="8"/>
    <w:pPr>
      <w:spacing w:line="240" w:lineRule="exact"/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2576</Words>
  <Characters>2999</Characters>
  <Lines>23</Lines>
  <Paragraphs>6</Paragraphs>
  <TotalTime>12</TotalTime>
  <ScaleCrop>false</ScaleCrop>
  <LinksUpToDate>false</LinksUpToDate>
  <CharactersWithSpaces>3035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2021-01-10T00:56:00Z</dcterms:created>
  <dc:creator>管理员</dc:creator>
  <cp:lastModifiedBy>${userName!}</cp:lastModifiedBy>
  <cp:lastPrinted>2025-03-26T00:18:00Z</cp:lastPrinted>
  <dcterms:modified xsi:type="dcterms:W3CDTF">2025-12-16T07:41:34Z</dcterms:modified>
  <dc:title>重庆市荣昌区水利局文件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9208B7337C7541F4A7B417E8A337FA2B_13</vt:lpwstr>
  </property>
  <property fmtid="{D5CDD505-2E9C-101B-9397-08002B2CF9AE}" pid="4" name="KSOTemplateDocerSaveRecord">
    <vt:lpwstr>eyJoZGlkIjoiZDA2NDAxODdiZDZlYTg0NTUyMzExYTVmZjVkZTM5ODkiLCJ1c2VySWQiOiIxMDY5NDc1MDM0In0=</vt:lpwstr>
  </property>
</Properties>
</file>