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32"/>
        </w:rPr>
      </w:pPr>
    </w:p>
    <w:p>
      <w:pPr>
        <w:pStyle w:val="14"/>
        <w:bidi w:val="0"/>
        <w:rPr>
          <w:rFonts w:hint="eastAsia"/>
        </w:rPr>
      </w:pPr>
      <w:bookmarkStart w:id="0" w:name="_GoBack"/>
      <w:r>
        <w:rPr>
          <w:rFonts w:hint="eastAsia"/>
        </w:rPr>
        <w:t>重庆市荣昌区水利局</w:t>
      </w:r>
    </w:p>
    <w:p>
      <w:pPr>
        <w:pStyle w:val="14"/>
        <w:bidi w:val="0"/>
        <w:rPr>
          <w:rFonts w:hint="eastAsia"/>
          <w:lang w:eastAsia="zh-CN"/>
        </w:rPr>
      </w:pPr>
      <w:r>
        <w:rPr>
          <w:rFonts w:hint="eastAsia"/>
        </w:rPr>
        <w:t>关于同意重庆市荣昌区</w:t>
      </w:r>
      <w:r>
        <w:rPr>
          <w:rFonts w:hint="eastAsia"/>
          <w:lang w:eastAsia="zh-CN"/>
        </w:rPr>
        <w:t>清</w:t>
      </w:r>
      <w:r>
        <w:rPr>
          <w:rFonts w:hint="eastAsia"/>
        </w:rPr>
        <w:t>源供水有限公司</w:t>
      </w:r>
    </w:p>
    <w:p>
      <w:pPr>
        <w:pStyle w:val="14"/>
        <w:bidi w:val="0"/>
        <w:rPr>
          <w:rFonts w:hint="eastAsia"/>
        </w:rPr>
      </w:pPr>
      <w:r>
        <w:rPr>
          <w:rFonts w:hint="eastAsia"/>
        </w:rPr>
        <w:t>延续取水行政许可的决定</w:t>
      </w:r>
    </w:p>
    <w:bookmarkEnd w:id="0"/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beforeLines="0" w:afterLines="0" w:line="240" w:lineRule="auto"/>
        <w:jc w:val="both"/>
        <w:textAlignment w:val="auto"/>
        <w:rPr>
          <w:rFonts w:hint="default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firstLine="0" w:firstLineChars="0"/>
        <w:jc w:val="both"/>
        <w:textAlignment w:val="auto"/>
        <w:rPr>
          <w:rFonts w:hint="default"/>
        </w:rPr>
      </w:pPr>
      <w:r>
        <w:rPr>
          <w:rFonts w:hint="eastAsia"/>
          <w:lang w:eastAsia="zh-CN"/>
        </w:rPr>
        <w:t>重庆市荣昌区清源供水有限公司</w:t>
      </w:r>
      <w:r>
        <w:rPr>
          <w:rFonts w:hint="default"/>
        </w:rPr>
        <w:t>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240" w:lineRule="auto"/>
        <w:jc w:val="both"/>
        <w:textAlignment w:val="auto"/>
        <w:rPr>
          <w:rFonts w:hint="eastAsia"/>
          <w:lang w:eastAsia="zh-CN"/>
        </w:rPr>
      </w:pPr>
      <w:r>
        <w:rPr>
          <w:rFonts w:hint="default"/>
        </w:rPr>
        <w:t>你</w:t>
      </w:r>
      <w:r>
        <w:rPr>
          <w:rFonts w:hint="eastAsia"/>
          <w:lang w:eastAsia="zh-CN"/>
        </w:rPr>
        <w:t>单位</w:t>
      </w:r>
      <w:r>
        <w:rPr>
          <w:rFonts w:hint="default"/>
        </w:rPr>
        <w:t>办理延续取水申请资料收悉。根据《取水许可和水资源</w:t>
      </w:r>
      <w:r>
        <w:rPr>
          <w:rFonts w:hint="eastAsia"/>
          <w:lang w:eastAsia="zh-CN"/>
        </w:rPr>
        <w:t>费</w:t>
      </w:r>
      <w:r>
        <w:rPr>
          <w:rFonts w:hint="default"/>
        </w:rPr>
        <w:t>征收管理条例》（国务院460号令）和《重庆市取水许可和</w:t>
      </w:r>
      <w:r>
        <w:rPr>
          <w:rFonts w:hint="eastAsia"/>
          <w:lang w:eastAsia="zh-CN"/>
        </w:rPr>
        <w:t>水资源费</w:t>
      </w:r>
      <w:r>
        <w:rPr>
          <w:rFonts w:hint="default"/>
        </w:rPr>
        <w:t>征收管理办法》（重庆市人民政府第158号令）</w:t>
      </w:r>
      <w:r>
        <w:rPr>
          <w:rFonts w:hint="eastAsia"/>
          <w:lang w:eastAsia="zh-CN"/>
        </w:rPr>
        <w:t>。</w:t>
      </w:r>
      <w:r>
        <w:rPr>
          <w:rFonts w:hint="default"/>
        </w:rPr>
        <w:t>经核查，我局决定同意你单位延续取水。现将有关事项批复如下</w:t>
      </w:r>
      <w:r>
        <w:rPr>
          <w:rFonts w:hint="eastAsia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240" w:lineRule="auto"/>
        <w:jc w:val="both"/>
        <w:textAlignment w:val="auto"/>
        <w:rPr>
          <w:rFonts w:hint="default"/>
        </w:rPr>
      </w:pPr>
      <w:r>
        <w:rPr>
          <w:rFonts w:hint="eastAsia"/>
          <w:lang w:eastAsia="zh-CN"/>
        </w:rPr>
        <w:t>一、同意延续取水标的。重庆市荣昌区清源供水有限公司取水点</w:t>
      </w:r>
      <w:r>
        <w:rPr>
          <w:rFonts w:hint="eastAsia"/>
        </w:rPr>
        <w:t>位于荣昌区吴家镇双流村黄桷滩大桥观胜河右岸，核定</w:t>
      </w:r>
      <w:r>
        <w:rPr>
          <w:rFonts w:hint="eastAsia"/>
          <w:lang w:eastAsia="zh-CN"/>
        </w:rPr>
        <w:t>重庆市荣昌区清源供水有限公司</w:t>
      </w:r>
      <w:r>
        <w:rPr>
          <w:rFonts w:hint="eastAsia"/>
        </w:rPr>
        <w:t>年最大取水量</w:t>
      </w:r>
      <w:r>
        <w:rPr>
          <w:rFonts w:hint="eastAsia"/>
          <w:lang w:val="en-US" w:eastAsia="zh-CN"/>
        </w:rPr>
        <w:t>94.83</w:t>
      </w:r>
      <w:r>
        <w:rPr>
          <w:rFonts w:hint="eastAsia"/>
        </w:rPr>
        <w:t>万m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，取水水源为地</w:t>
      </w:r>
      <w:r>
        <w:rPr>
          <w:rFonts w:hint="eastAsia"/>
          <w:lang w:eastAsia="zh-CN"/>
        </w:rPr>
        <w:t>表</w:t>
      </w:r>
      <w:r>
        <w:rPr>
          <w:rFonts w:hint="eastAsia"/>
        </w:rPr>
        <w:t>水，取水方式为提水，取水用途为</w:t>
      </w:r>
      <w:r>
        <w:rPr>
          <w:rFonts w:hint="eastAsia"/>
          <w:lang w:eastAsia="zh-CN"/>
        </w:rPr>
        <w:t>制水供水</w:t>
      </w:r>
      <w:r>
        <w:rPr>
          <w:rFonts w:hint="eastAsia"/>
        </w:rPr>
        <w:t>。</w:t>
      </w:r>
    </w:p>
    <w:p>
      <w:pPr>
        <w:pStyle w:val="13"/>
        <w:bidi w:val="0"/>
        <w:rPr>
          <w:rFonts w:hint="default"/>
        </w:rPr>
      </w:pPr>
      <w:r>
        <w:rPr>
          <w:rFonts w:hint="default"/>
        </w:rPr>
        <w:t>二、同意延续退水量、退水地点和退水方式。</w:t>
      </w:r>
    </w:p>
    <w:p>
      <w:pPr>
        <w:pStyle w:val="13"/>
        <w:bidi w:val="0"/>
        <w:rPr>
          <w:rFonts w:hint="default"/>
        </w:rPr>
      </w:pPr>
      <w:r>
        <w:rPr>
          <w:rFonts w:hint="default"/>
        </w:rPr>
        <w:t>三、本次延续后取水许可证有效期</w:t>
      </w:r>
      <w:r>
        <w:rPr>
          <w:rFonts w:hint="default"/>
          <w:lang w:eastAsia="zh-CN"/>
        </w:rPr>
        <w:t>至</w:t>
      </w:r>
      <w:r>
        <w:rPr>
          <w:rFonts w:hint="eastAsia"/>
          <w:lang w:val="en-US" w:eastAsia="zh-CN"/>
        </w:rPr>
        <w:t>2031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default"/>
          <w:lang w:val="en-US" w:eastAsia="zh-CN"/>
        </w:rPr>
        <w:t>日</w:t>
      </w:r>
      <w:r>
        <w:rPr>
          <w:rFonts w:hint="default"/>
        </w:rPr>
        <w:t>。有效期届满需延续取水，你单位应于有效期届满45日前，按照相关规定向我局提交延续取水申请相关材料。</w:t>
      </w:r>
    </w:p>
    <w:p>
      <w:pPr>
        <w:pStyle w:val="13"/>
        <w:bidi w:val="0"/>
        <w:rPr>
          <w:rFonts w:hint="default"/>
        </w:rPr>
      </w:pPr>
      <w:r>
        <w:rPr>
          <w:rFonts w:hint="default"/>
        </w:rPr>
        <w:t>四、本次换发的取水许可证有效期限内，若取水量、取水用途、取水水源或者取水地点、退水地点、退水量或者退水方式等取水标的发生较大改变的，你单位应按规定重新进行水资源论证和办理取水许可；若取水权人名称或法定代表人变更，应向我局提出变更申请，办理变更手续。</w:t>
      </w:r>
    </w:p>
    <w:p>
      <w:pPr>
        <w:pStyle w:val="13"/>
        <w:bidi w:val="0"/>
        <w:rPr>
          <w:rFonts w:hint="default"/>
        </w:rPr>
      </w:pPr>
      <w:r>
        <w:rPr>
          <w:rFonts w:hint="default"/>
        </w:rPr>
        <w:t>五</w:t>
      </w:r>
      <w:r>
        <w:rPr>
          <w:rFonts w:hint="eastAsia"/>
          <w:lang w:eastAsia="zh-CN"/>
        </w:rPr>
        <w:t>、</w:t>
      </w:r>
      <w:r>
        <w:rPr>
          <w:rFonts w:hint="default"/>
        </w:rPr>
        <w:t>取水日常监督管理工作由区水利局水资源与</w:t>
      </w:r>
      <w:r>
        <w:rPr>
          <w:rFonts w:hint="eastAsia"/>
          <w:lang w:eastAsia="zh-CN"/>
        </w:rPr>
        <w:t>河长制工作</w:t>
      </w:r>
      <w:r>
        <w:rPr>
          <w:rFonts w:hint="default"/>
        </w:rPr>
        <w:t>科承担。你单位应按月呈报取水量和退水量，做好取水台账及用水统计工作，按年报送年度取水情况总结、取用水台账及下一年度取水计划，按时足额缴纳</w:t>
      </w:r>
      <w:r>
        <w:rPr>
          <w:rFonts w:hint="eastAsia"/>
          <w:lang w:eastAsia="zh-CN"/>
        </w:rPr>
        <w:t>水资源税</w:t>
      </w:r>
      <w:r>
        <w:rPr>
          <w:rFonts w:hint="default"/>
        </w:rPr>
        <w:t>。</w:t>
      </w:r>
    </w:p>
    <w:p>
      <w:pPr>
        <w:pStyle w:val="13"/>
        <w:bidi w:val="0"/>
        <w:rPr>
          <w:rFonts w:hint="default"/>
        </w:rPr>
      </w:pPr>
      <w:r>
        <w:rPr>
          <w:rFonts w:hint="default"/>
        </w:rPr>
        <w:t>六、应进一步做好计划节约用水工作，加强取用水管理和定额管理，完善取水档案资料，保障取退水计量设施正常运行。</w:t>
      </w:r>
    </w:p>
    <w:p>
      <w:pPr>
        <w:pStyle w:val="13"/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N/>
        <w:adjustRightInd/>
        <w:snapToGrid/>
        <w:spacing w:beforeLines="0" w:after="0" w:afterLines="0"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N/>
        <w:adjustRightInd/>
        <w:snapToGrid/>
        <w:spacing w:beforeLines="0" w:after="0" w:afterLines="0"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firstLine="4863" w:firstLineChars="1539"/>
        <w:jc w:val="lef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重庆市荣昌区水利局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/>
        <w:adjustRightInd/>
        <w:snapToGrid/>
        <w:spacing w:line="240" w:lineRule="auto"/>
        <w:ind w:left="0" w:right="0" w:rightChars="0" w:firstLine="1264" w:firstLineChars="400"/>
        <w:jc w:val="left"/>
        <w:textAlignment w:val="auto"/>
        <w:rPr>
          <w:rFonts w:hint="eastAsia"/>
          <w:highlight w:val="yellow"/>
          <w:lang w:val="en-US" w:eastAsia="zh-CN"/>
        </w:rPr>
      </w:pPr>
      <w:r>
        <w:rPr>
          <w:rFonts w:hint="default"/>
          <w:highlight w:val="none"/>
          <w:lang w:val="en-US" w:eastAsia="zh-CN"/>
        </w:rPr>
        <w:t>2026</w:t>
      </w:r>
      <w:r>
        <w:rPr>
          <w:rFonts w:hint="eastAsia"/>
          <w:highlight w:val="none"/>
          <w:lang w:val="en-US" w:eastAsia="zh-CN"/>
        </w:rPr>
        <w:t>年3月27日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（此件公开发布）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76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74" w:gutter="0"/>
      <w:lnNumType w:countBy="0" w:restart="continuous"/>
      <w:pgNumType w:fmt="decimal" w:start="2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BQP1R2rgEAAEw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hpgkvTAAAABQEAAA8AAAAAAAAAAQAgAAAAIgAAAGRycy9kb3ducmV2LnhtbFBLAQIUABQA&#10;AAAIAIdO4kBeb7tEvAEAAGMDAAAOAAAAAAAAAAEAIAAAACIBAABkcnMvZTJvRG9jLnhtbFBLBQYA&#10;AAAABgAGAFkBAABQ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documentProtection w:enforcement="0"/>
  <w:defaultTabStop w:val="419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4EEB"/>
    <w:rsid w:val="05E82482"/>
    <w:rsid w:val="07CD05AA"/>
    <w:rsid w:val="0E7732CB"/>
    <w:rsid w:val="10CC148D"/>
    <w:rsid w:val="13297BC4"/>
    <w:rsid w:val="165C670B"/>
    <w:rsid w:val="171E5C33"/>
    <w:rsid w:val="1BFF0687"/>
    <w:rsid w:val="1EF60B94"/>
    <w:rsid w:val="26591637"/>
    <w:rsid w:val="27BFE76C"/>
    <w:rsid w:val="2BF9C109"/>
    <w:rsid w:val="344A6B9C"/>
    <w:rsid w:val="36AA1EC6"/>
    <w:rsid w:val="379B5C5B"/>
    <w:rsid w:val="385A20C3"/>
    <w:rsid w:val="3AEDEFF6"/>
    <w:rsid w:val="3AF933B1"/>
    <w:rsid w:val="3B9B2DB2"/>
    <w:rsid w:val="3BAA062E"/>
    <w:rsid w:val="3DD923DE"/>
    <w:rsid w:val="3EBF243A"/>
    <w:rsid w:val="3FDE5751"/>
    <w:rsid w:val="3FE742D4"/>
    <w:rsid w:val="3FE7D50A"/>
    <w:rsid w:val="46A3763C"/>
    <w:rsid w:val="4C4C56F8"/>
    <w:rsid w:val="4EBBDB06"/>
    <w:rsid w:val="4F5FBB87"/>
    <w:rsid w:val="4FFDE8C5"/>
    <w:rsid w:val="5173675D"/>
    <w:rsid w:val="57F7E90F"/>
    <w:rsid w:val="57FFF710"/>
    <w:rsid w:val="5B172326"/>
    <w:rsid w:val="61354115"/>
    <w:rsid w:val="65691DF3"/>
    <w:rsid w:val="6BF61B73"/>
    <w:rsid w:val="6BFF4C39"/>
    <w:rsid w:val="6C980846"/>
    <w:rsid w:val="6D877F59"/>
    <w:rsid w:val="6EEE6F27"/>
    <w:rsid w:val="6F47F2DD"/>
    <w:rsid w:val="6F77C1B6"/>
    <w:rsid w:val="6F7F561E"/>
    <w:rsid w:val="6FA33A5F"/>
    <w:rsid w:val="6FBFE5D9"/>
    <w:rsid w:val="6FE944FC"/>
    <w:rsid w:val="6FF72B84"/>
    <w:rsid w:val="6FFF3BA6"/>
    <w:rsid w:val="71C05F0A"/>
    <w:rsid w:val="73FF7D44"/>
    <w:rsid w:val="74B67C16"/>
    <w:rsid w:val="757EFEA5"/>
    <w:rsid w:val="75B73DD9"/>
    <w:rsid w:val="77AB506F"/>
    <w:rsid w:val="79DFA748"/>
    <w:rsid w:val="7B7AEB88"/>
    <w:rsid w:val="7B7F2A67"/>
    <w:rsid w:val="7DD77D6E"/>
    <w:rsid w:val="7DEF9152"/>
    <w:rsid w:val="7EBB81D8"/>
    <w:rsid w:val="7EE8A09A"/>
    <w:rsid w:val="7F1D4803"/>
    <w:rsid w:val="7F6EEF0E"/>
    <w:rsid w:val="7F6F0A0F"/>
    <w:rsid w:val="7F76E999"/>
    <w:rsid w:val="7F902B1F"/>
    <w:rsid w:val="7FED8E89"/>
    <w:rsid w:val="8AEF2FF8"/>
    <w:rsid w:val="97ECB71C"/>
    <w:rsid w:val="982DB81D"/>
    <w:rsid w:val="AEE789CE"/>
    <w:rsid w:val="B4FFB961"/>
    <w:rsid w:val="B7EF5E0B"/>
    <w:rsid w:val="BA94BA96"/>
    <w:rsid w:val="BAEF573B"/>
    <w:rsid w:val="BB5F05BA"/>
    <w:rsid w:val="BFFD52B6"/>
    <w:rsid w:val="C7563EC1"/>
    <w:rsid w:val="DAA7804D"/>
    <w:rsid w:val="DD7F9246"/>
    <w:rsid w:val="DD7FAA79"/>
    <w:rsid w:val="DED7A33C"/>
    <w:rsid w:val="DEFDA2BC"/>
    <w:rsid w:val="DF9BE56F"/>
    <w:rsid w:val="DFDB7CA4"/>
    <w:rsid w:val="DFFB97CF"/>
    <w:rsid w:val="EC7BC17B"/>
    <w:rsid w:val="EFD4B4CC"/>
    <w:rsid w:val="EFF66422"/>
    <w:rsid w:val="EFF6C6D1"/>
    <w:rsid w:val="F2E5EA2F"/>
    <w:rsid w:val="F357A3E2"/>
    <w:rsid w:val="F5EDEB3D"/>
    <w:rsid w:val="F7CF42F8"/>
    <w:rsid w:val="F7FD234E"/>
    <w:rsid w:val="F9E74E97"/>
    <w:rsid w:val="FAEF23D2"/>
    <w:rsid w:val="FB677CE2"/>
    <w:rsid w:val="FB7F4EEB"/>
    <w:rsid w:val="FBFD3084"/>
    <w:rsid w:val="FDF68400"/>
    <w:rsid w:val="FDFFF1A6"/>
    <w:rsid w:val="FEDB65B8"/>
    <w:rsid w:val="FF5E2030"/>
    <w:rsid w:val="FF5EB9FB"/>
    <w:rsid w:val="FFFF2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Lines="0"/>
    </w:pPr>
    <w:rPr>
      <w:rFonts w:hint="eastAsia"/>
      <w:sz w:val="21"/>
    </w:rPr>
  </w:style>
  <w:style w:type="paragraph" w:styleId="4">
    <w:name w:val="Body Text 2"/>
    <w:basedOn w:val="1"/>
    <w:unhideWhenUsed/>
    <w:qFormat/>
    <w:uiPriority w:val="99"/>
    <w:pPr>
      <w:spacing w:beforeLines="0" w:after="120" w:afterLines="0" w:line="480" w:lineRule="auto"/>
    </w:pPr>
    <w:rPr>
      <w:rFonts w:hint="eastAsia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函的二级标题"/>
    <w:basedOn w:val="1"/>
    <w:qFormat/>
    <w:uiPriority w:val="0"/>
    <w:pPr>
      <w:spacing w:beforeLines="0" w:afterLines="0"/>
      <w:ind w:firstLine="640" w:firstLineChars="200"/>
    </w:pPr>
    <w:rPr>
      <w:rFonts w:hint="eastAsia" w:ascii="方正楷体_GBK" w:hAnsi="方正楷体_GBK" w:eastAsia="方正楷体_GBK" w:cs="方正楷体_GBK"/>
      <w:sz w:val="32"/>
      <w:szCs w:val="32"/>
      <w:lang w:bidi="ar"/>
    </w:rPr>
  </w:style>
  <w:style w:type="paragraph" w:customStyle="1" w:styleId="11">
    <w:name w:val="函的一级标题"/>
    <w:basedOn w:val="1"/>
    <w:qFormat/>
    <w:uiPriority w:val="0"/>
    <w:pPr>
      <w:ind w:firstLine="640" w:firstLineChars="200"/>
    </w:pPr>
    <w:rPr>
      <w:rFonts w:hint="eastAsia" w:eastAsia="方正黑体_GBK" w:cs="方正黑体_GBK"/>
      <w:sz w:val="32"/>
      <w:szCs w:val="32"/>
    </w:rPr>
  </w:style>
  <w:style w:type="paragraph" w:customStyle="1" w:styleId="12">
    <w:name w:val="函的三级标题"/>
    <w:basedOn w:val="1"/>
    <w:qFormat/>
    <w:uiPriority w:val="0"/>
    <w:pPr>
      <w:spacing w:beforeLines="0" w:afterLines="0"/>
      <w:ind w:firstLine="640" w:firstLineChars="200"/>
    </w:pPr>
    <w:rPr>
      <w:rFonts w:hint="eastAsia" w:ascii="方正仿宋_GBK" w:hAnsi="方正仿宋_GBK" w:eastAsia="方正仿宋_GBK" w:cs="方正仿宋_GBK"/>
      <w:sz w:val="32"/>
      <w:szCs w:val="32"/>
    </w:rPr>
  </w:style>
  <w:style w:type="paragraph" w:customStyle="1" w:styleId="13">
    <w:name w:val="函的正文"/>
    <w:basedOn w:val="1"/>
    <w:qFormat/>
    <w:uiPriority w:val="0"/>
    <w:pPr>
      <w:autoSpaceDE w:val="0"/>
      <w:ind w:firstLine="640" w:firstLineChars="200"/>
    </w:pPr>
    <w:rPr>
      <w:rFonts w:hint="eastAsia" w:eastAsia="方正仿宋_GBK" w:cs="方正仿宋_GBK"/>
      <w:sz w:val="32"/>
      <w:szCs w:val="32"/>
    </w:rPr>
  </w:style>
  <w:style w:type="paragraph" w:customStyle="1" w:styleId="14">
    <w:name w:val="函的标题"/>
    <w:basedOn w:val="1"/>
    <w:qFormat/>
    <w:uiPriority w:val="0"/>
    <w:pPr>
      <w:snapToGrid w:val="0"/>
      <w:spacing w:beforeLines="0" w:afterLines="0" w:line="720" w:lineRule="atLeast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  <w:style w:type="paragraph" w:customStyle="1" w:styleId="15">
    <w:name w:val="函的版记"/>
    <w:basedOn w:val="1"/>
    <w:qFormat/>
    <w:uiPriority w:val="0"/>
    <w:pPr>
      <w:spacing w:beforeLines="0" w:afterLines="0"/>
      <w:ind w:left="210" w:leftChars="100" w:right="210" w:rightChars="100" w:firstLine="0" w:firstLineChars="0"/>
      <w:jc w:val="left"/>
    </w:pPr>
    <w:rPr>
      <w:rFonts w:hint="eastAsia" w:ascii="方正仿宋_GBK" w:hAnsi="方正仿宋_GBK" w:eastAsia="方正仿宋_GBK" w:cs="方正仿宋_GBK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2026-02-20T01:51:00Z</dcterms:created>
  <dc:creator>guanliyuan</dc:creator>
  <cp:lastModifiedBy>Administrator</cp:lastModifiedBy>
  <cp:lastPrinted>2026-04-07T07:39:00Z</cp:lastPrinted>
  <dcterms:modified xsi:type="dcterms:W3CDTF">2026-04-13T02:22:58Z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8EA3AB75E4D6AA9EE9D5C9690E32BA67_43</vt:lpwstr>
  </property>
</Properties>
</file>