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黑体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jc w:val="center"/>
        <w:textAlignment w:val="auto"/>
        <w:rPr>
          <w:rFonts w:hint="default" w:eastAsia="方正小标宋_GBK" w:cs="Times New Roman"/>
          <w:sz w:val="44"/>
          <w:szCs w:val="44"/>
        </w:rPr>
      </w:pPr>
      <w:r>
        <w:rPr>
          <w:rFonts w:hint="eastAsia" w:eastAsia="方正小标宋_GBK" w:cs="Times New Roman"/>
          <w:sz w:val="44"/>
          <w:szCs w:val="44"/>
        </w:rPr>
        <w:t>重庆市荣昌区水利局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after="0" w:line="560" w:lineRule="exact"/>
        <w:jc w:val="center"/>
        <w:textAlignment w:val="auto"/>
        <w:rPr>
          <w:rFonts w:hint="default" w:eastAsia="方正小标宋_GBK" w:cs="Times New Roman"/>
          <w:sz w:val="44"/>
          <w:szCs w:val="44"/>
        </w:rPr>
      </w:pPr>
      <w:bookmarkStart w:id="0" w:name="OLE_LINK8"/>
      <w:r>
        <w:rPr>
          <w:rFonts w:hint="eastAsia" w:eastAsia="方正小标宋_GBK" w:cs="Times New Roman"/>
          <w:sz w:val="44"/>
          <w:szCs w:val="44"/>
        </w:rPr>
        <w:t>关于新农科人才培养教学科研基地基础设施（一期）水土保持方案准予许可的决定</w:t>
      </w:r>
    </w:p>
    <w:bookmarkEnd w:id="0"/>
    <w:p>
      <w:pPr>
        <w:pStyle w:val="14"/>
        <w:keepNext w:val="0"/>
        <w:keepLines w:val="0"/>
        <w:pageBreakBefore w:val="0"/>
        <w:kinsoku/>
        <w:overflowPunct/>
        <w:bidi w:val="0"/>
        <w:adjustRightInd/>
        <w:snapToGrid/>
        <w:spacing w:line="560" w:lineRule="exact"/>
        <w:textAlignment w:val="auto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</w:rPr>
        <w:t>西南大学</w:t>
      </w:r>
      <w:r>
        <w:rPr>
          <w:rFonts w:hint="default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你单位提交《</w:t>
      </w:r>
      <w:r>
        <w:rPr>
          <w:rFonts w:hint="eastAsia" w:eastAsia="方正仿宋_GBK" w:cs="Times New Roman"/>
          <w:sz w:val="32"/>
          <w:szCs w:val="32"/>
        </w:rPr>
        <w:t>新农科人才培养教学科研基地基础设施（一期）</w:t>
      </w:r>
      <w:r>
        <w:rPr>
          <w:rFonts w:hint="default" w:eastAsia="方正仿宋_GBK" w:cs="Times New Roman"/>
          <w:sz w:val="32"/>
          <w:szCs w:val="32"/>
        </w:rPr>
        <w:t>水土保持方案水土保持方案报告书》（项目代码：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500153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83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―</w:t>
      </w:r>
      <w:r>
        <w:rPr>
          <w:rFonts w:hint="default" w:eastAsia="方正仿宋_GBK" w:cs="Times New Roman"/>
          <w:sz w:val="32"/>
          <w:szCs w:val="32"/>
        </w:rPr>
        <w:t>TS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001305</w:t>
      </w:r>
      <w:r>
        <w:rPr>
          <w:rFonts w:hint="default" w:eastAsia="方正仿宋_GBK" w:cs="Times New Roman"/>
          <w:sz w:val="32"/>
          <w:szCs w:val="32"/>
        </w:rPr>
        <w:t>）收悉。经审查，该申请符合法定条件，根据《中华人民共和国行政许可法》第三十八条第一款、《水行政许可实施办法》第三十二条第一项，决定准予行政许可。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黑体_GBK" w:cs="Times New Roman"/>
          <w:sz w:val="32"/>
          <w:szCs w:val="32"/>
        </w:rPr>
      </w:pPr>
      <w:r>
        <w:rPr>
          <w:rFonts w:hint="default" w:eastAsia="方正黑体_GBK" w:cs="Times New Roman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default" w:eastAsia="方正仿宋_GBK" w:cs="Times New Roman"/>
          <w:color w:val="000000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（一）校内干道全长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1932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408</w:t>
      </w:r>
      <w:r>
        <w:rPr>
          <w:rFonts w:hint="default" w:eastAsia="方正仿宋_GBK" w:cs="Times New Roman"/>
          <w:sz w:val="32"/>
          <w:szCs w:val="32"/>
        </w:rPr>
        <w:t>m，道路标准路幅宽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15</w:t>
      </w:r>
      <w:r>
        <w:rPr>
          <w:rFonts w:hint="default" w:eastAsia="方正仿宋_GBK" w:cs="Times New Roman"/>
          <w:sz w:val="32"/>
          <w:szCs w:val="32"/>
        </w:rPr>
        <w:t>m；平场施工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13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38</w:t>
      </w:r>
      <w:r>
        <w:rPr>
          <w:rFonts w:hint="default" w:eastAsia="方正仿宋_GBK" w:cs="Times New Roman"/>
          <w:sz w:val="32"/>
          <w:szCs w:val="32"/>
        </w:rPr>
        <w:t>hm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2</w:t>
      </w:r>
      <w:r>
        <w:rPr>
          <w:rFonts w:hint="default" w:eastAsia="方正仿宋_GBK" w:cs="Times New Roman"/>
          <w:sz w:val="32"/>
          <w:szCs w:val="32"/>
        </w:rPr>
        <w:t>，配套建设绿化、挡墙、机耕道修建。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（二）本工程总占地面积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24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04</w:t>
      </w:r>
      <w:r>
        <w:rPr>
          <w:rFonts w:hint="default" w:eastAsia="方正仿宋_GBK" w:cs="Times New Roman"/>
          <w:sz w:val="32"/>
          <w:szCs w:val="32"/>
        </w:rPr>
        <w:t>hm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2</w:t>
      </w:r>
      <w:r>
        <w:rPr>
          <w:rFonts w:hint="default" w:eastAsia="仿宋_GB2312" w:cs="Times New Roman"/>
          <w:sz w:val="32"/>
          <w:szCs w:val="32"/>
        </w:rPr>
        <w:t>（永久占地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23</w:t>
      </w:r>
      <w:r>
        <w:rPr>
          <w:rFonts w:hint="default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32</w:t>
      </w:r>
      <w:r>
        <w:rPr>
          <w:rFonts w:hint="default" w:eastAsia="TimesNewRomanPSMT" w:cs="Times New Roman"/>
          <w:sz w:val="32"/>
          <w:szCs w:val="32"/>
        </w:rPr>
        <w:t>h</w:t>
      </w:r>
      <w:r>
        <w:rPr>
          <w:rFonts w:hint="default" w:eastAsia="方正仿宋_GBK" w:cs="Times New Roman"/>
          <w:sz w:val="32"/>
          <w:szCs w:val="32"/>
        </w:rPr>
        <w:t>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2</w:t>
      </w:r>
      <w:r>
        <w:rPr>
          <w:rFonts w:hint="default" w:eastAsia="仿宋_GB2312" w:cs="Times New Roman"/>
          <w:sz w:val="32"/>
          <w:szCs w:val="32"/>
        </w:rPr>
        <w:t>，临时占地</w:t>
      </w:r>
      <w:r>
        <w:rPr>
          <w:rFonts w:hint="default" w:ascii="Times New Roman" w:hAnsi="Times New Roman" w:eastAsia="宋体" w:cs="Times New Roman"/>
          <w:sz w:val="32"/>
          <w:szCs w:val="32"/>
        </w:rPr>
        <w:t>0</w:t>
      </w:r>
      <w:r>
        <w:rPr>
          <w:rFonts w:hint="default" w:eastAsia="宋体" w:cs="Times New Roman"/>
          <w:sz w:val="32"/>
          <w:szCs w:val="32"/>
        </w:rPr>
        <w:t>.</w:t>
      </w:r>
      <w:r>
        <w:rPr>
          <w:rFonts w:hint="default" w:ascii="Times New Roman" w:hAnsi="Times New Roman" w:eastAsia="宋体" w:cs="Times New Roman"/>
          <w:sz w:val="32"/>
          <w:szCs w:val="32"/>
        </w:rPr>
        <w:t>72</w:t>
      </w:r>
      <w:r>
        <w:rPr>
          <w:rFonts w:hint="default" w:eastAsia="TimesNewRomanPSMT" w:cs="Times New Roman"/>
          <w:sz w:val="32"/>
          <w:szCs w:val="32"/>
        </w:rPr>
        <w:t>h</w:t>
      </w:r>
      <w:r>
        <w:rPr>
          <w:rFonts w:hint="default" w:eastAsia="方正仿宋_GBK" w:cs="Times New Roman"/>
          <w:sz w:val="32"/>
          <w:szCs w:val="32"/>
        </w:rPr>
        <w:t>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2</w:t>
      </w:r>
      <w:r>
        <w:rPr>
          <w:rFonts w:hint="default" w:eastAsia="仿宋_GB2312" w:cs="Times New Roman"/>
          <w:sz w:val="32"/>
          <w:szCs w:val="32"/>
        </w:rPr>
        <w:t>）。</w:t>
      </w:r>
      <w:r>
        <w:rPr>
          <w:rFonts w:hint="default" w:eastAsia="方正仿宋_GBK" w:cs="Times New Roman"/>
          <w:sz w:val="32"/>
          <w:szCs w:val="32"/>
        </w:rPr>
        <w:t>本项目土石方开挖量为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11</w:t>
      </w:r>
      <w:r>
        <w:rPr>
          <w:rFonts w:hint="default" w:eastAsia="方正仿宋_GBK" w:cs="Times New Roman"/>
          <w:sz w:val="32"/>
          <w:szCs w:val="32"/>
        </w:rPr>
        <w:t>万</w:t>
      </w:r>
      <w:r>
        <w:rPr>
          <w:rFonts w:hint="default" w:eastAsia="方正仿宋_GBK" w:cs="Times New Roman"/>
          <w:sz w:val="32"/>
          <w:szCs w:val="32"/>
          <w:lang w:val="zh-CN"/>
        </w:rPr>
        <w:t>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3</w:t>
      </w:r>
      <w:r>
        <w:rPr>
          <w:rFonts w:hint="default" w:eastAsia="方正仿宋_GBK" w:cs="Times New Roman"/>
          <w:sz w:val="32"/>
          <w:szCs w:val="32"/>
          <w:lang w:val="zh-CN"/>
        </w:rPr>
        <w:t>，</w:t>
      </w:r>
      <w:r>
        <w:rPr>
          <w:rFonts w:hint="default" w:eastAsia="方正仿宋_GBK" w:cs="Times New Roman"/>
          <w:sz w:val="32"/>
          <w:szCs w:val="32"/>
        </w:rPr>
        <w:t>填方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78</w:t>
      </w:r>
      <w:r>
        <w:rPr>
          <w:rFonts w:hint="default" w:eastAsia="方正仿宋_GBK" w:cs="Times New Roman"/>
          <w:sz w:val="32"/>
          <w:szCs w:val="32"/>
          <w:lang w:val="zh-CN"/>
        </w:rPr>
        <w:t>万m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3</w:t>
      </w:r>
      <w:r>
        <w:rPr>
          <w:rFonts w:hint="default" w:eastAsia="方正仿宋_GBK" w:cs="Times New Roman"/>
          <w:sz w:val="32"/>
          <w:szCs w:val="32"/>
        </w:rPr>
        <w:t>，借方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67</w:t>
      </w:r>
      <w:r>
        <w:rPr>
          <w:rFonts w:hint="default" w:eastAsia="方正仿宋_GBK" w:cs="Times New Roman"/>
          <w:sz w:val="32"/>
          <w:szCs w:val="32"/>
        </w:rPr>
        <w:t>万</w:t>
      </w:r>
      <w:r>
        <w:rPr>
          <w:rFonts w:hint="default" w:eastAsia="方正仿宋_GBK" w:cs="Times New Roman"/>
          <w:sz w:val="32"/>
          <w:szCs w:val="32"/>
          <w:lang w:val="zh-CN"/>
        </w:rPr>
        <w:t>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3</w:t>
      </w:r>
      <w:r>
        <w:rPr>
          <w:rFonts w:hint="default" w:eastAsia="方正仿宋_GBK" w:cs="Times New Roman"/>
          <w:sz w:val="32"/>
          <w:szCs w:val="32"/>
        </w:rPr>
        <w:t>，借方来自西南大学榕园学生宿舍（荣昌校区）建设产生的余方。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color w:val="000000"/>
          <w:sz w:val="32"/>
          <w:szCs w:val="32"/>
        </w:rPr>
        <w:t>（三）本项目建设时间为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2025</w:t>
      </w:r>
      <w:r>
        <w:rPr>
          <w:rFonts w:hint="default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11</w:t>
      </w:r>
      <w:r>
        <w:rPr>
          <w:rFonts w:hint="default" w:eastAsia="方正仿宋_GBK" w:cs="Times New Roman"/>
          <w:sz w:val="32"/>
          <w:szCs w:val="32"/>
        </w:rPr>
        <w:t>月~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2027</w:t>
      </w:r>
      <w:r>
        <w:rPr>
          <w:rFonts w:hint="default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</w:t>
      </w:r>
      <w:r>
        <w:rPr>
          <w:rFonts w:hint="default" w:eastAsia="方正仿宋_GBK" w:cs="Times New Roman"/>
          <w:sz w:val="32"/>
          <w:szCs w:val="32"/>
        </w:rPr>
        <w:t>月，</w:t>
      </w:r>
      <w:bookmarkStart w:id="1" w:name="OLE_LINK5"/>
      <w:r>
        <w:rPr>
          <w:rFonts w:hint="default" w:eastAsia="方正仿宋_GBK" w:cs="Times New Roman"/>
          <w:sz w:val="32"/>
          <w:szCs w:val="32"/>
        </w:rPr>
        <w:t>总工期为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default" w:eastAsia="方正仿宋_GBK" w:cs="Times New Roman"/>
          <w:sz w:val="32"/>
          <w:szCs w:val="32"/>
        </w:rPr>
        <w:t>个月。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二、水土保持方案总体意见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（一）基本同意建设期水土流失防治责任范围为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24</w:t>
      </w:r>
      <w:r>
        <w:rPr>
          <w:rFonts w:hint="eastAsia" w:eastAsia="方正仿宋_GBK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04</w:t>
      </w:r>
      <w:r>
        <w:rPr>
          <w:rFonts w:hint="default" w:eastAsia="方正仿宋_GBK" w:cs="Times New Roman"/>
          <w:color w:val="000000"/>
          <w:sz w:val="32"/>
          <w:szCs w:val="32"/>
        </w:rPr>
        <w:t>hm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vertAlign w:val="superscript"/>
        </w:rPr>
        <w:t>2</w:t>
      </w:r>
      <w:r>
        <w:rPr>
          <w:rFonts w:hint="default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（二）同意水土流失防治执行</w:t>
      </w:r>
      <w:r>
        <w:rPr>
          <w:rFonts w:hint="eastAsia" w:eastAsia="方正仿宋_GBK" w:cs="Times New Roman"/>
          <w:sz w:val="32"/>
          <w:szCs w:val="32"/>
        </w:rPr>
        <w:t>西南紫色土区</w:t>
      </w:r>
      <w:r>
        <w:rPr>
          <w:rFonts w:hint="default" w:eastAsia="方正仿宋_GBK" w:cs="Times New Roman"/>
          <w:sz w:val="32"/>
          <w:szCs w:val="32"/>
        </w:rPr>
        <w:t>建设类项目</w:t>
      </w:r>
      <w:r>
        <w:rPr>
          <w:rFonts w:hint="eastAsia" w:eastAsia="方正仿宋_GBK" w:cs="Times New Roman"/>
          <w:sz w:val="32"/>
          <w:szCs w:val="32"/>
        </w:rPr>
        <w:t>一</w:t>
      </w:r>
      <w:r>
        <w:rPr>
          <w:rFonts w:hint="default" w:eastAsia="方正仿宋_GBK" w:cs="Times New Roman"/>
          <w:sz w:val="32"/>
          <w:szCs w:val="32"/>
        </w:rPr>
        <w:t>级标准。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（三）基本同意水土流失治理度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97</w:t>
      </w:r>
      <w:r>
        <w:rPr>
          <w:rFonts w:hint="default" w:eastAsia="方正仿宋_GBK" w:cs="Times New Roman"/>
          <w:sz w:val="32"/>
          <w:szCs w:val="32"/>
        </w:rPr>
        <w:t>%、土壤流失控制比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</w:t>
      </w:r>
      <w:r>
        <w:rPr>
          <w:rFonts w:hint="default" w:eastAsia="方正仿宋_GBK" w:cs="Times New Roman"/>
          <w:sz w:val="32"/>
          <w:szCs w:val="32"/>
        </w:rPr>
        <w:t>、渣土防护率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94</w:t>
      </w:r>
      <w:r>
        <w:rPr>
          <w:rFonts w:hint="default" w:eastAsia="方正仿宋_GBK" w:cs="Times New Roman"/>
          <w:sz w:val="32"/>
          <w:szCs w:val="32"/>
        </w:rPr>
        <w:t>%，表土保护率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92</w:t>
      </w:r>
      <w:r>
        <w:rPr>
          <w:rFonts w:hint="default" w:eastAsia="方正仿宋_GBK" w:cs="Times New Roman"/>
          <w:sz w:val="32"/>
          <w:szCs w:val="32"/>
        </w:rPr>
        <w:t>%</w:t>
      </w:r>
      <w:r>
        <w:rPr>
          <w:rFonts w:hint="eastAsia" w:eastAsia="方正仿宋_GBK" w:cs="Times New Roman"/>
          <w:sz w:val="32"/>
          <w:szCs w:val="32"/>
        </w:rPr>
        <w:t>，</w:t>
      </w:r>
      <w:r>
        <w:rPr>
          <w:rFonts w:hint="default" w:eastAsia="方正仿宋_GBK" w:cs="Times New Roman"/>
          <w:sz w:val="32"/>
          <w:szCs w:val="32"/>
        </w:rPr>
        <w:t>林草植被恢复率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97</w:t>
      </w:r>
      <w:r>
        <w:rPr>
          <w:rFonts w:hint="default" w:eastAsia="方正仿宋_GBK" w:cs="Times New Roman"/>
          <w:sz w:val="32"/>
          <w:szCs w:val="32"/>
        </w:rPr>
        <w:t>%、林草覆盖率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25</w:t>
      </w:r>
      <w:r>
        <w:rPr>
          <w:rFonts w:hint="default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（四）基本同意水土流失防治分区和分区防治措施安排。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（五）基本同意水土保持方案实施进度安排。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（六）基本同意水土保持监测时段、内容和方法。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（七）基本同意方案设计水平年为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2027</w:t>
      </w:r>
      <w:r>
        <w:rPr>
          <w:rFonts w:hint="default" w:eastAsia="方正仿宋_GBK" w:cs="Times New Roman"/>
          <w:sz w:val="32"/>
          <w:szCs w:val="32"/>
        </w:rPr>
        <w:t>年。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三、水土保持方案投资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宋体" w:cs="Times New Roman"/>
          <w:sz w:val="21"/>
          <w:szCs w:val="20"/>
          <w:lang w:val="zh-CN"/>
        </w:rPr>
      </w:pPr>
      <w:r>
        <w:rPr>
          <w:rFonts w:hint="eastAsia" w:eastAsia="方正仿宋_GBK" w:cs="Times New Roman"/>
          <w:sz w:val="32"/>
          <w:szCs w:val="32"/>
          <w:lang w:val="zh-CN"/>
        </w:rPr>
        <w:t>工程</w:t>
      </w:r>
      <w:r>
        <w:rPr>
          <w:rFonts w:hint="default" w:eastAsia="方正仿宋_GBK" w:cs="Times New Roman"/>
          <w:sz w:val="32"/>
          <w:szCs w:val="32"/>
          <w:lang w:val="zh-CN"/>
        </w:rPr>
        <w:t>水土保持总投资为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316</w:t>
      </w:r>
      <w:r>
        <w:rPr>
          <w:rFonts w:hint="eastAsia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73</w:t>
      </w:r>
      <w:r>
        <w:rPr>
          <w:rFonts w:hint="default" w:eastAsia="方正仿宋_GBK" w:cs="Times New Roman"/>
          <w:sz w:val="32"/>
          <w:szCs w:val="32"/>
          <w:lang w:val="zh-CN"/>
        </w:rPr>
        <w:t>万元，其中主体已</w:t>
      </w:r>
      <w:r>
        <w:rPr>
          <w:rFonts w:hint="eastAsia" w:eastAsia="方正仿宋_GBK" w:cs="Times New Roman"/>
          <w:sz w:val="32"/>
          <w:szCs w:val="32"/>
          <w:lang w:val="zh-CN"/>
        </w:rPr>
        <w:t>列</w:t>
      </w:r>
      <w:r>
        <w:rPr>
          <w:rFonts w:hint="default" w:eastAsia="方正仿宋_GBK" w:cs="Times New Roman"/>
          <w:sz w:val="32"/>
          <w:szCs w:val="32"/>
          <w:lang w:val="zh-CN"/>
        </w:rPr>
        <w:t>水土保持投资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122</w:t>
      </w:r>
      <w:r>
        <w:rPr>
          <w:rFonts w:hint="eastAsia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03</w:t>
      </w:r>
      <w:r>
        <w:rPr>
          <w:rFonts w:hint="default" w:eastAsia="方正仿宋_GBK" w:cs="Times New Roman"/>
          <w:sz w:val="32"/>
          <w:szCs w:val="32"/>
          <w:lang w:val="zh-CN"/>
        </w:rPr>
        <w:t>万元，方案新增水土保持投资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194</w:t>
      </w:r>
      <w:r>
        <w:rPr>
          <w:rFonts w:hint="eastAsia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70</w:t>
      </w:r>
      <w:r>
        <w:rPr>
          <w:rFonts w:hint="default" w:eastAsia="方正仿宋_GBK" w:cs="Times New Roman"/>
          <w:sz w:val="32"/>
          <w:szCs w:val="32"/>
          <w:lang w:val="zh-CN"/>
        </w:rPr>
        <w:t>万元。主体已列投资中：工程措施费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73</w:t>
      </w:r>
      <w:r>
        <w:rPr>
          <w:rFonts w:hint="eastAsia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61</w:t>
      </w:r>
      <w:r>
        <w:rPr>
          <w:rFonts w:hint="default" w:eastAsia="方正仿宋_GBK" w:cs="Times New Roman"/>
          <w:sz w:val="32"/>
          <w:szCs w:val="32"/>
          <w:lang w:val="zh-CN"/>
        </w:rPr>
        <w:t>万元，植物措施费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44</w:t>
      </w:r>
      <w:r>
        <w:rPr>
          <w:rFonts w:hint="eastAsia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16</w:t>
      </w:r>
      <w:r>
        <w:rPr>
          <w:rFonts w:hint="default" w:eastAsia="方正仿宋_GBK" w:cs="Times New Roman"/>
          <w:sz w:val="32"/>
          <w:szCs w:val="32"/>
          <w:lang w:val="zh-CN"/>
        </w:rPr>
        <w:t>万元</w:t>
      </w:r>
      <w:r>
        <w:rPr>
          <w:rFonts w:hint="eastAsia" w:eastAsia="方正仿宋_GBK" w:cs="Times New Roman"/>
          <w:sz w:val="32"/>
          <w:szCs w:val="32"/>
          <w:lang w:val="zh-CN"/>
        </w:rPr>
        <w:t>，</w:t>
      </w:r>
      <w:r>
        <w:rPr>
          <w:rFonts w:hint="default" w:eastAsia="方正仿宋_GBK" w:cs="Times New Roman"/>
          <w:sz w:val="32"/>
          <w:szCs w:val="32"/>
          <w:lang w:val="zh-CN"/>
        </w:rPr>
        <w:t>临时措施费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</w:t>
      </w:r>
      <w:r>
        <w:rPr>
          <w:rFonts w:hint="eastAsia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26</w:t>
      </w:r>
      <w:r>
        <w:rPr>
          <w:rFonts w:hint="default" w:eastAsia="方正仿宋_GBK" w:cs="Times New Roman"/>
          <w:sz w:val="32"/>
          <w:szCs w:val="32"/>
          <w:lang w:val="zh-CN"/>
        </w:rPr>
        <w:t>万元；在方案新增投资中：</w:t>
      </w:r>
      <w:r>
        <w:rPr>
          <w:rFonts w:hint="default" w:eastAsia="方正仿宋_GBK" w:cs="Times New Roman"/>
          <w:sz w:val="32"/>
          <w:szCs w:val="32"/>
        </w:rPr>
        <w:t>工程措施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68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27</w:t>
      </w:r>
      <w:r>
        <w:rPr>
          <w:rFonts w:hint="default" w:eastAsia="方正仿宋_GBK" w:cs="Times New Roman"/>
          <w:sz w:val="32"/>
          <w:szCs w:val="32"/>
        </w:rPr>
        <w:t>万元，植物措施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9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66</w:t>
      </w:r>
      <w:r>
        <w:rPr>
          <w:rFonts w:hint="default" w:eastAsia="方正仿宋_GBK" w:cs="Times New Roman"/>
          <w:sz w:val="32"/>
          <w:szCs w:val="32"/>
        </w:rPr>
        <w:t>万元，监测措施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07</w:t>
      </w:r>
      <w:r>
        <w:rPr>
          <w:rFonts w:hint="default" w:eastAsia="方正仿宋_GBK" w:cs="Times New Roman"/>
          <w:sz w:val="32"/>
          <w:szCs w:val="32"/>
        </w:rPr>
        <w:t>万元，施工临时措施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44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46</w:t>
      </w:r>
      <w:r>
        <w:rPr>
          <w:rFonts w:hint="default" w:eastAsia="方正仿宋_GBK" w:cs="Times New Roman"/>
          <w:sz w:val="32"/>
          <w:szCs w:val="32"/>
        </w:rPr>
        <w:t>万元，独立费用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41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22</w:t>
      </w:r>
      <w:r>
        <w:rPr>
          <w:rFonts w:hint="default" w:eastAsia="方正仿宋_GBK" w:cs="Times New Roman"/>
          <w:sz w:val="32"/>
          <w:szCs w:val="32"/>
        </w:rPr>
        <w:t>万元，基本预备费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11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02</w:t>
      </w:r>
      <w:r>
        <w:rPr>
          <w:rFonts w:hint="default" w:eastAsia="方正仿宋_GBK" w:cs="Times New Roman"/>
          <w:sz w:val="32"/>
          <w:szCs w:val="32"/>
        </w:rPr>
        <w:t>万元。项目水土保持补偿费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33</w:t>
      </w:r>
      <w:r>
        <w:rPr>
          <w:rFonts w:hint="default" w:eastAsia="方正仿宋_GBK" w:cs="Times New Roman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65194</w:t>
      </w:r>
      <w:r>
        <w:rPr>
          <w:rFonts w:hint="default" w:eastAsia="方正仿宋_GBK" w:cs="Times New Roman"/>
          <w:sz w:val="32"/>
          <w:szCs w:val="32"/>
        </w:rPr>
        <w:t>万元（免征）。</w:t>
      </w:r>
    </w:p>
    <w:p>
      <w:pPr>
        <w:keepNext w:val="0"/>
        <w:keepLines w:val="0"/>
        <w:pageBreakBefore w:val="0"/>
        <w:widowControl w:val="0"/>
        <w:kinsoku/>
        <w:overflowPunct/>
        <w:autoSpaceDE w:val="0"/>
        <w:autoSpaceDN w:val="0"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四、相关法规要求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生产建设单位在项目建设中应全面落实《中华人民共和国水土保持法》《重庆市实施〈中华人民共和国水土保持法〉办法》的各项要求：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bookmarkStart w:id="2" w:name="OLE_LINK1"/>
      <w:r>
        <w:rPr>
          <w:rFonts w:hint="default" w:eastAsia="方正仿宋_GBK" w:cs="Times New Roman"/>
          <w:sz w:val="32"/>
          <w:szCs w:val="32"/>
        </w:rPr>
        <w:t>（一）在初步设计和施工图设计阶段，根据批复的水土保持方案和有关技术标准，组织开展水土保持设计，编制水土保持设计篇章，并作为主体工程设计的重要组成部分；在施工阶段，加强施工组织和管理工作，切实落实水土保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“三同时”</w:t>
      </w:r>
      <w:r>
        <w:rPr>
          <w:rFonts w:hint="default" w:eastAsia="方正仿宋_GBK" w:cs="Times New Roman"/>
          <w:sz w:val="32"/>
          <w:szCs w:val="32"/>
        </w:rPr>
        <w:t>制度。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二）在工程建设过程中，严格按方案要求落实各项水土保持措施，保证水土保持措施的质量、实施进度和资金投入。各类施工活动要严格限定在用地范围内，严禁随意占压、扰动和破坏地表植被。做好表土的剥离和弃渣综合利用，建设过程中产生的弃土要及时运至方案确定的专门场地。根据方案要求合理安排施工时序和水土保持措施实施进度，严格控制施工期间可能造成的水土流失。将水土保持工作任务和内容纳入施工合同，落实施工单位水土保持责任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（三）切实做好水土保持监测工作，加强水土流失动态监控，在工程建设期间应将水土保持监测季报按规定在网站公开，同时在业主项目部和施工项目部公开，并按规定向我局提交监测季度及总结报告。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（四）采购土、石、砂等建筑材料要选择符合规定的料场，明确水土流失防治责任。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（五）项目开工前向主管税务机关申报缴纳水土保持补偿费</w:t>
      </w:r>
      <w:r>
        <w:rPr>
          <w:rFonts w:hint="eastAsia" w:eastAsia="方正仿宋_GBK" w:cs="Times New Roman"/>
          <w:sz w:val="32"/>
          <w:szCs w:val="32"/>
        </w:rPr>
        <w:t>（免征项目除外）</w:t>
      </w:r>
      <w:r>
        <w:rPr>
          <w:rFonts w:hint="default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（六）按照水土保持监理标准和规范开展水土保持工程施工监理，确保水土保持工程建设质量和进度。</w:t>
      </w:r>
    </w:p>
    <w:bookmarkEnd w:id="2"/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（一）本项目的地点、规模如发生重大变化，或者水土保持方案实施过程中水土保持措施发生重大变更的，应按照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</w:t>
      </w:r>
      <w:r>
        <w:rPr>
          <w:rFonts w:hint="default" w:eastAsia="方正仿宋_GBK" w:cs="Times New Roman"/>
          <w:sz w:val="32"/>
          <w:szCs w:val="32"/>
        </w:rPr>
        <w:t>水利部第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53</w:t>
      </w:r>
      <w:r>
        <w:rPr>
          <w:rFonts w:hint="default" w:eastAsia="方正仿宋_GBK" w:cs="Times New Roman"/>
          <w:sz w:val="32"/>
          <w:szCs w:val="32"/>
        </w:rPr>
        <w:t>号令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”</w:t>
      </w:r>
      <w:r>
        <w:rPr>
          <w:rFonts w:hint="default" w:eastAsia="方正仿宋_GBK" w:cs="Times New Roman"/>
          <w:sz w:val="32"/>
          <w:szCs w:val="32"/>
        </w:rPr>
        <w:t>规定办理。确需在水土保持方案确定的弃渣场以外新设弃渣场的，或者因弃渣量增加导致弃渣场等级提高的，生产建设单位应当开展弃渣减量化、资源化论证，在弃渣前编制水土保持方案补充报告，并完成弃渣场变更审批手续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（二）工程完工后、项目投产使用前应及时组织开展水土保持设施自主验收，并在水土保持设施自主验收通过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default" w:eastAsia="方正仿宋_GBK" w:cs="Times New Roman"/>
          <w:sz w:val="32"/>
          <w:szCs w:val="32"/>
        </w:rPr>
        <w:t>个月内，向我局报备验收材料（包括水土保持设施验收鉴定书、水土保持设施验收报告和水土保持监测总结报告等）</w:t>
      </w:r>
      <w:r>
        <w:rPr>
          <w:rFonts w:hint="eastAsia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color w:val="FFFFFF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（三）本行政许可决定有效期为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default" w:eastAsia="方正仿宋_GBK" w:cs="Times New Roman"/>
          <w:sz w:val="32"/>
          <w:szCs w:val="32"/>
        </w:rPr>
        <w:t>年。水土保持方案自批准之日起满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default" w:eastAsia="方正仿宋_GBK" w:cs="Times New Roman"/>
          <w:sz w:val="32"/>
          <w:szCs w:val="32"/>
        </w:rPr>
        <w:t>年，生产建设项目未开工建设的，其水土保持方案报我局重新审核。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N/>
        <w:adjustRightInd/>
        <w:snapToGrid/>
        <w:spacing w:beforeLines="0" w:after="0" w:afterLines="0"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bookmarkStart w:id="3" w:name="_Hlk92963462"/>
      <w:r>
        <w:rPr>
          <w:rFonts w:hint="default" w:eastAsia="方正仿宋_GBK" w:cs="Times New Roman"/>
          <w:sz w:val="32"/>
          <w:szCs w:val="32"/>
        </w:rPr>
        <w:t>．水土保持方案特性表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bidi w:val="0"/>
        <w:adjustRightInd/>
        <w:snapToGrid/>
        <w:spacing w:line="560" w:lineRule="exact"/>
        <w:ind w:firstLine="1580" w:firstLineChars="500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default" w:eastAsia="方正仿宋_GBK" w:cs="Times New Roman"/>
          <w:sz w:val="32"/>
          <w:szCs w:val="32"/>
        </w:rPr>
        <w:t>．</w:t>
      </w:r>
      <w:r>
        <w:rPr>
          <w:rFonts w:hint="eastAsia" w:eastAsia="方正仿宋_GBK" w:cs="Times New Roman"/>
          <w:sz w:val="32"/>
          <w:szCs w:val="32"/>
        </w:rPr>
        <w:t>新农科人才培养教学科研基地基础设施（一期）</w:t>
      </w:r>
      <w:r>
        <w:rPr>
          <w:rFonts w:hint="default" w:eastAsia="方正仿宋_GBK" w:cs="Times New Roman"/>
          <w:sz w:val="32"/>
          <w:szCs w:val="32"/>
        </w:rPr>
        <w:t>水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bidi w:val="0"/>
        <w:adjustRightInd/>
        <w:snapToGrid/>
        <w:spacing w:line="560" w:lineRule="exact"/>
        <w:ind w:left="0" w:leftChars="0" w:firstLine="1918" w:firstLineChars="607"/>
        <w:textAlignment w:val="auto"/>
        <w:rPr>
          <w:rFonts w:hint="default" w:eastAsia="方正仿宋_GBK" w:cs="Times New Roman"/>
          <w:sz w:val="32"/>
          <w:szCs w:val="32"/>
        </w:rPr>
      </w:pPr>
      <w:r>
        <w:rPr>
          <w:rFonts w:hint="default" w:eastAsia="方正仿宋_GBK" w:cs="Times New Roman"/>
          <w:sz w:val="32"/>
          <w:szCs w:val="32"/>
        </w:rPr>
        <w:t>土保持方案报告书专家评审意见</w:t>
      </w:r>
      <w:bookmarkEnd w:id="3"/>
    </w:p>
    <w:p>
      <w:pPr>
        <w:pStyle w:val="2"/>
        <w:keepNext w:val="0"/>
        <w:keepLines w:val="0"/>
        <w:pageBreakBefore w:val="0"/>
        <w:kinsoku/>
        <w:overflowPunct/>
        <w:adjustRightInd/>
        <w:spacing w:line="560" w:lineRule="exact"/>
        <w:textAlignment w:val="auto"/>
        <w:rPr>
          <w:rFonts w:hint="default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adjustRightIn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4851" w:firstLineChars="1535"/>
        <w:jc w:val="lef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重庆市荣昌区水利局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/>
        <w:adjustRightInd/>
        <w:snapToGrid/>
        <w:spacing w:line="560" w:lineRule="exact"/>
        <w:ind w:left="0" w:right="0" w:rightChars="0" w:firstLine="1264" w:firstLineChars="400"/>
        <w:jc w:val="left"/>
        <w:textAlignment w:val="auto"/>
        <w:rPr>
          <w:rFonts w:hint="eastAsia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2026</w:t>
      </w:r>
      <w:r>
        <w:rPr>
          <w:rFonts w:hint="eastAsia"/>
          <w:highlight w:val="none"/>
          <w:lang w:val="en-US" w:eastAsia="zh-CN"/>
        </w:rPr>
        <w:t>年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5</w:t>
      </w:r>
      <w:r>
        <w:rPr>
          <w:rFonts w:hint="eastAsia"/>
          <w:highlight w:val="none"/>
          <w:lang w:val="en-US" w:eastAsia="zh-CN"/>
        </w:rPr>
        <w:t>月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1</w:t>
      </w:r>
      <w:r>
        <w:rPr>
          <w:rFonts w:hint="eastAsia" w:cs="Times New Roman"/>
          <w:highlight w:val="none"/>
          <w:lang w:val="en-US" w:eastAsia="zh-CN"/>
        </w:rPr>
        <w:t>3</w:t>
      </w:r>
      <w:r>
        <w:rPr>
          <w:rFonts w:hint="eastAsia"/>
          <w:highlight w:val="none"/>
          <w:lang w:val="en-US" w:eastAsia="zh-CN"/>
        </w:rPr>
        <w:t>日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（此件公开发布）</w:t>
      </w:r>
      <w:bookmarkStart w:id="4" w:name="_GoBack"/>
      <w:bookmarkEnd w:id="4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474" w:gutter="0"/>
      <w:lnNumType w:countBy="0" w:restart="continuous"/>
      <w:pgNumType w:fmt="decimal" w:start="1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C80DADF1-7A7E-4A61-AF47-8FB18C63BB58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39234E9-627A-4345-B979-9C4EE812B27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2EA0F185-53B0-4FAD-92E9-7FE554E4B776}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OqXm5zwAAAAUBAAAP&#10;AAAAAAAAAAEAIAAAACIAAABkcnMvZG93bnJldi54bWxQSwECFAAUAAAACACHTuJAQ3QJOK8BAABM&#10;AwAADgAAAAAAAAABACAAAAAe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hpgkvTAAAABQEAAA8AAAAAAAAAAQAgAAAAIgAAAGRycy9kb3ducmV2LnhtbFBLAQIUABQA&#10;AAAIAIdO4kCXQo1CvAEAAGMDAAAOAAAAAAAAAAEAIAAAACIBAABkcnMvZTJvRG9jLnhtbFBLBQYA&#10;AAAABgAGAFkBAABQ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 w:val="1"/>
  <w:bordersDoNotSurroundHeader w:val="0"/>
  <w:bordersDoNotSurroundFooter w:val="0"/>
  <w:documentProtection w:enforcement="0"/>
  <w:defaultTabStop w:val="419"/>
  <w:hyphenationZone w:val="36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F4EEB"/>
    <w:rsid w:val="05E82482"/>
    <w:rsid w:val="07CD05AA"/>
    <w:rsid w:val="0FE5D51B"/>
    <w:rsid w:val="10CC148D"/>
    <w:rsid w:val="13297BC4"/>
    <w:rsid w:val="165C670B"/>
    <w:rsid w:val="16762D0F"/>
    <w:rsid w:val="171E5C33"/>
    <w:rsid w:val="1BFF0687"/>
    <w:rsid w:val="26591637"/>
    <w:rsid w:val="27BFE76C"/>
    <w:rsid w:val="2BF9C109"/>
    <w:rsid w:val="344A6B9C"/>
    <w:rsid w:val="36AA1EC6"/>
    <w:rsid w:val="379B5C5B"/>
    <w:rsid w:val="385A20C3"/>
    <w:rsid w:val="3AEDEFF6"/>
    <w:rsid w:val="3AF933B1"/>
    <w:rsid w:val="3B9B2DB2"/>
    <w:rsid w:val="3BAA062E"/>
    <w:rsid w:val="3DD923DE"/>
    <w:rsid w:val="3EBF243A"/>
    <w:rsid w:val="3FBF5754"/>
    <w:rsid w:val="3FD77FE5"/>
    <w:rsid w:val="3FDE5751"/>
    <w:rsid w:val="3FE742D4"/>
    <w:rsid w:val="3FE7D50A"/>
    <w:rsid w:val="46A3763C"/>
    <w:rsid w:val="4C4C56F8"/>
    <w:rsid w:val="4EBBDB06"/>
    <w:rsid w:val="4F5FBB87"/>
    <w:rsid w:val="4FFDE8C5"/>
    <w:rsid w:val="5173675D"/>
    <w:rsid w:val="56FB2962"/>
    <w:rsid w:val="57F7E90F"/>
    <w:rsid w:val="57FEE705"/>
    <w:rsid w:val="57FFF710"/>
    <w:rsid w:val="5B172326"/>
    <w:rsid w:val="61354115"/>
    <w:rsid w:val="65691DF3"/>
    <w:rsid w:val="67FA47FB"/>
    <w:rsid w:val="6BF61B73"/>
    <w:rsid w:val="6C980846"/>
    <w:rsid w:val="6D877F59"/>
    <w:rsid w:val="6EEE6F27"/>
    <w:rsid w:val="6F47F2DD"/>
    <w:rsid w:val="6F77C1B6"/>
    <w:rsid w:val="6F7F561E"/>
    <w:rsid w:val="6FA33A5F"/>
    <w:rsid w:val="6FBFE5D9"/>
    <w:rsid w:val="6FE944FC"/>
    <w:rsid w:val="6FF72B84"/>
    <w:rsid w:val="6FFF3BA6"/>
    <w:rsid w:val="73FF7D44"/>
    <w:rsid w:val="74B67C16"/>
    <w:rsid w:val="757EFEA5"/>
    <w:rsid w:val="75B73DD9"/>
    <w:rsid w:val="77AB506F"/>
    <w:rsid w:val="79DFA748"/>
    <w:rsid w:val="7B7AEB88"/>
    <w:rsid w:val="7B7F2A67"/>
    <w:rsid w:val="7DBA0832"/>
    <w:rsid w:val="7DD77D6E"/>
    <w:rsid w:val="7DEF9152"/>
    <w:rsid w:val="7EBB81D8"/>
    <w:rsid w:val="7EE8A09A"/>
    <w:rsid w:val="7F1D4803"/>
    <w:rsid w:val="7F6EEF0E"/>
    <w:rsid w:val="7F6F0A0F"/>
    <w:rsid w:val="7F76E999"/>
    <w:rsid w:val="7F7B03BB"/>
    <w:rsid w:val="7F902B1F"/>
    <w:rsid w:val="7FED8E89"/>
    <w:rsid w:val="8AEF2FF8"/>
    <w:rsid w:val="91CEEF37"/>
    <w:rsid w:val="97ECB71C"/>
    <w:rsid w:val="982DB81D"/>
    <w:rsid w:val="A3FCDC64"/>
    <w:rsid w:val="AAFB2CAC"/>
    <w:rsid w:val="ACDB6016"/>
    <w:rsid w:val="AEE789CE"/>
    <w:rsid w:val="AF645F5D"/>
    <w:rsid w:val="B4FFB961"/>
    <w:rsid w:val="B7EF5E0B"/>
    <w:rsid w:val="B7FF69C3"/>
    <w:rsid w:val="BA94BA96"/>
    <w:rsid w:val="BAEF573B"/>
    <w:rsid w:val="BB5F05BA"/>
    <w:rsid w:val="BFFD52B6"/>
    <w:rsid w:val="C7563EC1"/>
    <w:rsid w:val="DAA7804D"/>
    <w:rsid w:val="DD7F9246"/>
    <w:rsid w:val="DD7FAA79"/>
    <w:rsid w:val="DE6BBB83"/>
    <w:rsid w:val="DED7A33C"/>
    <w:rsid w:val="DEFDA2BC"/>
    <w:rsid w:val="DF9BE56F"/>
    <w:rsid w:val="DFCEFC33"/>
    <w:rsid w:val="DFDB7CA4"/>
    <w:rsid w:val="DFFB97CF"/>
    <w:rsid w:val="E67B7465"/>
    <w:rsid w:val="EC7BC17B"/>
    <w:rsid w:val="EEAF20E9"/>
    <w:rsid w:val="EFD4B4CC"/>
    <w:rsid w:val="EFF66422"/>
    <w:rsid w:val="EFF6C6D1"/>
    <w:rsid w:val="F2E5EA2F"/>
    <w:rsid w:val="F357A3E2"/>
    <w:rsid w:val="F5EDEB3D"/>
    <w:rsid w:val="F7CF42F8"/>
    <w:rsid w:val="F7FD234E"/>
    <w:rsid w:val="F7FEEF49"/>
    <w:rsid w:val="F9E74E97"/>
    <w:rsid w:val="FAEF23D2"/>
    <w:rsid w:val="FB677CE2"/>
    <w:rsid w:val="FB7BF320"/>
    <w:rsid w:val="FB7F4EEB"/>
    <w:rsid w:val="FBFD3084"/>
    <w:rsid w:val="FDF68400"/>
    <w:rsid w:val="FDFC98CA"/>
    <w:rsid w:val="FDFFF1A6"/>
    <w:rsid w:val="FEDB65B8"/>
    <w:rsid w:val="FF5E2030"/>
    <w:rsid w:val="FF5EB9FB"/>
    <w:rsid w:val="FFFF2A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方正仿宋_GBK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next w:val="1"/>
    <w:qFormat/>
    <w:uiPriority w:val="0"/>
    <w:pPr>
      <w:widowControl w:val="0"/>
      <w:spacing w:after="120" w:line="278" w:lineRule="auto"/>
      <w:ind w:firstLine="420" w:firstLineChars="100"/>
      <w:jc w:val="both"/>
    </w:pPr>
    <w:rPr>
      <w:rFonts w:hint="eastAsia"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99"/>
    <w:pPr>
      <w:spacing w:beforeLines="0" w:afterLines="0"/>
    </w:pPr>
    <w:rPr>
      <w:rFonts w:hint="eastAsia"/>
      <w:sz w:val="21"/>
    </w:rPr>
  </w:style>
  <w:style w:type="paragraph" w:styleId="4">
    <w:name w:val="Body Text Indent 2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unhideWhenUsed/>
    <w:qFormat/>
    <w:uiPriority w:val="99"/>
    <w:pPr>
      <w:spacing w:beforeLines="0" w:after="120" w:afterLines="0" w:line="480" w:lineRule="auto"/>
    </w:pPr>
    <w:rPr>
      <w:rFonts w:hint="eastAsia"/>
      <w:sz w:val="21"/>
    </w:rPr>
  </w:style>
  <w:style w:type="paragraph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函的二级标题"/>
    <w:basedOn w:val="1"/>
    <w:qFormat/>
    <w:uiPriority w:val="0"/>
    <w:pPr>
      <w:spacing w:beforeLines="0" w:afterLines="0"/>
      <w:ind w:firstLine="640" w:firstLineChars="200"/>
    </w:pPr>
    <w:rPr>
      <w:rFonts w:hint="eastAsia" w:ascii="方正楷体_GBK" w:hAnsi="方正楷体_GBK" w:eastAsia="方正楷体_GBK" w:cs="方正楷体_GBK"/>
      <w:sz w:val="32"/>
      <w:szCs w:val="32"/>
      <w:lang w:bidi="ar"/>
    </w:rPr>
  </w:style>
  <w:style w:type="paragraph" w:customStyle="1" w:styleId="12">
    <w:name w:val="函的一级标题"/>
    <w:basedOn w:val="1"/>
    <w:qFormat/>
    <w:uiPriority w:val="0"/>
    <w:pPr>
      <w:ind w:firstLine="640" w:firstLineChars="200"/>
    </w:pPr>
    <w:rPr>
      <w:rFonts w:hint="eastAsia" w:eastAsia="方正黑体_GBK" w:cs="方正黑体_GBK"/>
      <w:sz w:val="32"/>
      <w:szCs w:val="32"/>
    </w:rPr>
  </w:style>
  <w:style w:type="paragraph" w:customStyle="1" w:styleId="13">
    <w:name w:val="函的三级标题"/>
    <w:basedOn w:val="1"/>
    <w:qFormat/>
    <w:uiPriority w:val="0"/>
    <w:pPr>
      <w:spacing w:beforeLines="0" w:afterLines="0"/>
      <w:ind w:firstLine="640" w:firstLineChars="200"/>
    </w:pPr>
    <w:rPr>
      <w:rFonts w:hint="eastAsia" w:ascii="方正仿宋_GBK" w:hAnsi="方正仿宋_GBK" w:eastAsia="方正仿宋_GBK" w:cs="方正仿宋_GBK"/>
      <w:sz w:val="32"/>
      <w:szCs w:val="32"/>
    </w:rPr>
  </w:style>
  <w:style w:type="paragraph" w:customStyle="1" w:styleId="14">
    <w:name w:val="函的正文"/>
    <w:basedOn w:val="1"/>
    <w:qFormat/>
    <w:uiPriority w:val="0"/>
    <w:pPr>
      <w:autoSpaceDE w:val="0"/>
      <w:ind w:firstLine="640" w:firstLineChars="200"/>
    </w:pPr>
    <w:rPr>
      <w:rFonts w:hint="eastAsia" w:eastAsia="方正仿宋_GBK" w:cs="方正仿宋_GBK"/>
      <w:sz w:val="32"/>
      <w:szCs w:val="32"/>
    </w:rPr>
  </w:style>
  <w:style w:type="paragraph" w:customStyle="1" w:styleId="15">
    <w:name w:val="函的标题"/>
    <w:basedOn w:val="1"/>
    <w:qFormat/>
    <w:uiPriority w:val="0"/>
    <w:pPr>
      <w:snapToGrid w:val="0"/>
      <w:spacing w:beforeLines="0" w:afterLines="0" w:line="720" w:lineRule="atLeast"/>
      <w:jc w:val="center"/>
    </w:pPr>
    <w:rPr>
      <w:rFonts w:hint="eastAsia" w:ascii="方正仿宋_GBK" w:hAnsi="方正仿宋_GBK" w:eastAsia="方正小标宋_GBK" w:cs="方正仿宋_GBK"/>
      <w:sz w:val="44"/>
      <w:szCs w:val="32"/>
    </w:rPr>
  </w:style>
  <w:style w:type="paragraph" w:customStyle="1" w:styleId="16">
    <w:name w:val="函的版记"/>
    <w:basedOn w:val="1"/>
    <w:qFormat/>
    <w:uiPriority w:val="0"/>
    <w:pPr>
      <w:spacing w:beforeLines="0" w:afterLines="0"/>
      <w:ind w:left="210" w:leftChars="100" w:right="210" w:rightChars="100" w:firstLine="0" w:firstLineChars="0"/>
      <w:jc w:val="left"/>
    </w:pPr>
    <w:rPr>
      <w:rFonts w:hint="eastAsia" w:ascii="方正仿宋_GBK" w:hAnsi="方正仿宋_GBK" w:eastAsia="方正仿宋_GBK" w:cs="方正仿宋_GBK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1</Lines>
  <Paragraphs>1</Paragraphs>
  <TotalTime>12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2026-02-21T01:51:00Z</dcterms:created>
  <dc:creator>guanliyuan</dc:creator>
  <cp:lastModifiedBy>${userName!}</cp:lastModifiedBy>
  <cp:lastPrinted>2026-05-07T07:22:00Z</cp:lastPrinted>
  <dcterms:modified xsi:type="dcterms:W3CDTF">2026-05-18T01:28:33Z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8EA3AB75E4D6AA9EE9D5C9690E32BA67_43</vt:lpwstr>
  </property>
</Properties>
</file>