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atLeast"/>
        <w:jc w:val="left"/>
        <w:textAlignment w:val="auto"/>
        <w:rPr>
          <w:rFonts w:hint="eastAsia" w:ascii="方正黑体_GBK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方正黑体_GBK" w:hAnsi="Times New Roman" w:eastAsia="方正黑体_GBK" w:cs="Times New Roman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firstLine="640"/>
        <w:textAlignment w:val="auto"/>
        <w:rPr>
          <w:rFonts w:ascii="方正小标宋_GBK" w:hAnsi="宋体" w:eastAsia="方正小标宋_GBK" w:cs="宋体"/>
          <w:color w:val="000000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</w:rPr>
        <w:t>重庆市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  <w:lang w:val="en-US" w:eastAsia="zh-CN"/>
        </w:rPr>
        <w:t>荣昌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</w:rPr>
        <w:t>区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  <w:lang w:eastAsia="zh-CN"/>
        </w:rPr>
        <w:t>第五次全国经济普查研究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</w:rPr>
        <w:t>课题选题指南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</w:rPr>
      </w:pPr>
    </w:p>
    <w:tbl>
      <w:tblPr>
        <w:tblStyle w:val="5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荣昌区民营经济高质量发展状况研究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高质量发展背景下荣昌区建设成渝腹心现代化新兴城市路径研究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荣昌区加快生产性服务业赋能先进制造业发展研究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荣昌区培育壮大先进制造业集群策略研究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从经普数据看地区企业活跃度、生命周期和发展质量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荣昌区第二、第三产业单位就业人员状况研究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荣昌区商贸业发展现状及对策研究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8275" w:type="dxa"/>
            <w:vAlign w:val="center"/>
          </w:tcPr>
          <w:p>
            <w:pPr>
              <w:tabs>
                <w:tab w:val="left" w:pos="1356"/>
              </w:tabs>
              <w:bidi w:val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“流量经济”时代下互联网赋能荣昌特色产业发展研究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778DB"/>
    <w:rsid w:val="203778DB"/>
    <w:rsid w:val="40B826CE"/>
    <w:rsid w:val="534C59F4"/>
    <w:rsid w:val="5B8E3EF3"/>
    <w:rsid w:val="5BA64241"/>
    <w:rsid w:val="76D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4" w:lineRule="exact"/>
    </w:pPr>
    <w:rPr>
      <w:rFonts w:ascii="Times New Roman" w:hAnsi="Times New Roman" w:eastAsia="方正仿宋_GBK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2025-06-06T09:16:00Z</dcterms:created>
  <dc:creator>Administrator</dc:creator>
  <cp:lastModifiedBy>Administrator</cp:lastModifiedBy>
  <cp:lastPrinted>2025-06-24T02:24:00Z</cp:lastPrinted>
  <dcterms:modified xsi:type="dcterms:W3CDTF">2025-07-08T09:32:23Z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