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重庆市荣昌区统计局</w:t>
      </w:r>
    </w:p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2025年政府信息公开工作年度报告</w:t>
      </w:r>
    </w:p>
    <w:bookmarkEnd w:id="0"/>
    <w:p>
      <w:pPr>
        <w:numPr>
          <w:ilvl w:val="0"/>
          <w:numId w:val="1"/>
        </w:numPr>
        <w:spacing w:line="600" w:lineRule="exact"/>
        <w:rPr>
          <w:rFonts w:ascii="方正黑体_GBK" w:hAnsi="方正黑体_GBK" w:eastAsia="方正黑体_GBK" w:cs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</w:rPr>
      </w:pPr>
      <w:r>
        <w:rPr>
          <w:rFonts w:hint="eastAsia" w:ascii="Times New Roman" w:hAnsi="Times New Roman" w:cs="Times New Roman"/>
          <w:color w:val="auto"/>
          <w:szCs w:val="32"/>
        </w:rPr>
        <w:t>202</w:t>
      </w:r>
      <w:r>
        <w:rPr>
          <w:rFonts w:hint="eastAsia" w:cs="Times New Roman"/>
          <w:color w:val="auto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Cs w:val="32"/>
        </w:rPr>
        <w:t>年，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区统计局</w:t>
      </w:r>
      <w:r>
        <w:rPr>
          <w:rFonts w:hint="eastAsia" w:ascii="Times New Roman" w:hAnsi="Times New Roman" w:cs="Times New Roman"/>
          <w:color w:val="auto"/>
          <w:szCs w:val="32"/>
        </w:rPr>
        <w:t>认真贯彻落实《中华人民共和国政府信息公开条例》及区政府相关工作部署，紧紧围绕统计中心工作，持续推进政府信息公开工作规范化、标准化，着力提升政府信息公开实效。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（一）主动公开。202</w:t>
      </w:r>
      <w:r>
        <w:rPr>
          <w:rFonts w:hint="eastAsia"/>
          <w:color w:val="auto"/>
          <w:szCs w:val="32"/>
          <w:lang w:val="en-US" w:eastAsia="zh-CN"/>
        </w:rPr>
        <w:t>5</w:t>
      </w:r>
      <w:r>
        <w:rPr>
          <w:rFonts w:hint="eastAsia"/>
          <w:color w:val="auto"/>
          <w:szCs w:val="32"/>
        </w:rPr>
        <w:t>年1月1日至12月31日，</w:t>
      </w:r>
      <w:r>
        <w:rPr>
          <w:rFonts w:hint="eastAsia"/>
          <w:color w:val="auto"/>
          <w:szCs w:val="32"/>
          <w:lang w:eastAsia="zh-CN"/>
        </w:rPr>
        <w:t>我</w:t>
      </w:r>
      <w:r>
        <w:rPr>
          <w:rFonts w:hint="eastAsia"/>
          <w:color w:val="auto"/>
          <w:szCs w:val="32"/>
        </w:rPr>
        <w:t>局通过政府网站集约化平台主动公开政府信息共计51条，其中统计信息21条，其他类信息30条。公开前均已履行保密审查程序，确认均不涉及国家秘密、商业秘密和个人隐私，亦不存在因上述原因可能对公共利益造成重大影响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</w:rPr>
      </w:pPr>
      <w:r>
        <w:rPr>
          <w:rFonts w:hint="eastAsia"/>
          <w:color w:val="auto"/>
          <w:szCs w:val="32"/>
        </w:rPr>
        <w:t>（二）依申请公开。</w:t>
      </w:r>
      <w:r>
        <w:rPr>
          <w:rFonts w:hint="eastAsia" w:cs="Times New Roman"/>
          <w:color w:val="auto"/>
          <w:szCs w:val="32"/>
          <w:lang w:eastAsia="zh-CN"/>
        </w:rPr>
        <w:t>我</w:t>
      </w:r>
      <w:r>
        <w:rPr>
          <w:rFonts w:hint="eastAsia" w:ascii="Times New Roman" w:hAnsi="Times New Roman" w:cs="Times New Roman"/>
          <w:color w:val="auto"/>
          <w:szCs w:val="32"/>
        </w:rPr>
        <w:t>局严格遵循政府信息依申请公开工作规范，畅通申请渠道，优化办理流程，依法保障公众知情权。2025年度，未收到政府信息公开申请。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（三）政府信息管理。</w:t>
      </w:r>
      <w:r>
        <w:rPr>
          <w:rFonts w:hint="eastAsia" w:ascii="Times New Roman" w:hAnsi="Times New Roman" w:cs="Times New Roman"/>
          <w:color w:val="auto"/>
          <w:szCs w:val="32"/>
        </w:rPr>
        <w:t>全年严格执行政府信息发布“三审三校”制度，完善从信息采集、审核到发布的全流程管理。强化政府信息动态管理，定期开展已公开信息的核查、更新与清理工作，保障信息的准确性、时效性和有效性。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</w:rPr>
      </w:pPr>
      <w:r>
        <w:rPr>
          <w:rFonts w:hint="eastAsia"/>
          <w:color w:val="auto"/>
          <w:szCs w:val="32"/>
        </w:rPr>
        <w:t>（四）平台建设。</w:t>
      </w:r>
      <w:r>
        <w:rPr>
          <w:rFonts w:hint="eastAsia"/>
          <w:color w:val="auto"/>
          <w:szCs w:val="32"/>
          <w:lang w:eastAsia="zh-CN"/>
        </w:rPr>
        <w:t>立足政府网站作为信息公开第一平台的功能定位，持续优化网站栏目设置与功能，特别是完善了统计相关领域基层政务公开栏目，提升数据查询便捷性。定期开展平台信息风险排查，及时清理无效、过时信息，确保平台信息质量</w:t>
      </w:r>
      <w:r>
        <w:rPr>
          <w:rFonts w:hint="eastAsia" w:ascii="Times New Roman" w:hAnsi="Times New Roman" w:cs="Times New Roman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</w:rPr>
      </w:pPr>
      <w:r>
        <w:rPr>
          <w:rFonts w:hint="eastAsia"/>
          <w:color w:val="auto"/>
          <w:szCs w:val="32"/>
        </w:rPr>
        <w:t>（五）监督保障</w:t>
      </w:r>
      <w:r>
        <w:rPr>
          <w:rFonts w:hint="eastAsia"/>
          <w:color w:val="auto"/>
          <w:szCs w:val="32"/>
          <w:lang w:eastAsia="zh-CN"/>
        </w:rPr>
        <w:t>工作</w:t>
      </w:r>
      <w:r>
        <w:rPr>
          <w:rFonts w:hint="eastAsia"/>
          <w:color w:val="auto"/>
          <w:szCs w:val="32"/>
        </w:rPr>
        <w:t>。</w:t>
      </w:r>
      <w:r>
        <w:rPr>
          <w:rFonts w:hint="eastAsia" w:ascii="Times New Roman" w:hAnsi="Times New Roman" w:cs="Times New Roman"/>
          <w:color w:val="auto"/>
          <w:szCs w:val="32"/>
        </w:rPr>
        <w:t>健全内部工作制度与考核机制，压实各科室责任。通过组织专题学习、开展业务培训等方式，提升全局干部职工的政务公开意识和能力。建立常态化信息发布检查机制，重点督查应公开信息的及时性</w:t>
      </w:r>
      <w:bookmarkStart w:id="2" w:name="_GoBack"/>
      <w:bookmarkEnd w:id="2"/>
      <w:r>
        <w:rPr>
          <w:rFonts w:hint="eastAsia" w:ascii="Times New Roman" w:hAnsi="Times New Roman" w:cs="Times New Roman"/>
          <w:color w:val="auto"/>
          <w:szCs w:val="32"/>
        </w:rPr>
        <w:t>，对发现的问题立行立改。自觉接受社会各方监督，全年未发生因政府信息公开工作不到位而被问责的情形。</w:t>
      </w:r>
    </w:p>
    <w:bookmarkEnd w:id="1"/>
    <w:p>
      <w:pPr>
        <w:spacing w:line="600" w:lineRule="exact"/>
        <w:rPr>
          <w:rFonts w:ascii="方正黑体_GBK" w:hAnsi="方正黑体_GBK" w:eastAsia="方正黑体_GBK" w:cs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二、主动公开政府信息情况</w:t>
      </w:r>
    </w:p>
    <w:tbl>
      <w:tblPr>
        <w:tblStyle w:val="5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eastAsia="楷体" w:cs="楷体"/>
                <w:color w:val="auto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（二）部分公开</w:t>
            </w:r>
            <w:r>
              <w:rPr>
                <w:rFonts w:eastAsia="楷体" w:cs="楷体"/>
                <w:color w:val="auto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rPr>
          <w:rFonts w:ascii="方正黑体_GBK" w:hAnsi="方正黑体_GBK" w:eastAsia="方正黑体_GBK" w:cs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简体"/>
                <w:color w:val="auto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简体"/>
                <w:color w:val="auto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bidi="ar"/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黑体" w:cs="黑体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spacing w:line="600" w:lineRule="exact"/>
        <w:rPr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2025年，本局政府信息公开工作主要存在以下不足：一是主动公开的广度和深度有待拓展，部分信息公开的及时性、全面性需进一步提升；二是政策解读的针对性和形式多样性有待加强，信息公开工作人员的业务能力需通过培训持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下一步改进措施：一是强化主动公开意识，细化公开内容，确保应公开尽公开</w:t>
      </w:r>
      <w:r>
        <w:rPr>
          <w:rFonts w:hint="eastAsia" w:cs="Times New Roman"/>
          <w:color w:val="auto"/>
          <w:szCs w:val="32"/>
          <w:lang w:val="en-US" w:eastAsia="zh-CN"/>
        </w:rPr>
        <w:t>；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二是创新政策解读方式，提升解读质量和可读性</w:t>
      </w:r>
      <w:r>
        <w:rPr>
          <w:rFonts w:hint="eastAsia" w:cs="Times New Roman"/>
          <w:color w:val="auto"/>
          <w:szCs w:val="32"/>
          <w:lang w:val="en-US" w:eastAsia="zh-CN"/>
        </w:rPr>
        <w:t>；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三是加强队伍建设，定期开展业务培训和工作交流，全面提升政府信息公开工作水平。</w:t>
      </w:r>
    </w:p>
    <w:p>
      <w:pPr>
        <w:spacing w:line="600" w:lineRule="exact"/>
        <w:rPr>
          <w:rFonts w:ascii="方正黑体_GBK" w:hAnsi="方正黑体_GBK" w:eastAsia="方正黑体_GBK" w:cs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本机关未收取信息处理费。</w:t>
      </w:r>
    </w:p>
    <w:p>
      <w:pPr>
        <w:spacing w:line="600" w:lineRule="exact"/>
        <w:jc w:val="left"/>
        <w:rPr>
          <w:rFonts w:eastAsia="方正黑体_GBK" w:cs="方正黑体_GBK"/>
          <w:color w:val="auto"/>
        </w:rPr>
      </w:pPr>
    </w:p>
    <w:p>
      <w:pPr>
        <w:widowControl/>
        <w:jc w:val="left"/>
        <w:rPr>
          <w:rFonts w:eastAsia="方正黑体_GBK" w:cs="方正黑体_GBK"/>
          <w:color w:val="auto"/>
        </w:rPr>
      </w:pPr>
    </w:p>
    <w:p/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474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5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framePr w:wrap="around" w:vAnchor="text" w:hAnchor="margin" w:xAlign="outside" w:y="1"/>
      <w:ind w:left="320" w:leftChars="100" w:right="360" w:firstLine="360"/>
      <w:rPr>
        <w:rStyle w:val="7"/>
        <w:rFonts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21FC"/>
    <w:rsid w:val="0C57600C"/>
    <w:rsid w:val="0E6A5F5D"/>
    <w:rsid w:val="0FD90399"/>
    <w:rsid w:val="14920D8A"/>
    <w:rsid w:val="1DB021FC"/>
    <w:rsid w:val="23435C0D"/>
    <w:rsid w:val="29743377"/>
    <w:rsid w:val="46C86750"/>
    <w:rsid w:val="64312FCB"/>
    <w:rsid w:val="745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2025-01-16T09:39:00Z</dcterms:created>
  <dc:creator>Administrator</dc:creator>
  <cp:lastModifiedBy>Administrator</cp:lastModifiedBy>
  <cp:lastPrinted>2026-01-22T09:39:00Z</cp:lastPrinted>
  <dcterms:modified xsi:type="dcterms:W3CDTF">2026-01-28T02:30:14Z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