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600" w:lineRule="exact"/>
        <w:ind w:left="0" w:leftChars="0" w:right="0" w:rightChars="0" w:firstLine="0" w:firstLineChars="0"/>
        <w:jc w:val="center"/>
        <w:textAlignment w:val="auto"/>
        <w:outlineLvl w:val="9"/>
        <w:rPr>
          <w:rStyle w:val="22"/>
          <w:rFonts w:hint="eastAsia" w:ascii="方正小标宋_GBK" w:hAnsi="方正小标宋_GBK" w:eastAsia="方正小标宋_GBK" w:cs="方正小标宋_GBK"/>
          <w:b/>
          <w:sz w:val="44"/>
          <w:szCs w:val="44"/>
          <w:shd w:val="clear" w:fill="FFFFFF"/>
        </w:rPr>
      </w:pP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kern w:val="0"/>
          <w:sz w:val="44"/>
          <w:szCs w:val="44"/>
        </w:rPr>
      </w:pPr>
      <w:r>
        <w:rPr>
          <w:rStyle w:val="22"/>
          <w:rFonts w:hint="eastAsia" w:ascii="方正小标宋_GBK" w:hAnsi="方正小标宋_GBK" w:eastAsia="方正小标宋_GBK" w:cs="方正小标宋_GBK"/>
          <w:b w:val="0"/>
          <w:bCs/>
          <w:sz w:val="44"/>
          <w:szCs w:val="44"/>
          <w:shd w:val="clear" w:fill="FFFFFF"/>
        </w:rPr>
        <w:t>重庆市荣昌区军队离休退休干部服务管理中心2022年度部门决算情况说明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黑体_GBK" w:hAnsi="方正黑体_GBK" w:eastAsia="方正黑体_GBK" w:cs="方正黑体_GBK"/>
          <w:kern w:val="0"/>
          <w:sz w:val="32"/>
          <w:szCs w:val="32"/>
        </w:rPr>
      </w:pPr>
      <w:r>
        <w:rPr>
          <w:rStyle w:val="22"/>
          <w:rFonts w:hint="eastAsia" w:ascii="方正黑体_GBK" w:hAnsi="方正黑体_GBK" w:eastAsia="方正黑体_GBK" w:cs="方正黑体_GBK"/>
          <w:b/>
          <w:sz w:val="32"/>
          <w:szCs w:val="32"/>
          <w:shd w:val="clear" w:fill="FFFFFF"/>
        </w:rPr>
        <w:t>一、部门基本情况</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（一）职能职责</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22"/>
          <w:rFonts w:hint="eastAsia" w:ascii="方正仿宋_GBK" w:hAnsi="方正仿宋_GBK" w:eastAsia="方正仿宋_GBK" w:cs="方正仿宋_GBK"/>
          <w:b w:val="0"/>
          <w:bCs/>
          <w:sz w:val="32"/>
          <w:szCs w:val="32"/>
          <w:shd w:val="clear" w:fill="FFFFFF"/>
        </w:rPr>
        <w:t>单位现行的职能职责：</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22"/>
          <w:rFonts w:hint="eastAsia" w:ascii="方正仿宋_GBK" w:hAnsi="方正仿宋_GBK" w:eastAsia="方正仿宋_GBK" w:cs="方正仿宋_GBK"/>
          <w:b w:val="0"/>
          <w:bCs/>
          <w:sz w:val="32"/>
          <w:szCs w:val="32"/>
          <w:shd w:val="clear" w:fill="FFFFFF"/>
        </w:rPr>
        <w:t>1</w:t>
      </w:r>
      <w:r>
        <w:rPr>
          <w:rStyle w:val="22"/>
          <w:rFonts w:hint="eastAsia" w:ascii="方正仿宋_GBK" w:hAnsi="方正仿宋_GBK" w:eastAsia="方正仿宋_GBK" w:cs="方正仿宋_GBK"/>
          <w:b/>
          <w:sz w:val="32"/>
          <w:szCs w:val="32"/>
          <w:shd w:val="clear" w:fill="FFFFFF"/>
        </w:rPr>
        <w:t>.</w:t>
      </w:r>
      <w:r>
        <w:rPr>
          <w:rStyle w:val="22"/>
          <w:rFonts w:hint="eastAsia" w:ascii="方正仿宋_GBK" w:hAnsi="方正仿宋_GBK" w:eastAsia="方正仿宋_GBK" w:cs="方正仿宋_GBK"/>
          <w:b w:val="0"/>
          <w:bCs/>
          <w:sz w:val="32"/>
          <w:szCs w:val="32"/>
          <w:shd w:val="clear" w:fill="FFFFFF"/>
        </w:rPr>
        <w:t>负责军队离退休干部（士官）接收、管理和服务工作，落实军队离退休干部（士官）的政治待遇和生活待遇。</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22"/>
          <w:rFonts w:hint="eastAsia" w:ascii="方正仿宋_GBK" w:hAnsi="方正仿宋_GBK" w:eastAsia="方正仿宋_GBK" w:cs="方正仿宋_GBK"/>
          <w:b w:val="0"/>
          <w:bCs/>
          <w:sz w:val="32"/>
          <w:szCs w:val="32"/>
          <w:shd w:val="clear" w:fill="FFFFFF"/>
        </w:rPr>
        <w:t>2</w:t>
      </w:r>
      <w:r>
        <w:rPr>
          <w:rStyle w:val="22"/>
          <w:rFonts w:hint="eastAsia" w:ascii="方正仿宋_GBK" w:hAnsi="方正仿宋_GBK" w:eastAsia="方正仿宋_GBK" w:cs="方正仿宋_GBK"/>
          <w:b/>
          <w:sz w:val="32"/>
          <w:szCs w:val="32"/>
          <w:shd w:val="clear" w:fill="FFFFFF"/>
        </w:rPr>
        <w:t>.</w:t>
      </w:r>
      <w:r>
        <w:rPr>
          <w:rStyle w:val="22"/>
          <w:rFonts w:hint="eastAsia" w:ascii="方正仿宋_GBK" w:hAnsi="方正仿宋_GBK" w:eastAsia="方正仿宋_GBK" w:cs="方正仿宋_GBK"/>
          <w:b w:val="0"/>
          <w:bCs/>
          <w:sz w:val="32"/>
          <w:szCs w:val="32"/>
          <w:shd w:val="clear" w:fill="FFFFFF"/>
        </w:rPr>
        <w:t>负责中心国有资产的管理和维护。</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22"/>
          <w:rFonts w:hint="eastAsia" w:ascii="方正仿宋_GBK" w:hAnsi="方正仿宋_GBK" w:eastAsia="方正仿宋_GBK" w:cs="方正仿宋_GBK"/>
          <w:b w:val="0"/>
          <w:bCs/>
          <w:sz w:val="32"/>
          <w:szCs w:val="32"/>
          <w:shd w:val="clear" w:fill="FFFFFF"/>
        </w:rPr>
        <w:t>3</w:t>
      </w:r>
      <w:r>
        <w:rPr>
          <w:rStyle w:val="22"/>
          <w:rFonts w:hint="eastAsia" w:ascii="方正仿宋_GBK" w:hAnsi="方正仿宋_GBK" w:eastAsia="方正仿宋_GBK" w:cs="方正仿宋_GBK"/>
          <w:b/>
          <w:sz w:val="32"/>
          <w:szCs w:val="32"/>
          <w:shd w:val="clear" w:fill="FFFFFF"/>
        </w:rPr>
        <w:t>.</w:t>
      </w:r>
      <w:r>
        <w:rPr>
          <w:rStyle w:val="22"/>
          <w:rFonts w:hint="eastAsia" w:ascii="方正仿宋_GBK" w:hAnsi="方正仿宋_GBK" w:eastAsia="方正仿宋_GBK" w:cs="方正仿宋_GBK"/>
          <w:b w:val="0"/>
          <w:bCs/>
          <w:sz w:val="32"/>
          <w:szCs w:val="32"/>
          <w:shd w:val="clear" w:fill="FFFFFF"/>
        </w:rPr>
        <w:t>组织开展文体活动和社会公益活动。</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（二）机构设置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22"/>
          <w:rFonts w:hint="eastAsia" w:ascii="方正仿宋_GBK" w:hAnsi="方正仿宋_GBK" w:eastAsia="方正仿宋_GBK" w:cs="方正仿宋_GBK"/>
          <w:b w:val="0"/>
          <w:bCs/>
          <w:sz w:val="32"/>
          <w:szCs w:val="32"/>
          <w:shd w:val="clear" w:fill="FFFFFF"/>
        </w:rPr>
        <w:t>重庆市荣昌区退役军人事务局；重庆市荣昌区军队离休退休干部服务管理中心（二级单位）。重庆市荣昌区军队离休退休干部服务管理中心为区退役军人事务局管理的正科级财政全额拨款事业单位（公益一类）。</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960" w:firstLineChars="300"/>
        <w:jc w:val="left"/>
        <w:textAlignment w:val="auto"/>
        <w:outlineLvl w:val="9"/>
        <w:rPr>
          <w:rFonts w:hint="eastAsia" w:ascii="方正黑体_GBK" w:hAnsi="方正黑体_GBK" w:eastAsia="方正黑体_GBK" w:cs="方正黑体_GBK"/>
          <w:b w:val="0"/>
          <w:bCs/>
          <w:kern w:val="0"/>
          <w:sz w:val="32"/>
          <w:szCs w:val="32"/>
        </w:rPr>
      </w:pPr>
      <w:r>
        <w:rPr>
          <w:rStyle w:val="22"/>
          <w:rFonts w:hint="eastAsia" w:ascii="方正黑体_GBK" w:hAnsi="方正黑体_GBK" w:eastAsia="方正黑体_GBK" w:cs="方正黑体_GBK"/>
          <w:b w:val="0"/>
          <w:bCs/>
          <w:sz w:val="32"/>
          <w:szCs w:val="32"/>
          <w:shd w:val="clear" w:fill="FFFFFF"/>
        </w:rPr>
        <w:t>二、部门决算情况说明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（一）收入支出决算总体情况说明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22"/>
          <w:rFonts w:hint="eastAsia" w:ascii="方正仿宋_GBK" w:hAnsi="方正仿宋_GBK" w:eastAsia="方正仿宋_GBK" w:cs="方正仿宋_GBK"/>
          <w:b/>
          <w:sz w:val="32"/>
          <w:szCs w:val="32"/>
          <w:shd w:val="clear" w:fill="FFFFFF"/>
        </w:rPr>
        <w:t>1.总体情况。</w:t>
      </w:r>
      <w:r>
        <w:rPr>
          <w:rFonts w:hint="eastAsia" w:ascii="方正仿宋_GBK" w:hAnsi="方正仿宋_GBK" w:eastAsia="方正仿宋_GBK" w:cs="方正仿宋_GBK"/>
          <w:kern w:val="0"/>
          <w:sz w:val="32"/>
          <w:szCs w:val="32"/>
          <w:shd w:val="clear" w:fill="FFFFFF"/>
        </w:rPr>
        <w:t>2022年度收入总计166.14万元，支出总计166.14万元。收支较上年决算数增加166.14万元,增长100%，主要原因是新增单位，无上年数据。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22"/>
          <w:rFonts w:hint="eastAsia" w:ascii="方正仿宋_GBK" w:hAnsi="方正仿宋_GBK" w:eastAsia="方正仿宋_GBK" w:cs="方正仿宋_GBK"/>
          <w:b/>
          <w:sz w:val="32"/>
          <w:szCs w:val="32"/>
          <w:shd w:val="clear" w:fill="FFFFFF"/>
        </w:rPr>
        <w:t>2.收入情况。</w:t>
      </w:r>
      <w:r>
        <w:rPr>
          <w:rFonts w:hint="eastAsia" w:ascii="方正仿宋_GBK" w:hAnsi="方正仿宋_GBK" w:eastAsia="方正仿宋_GBK" w:cs="方正仿宋_GBK"/>
          <w:kern w:val="0"/>
          <w:sz w:val="32"/>
          <w:szCs w:val="32"/>
          <w:shd w:val="clear" w:fill="FFFFFF"/>
        </w:rPr>
        <w:t>2022年度收入合计166.14万元，较上年决算数增加166.14万元，增长100%，主要原因是新增单位，无上年数据。其中：财政拨款收入166.14万元，占100%。</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22"/>
          <w:rFonts w:hint="eastAsia" w:ascii="方正仿宋_GBK" w:hAnsi="方正仿宋_GBK" w:eastAsia="方正仿宋_GBK" w:cs="方正仿宋_GBK"/>
          <w:b/>
          <w:sz w:val="32"/>
          <w:szCs w:val="32"/>
          <w:shd w:val="clear" w:fill="FFFFFF"/>
        </w:rPr>
        <w:t>3.支出情况。</w:t>
      </w:r>
      <w:r>
        <w:rPr>
          <w:rFonts w:hint="eastAsia" w:ascii="方正仿宋_GBK" w:hAnsi="方正仿宋_GBK" w:eastAsia="方正仿宋_GBK" w:cs="方正仿宋_GBK"/>
          <w:kern w:val="0"/>
          <w:sz w:val="32"/>
          <w:szCs w:val="32"/>
          <w:shd w:val="clear" w:fill="FFFFFF"/>
        </w:rPr>
        <w:t>2022年度支出合计166.14万元，较上年决算增加166.14万元，增长100%，主要原因是新增单位，无上年数据。其中：基本支出73.58万元，占44.3%；项目支出92.56万元，占55.7%.</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22"/>
          <w:rFonts w:hint="eastAsia" w:ascii="方正仿宋_GBK" w:hAnsi="方正仿宋_GBK" w:eastAsia="方正仿宋_GBK" w:cs="方正仿宋_GBK"/>
          <w:b/>
          <w:sz w:val="32"/>
          <w:szCs w:val="32"/>
          <w:shd w:val="clear" w:fill="FFFFFF"/>
        </w:rPr>
        <w:t>4.结转结余情况。</w:t>
      </w:r>
      <w:r>
        <w:rPr>
          <w:rFonts w:hint="eastAsia" w:ascii="方正仿宋_GBK" w:hAnsi="方正仿宋_GBK" w:eastAsia="方正仿宋_GBK" w:cs="方正仿宋_GBK"/>
          <w:kern w:val="0"/>
          <w:sz w:val="32"/>
          <w:szCs w:val="32"/>
          <w:shd w:val="clear" w:fill="FFFFFF"/>
        </w:rPr>
        <w:t>2022年度年末结转和结余0.00万元，较上年决算数增加0.00万元，增长0%主要原因是新增单位，无上年数据。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（二）财政拨款收入支出决算总体情况说明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2022年度财政拨款收、支总计166.14万元。与2021年相比，财政拨款收、支总计各增加166.14万元，增长100%。主要原因是新增单位，无上年数据。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（三）一般公共预算财政拨款收入支出决算情况说明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22"/>
          <w:rFonts w:hint="eastAsia" w:ascii="方正仿宋_GBK" w:hAnsi="方正仿宋_GBK" w:eastAsia="方正仿宋_GBK" w:cs="方正仿宋_GBK"/>
          <w:b/>
          <w:sz w:val="32"/>
          <w:szCs w:val="32"/>
          <w:shd w:val="clear" w:fill="FFFFFF"/>
        </w:rPr>
        <w:t>1.收入情况。</w:t>
      </w:r>
      <w:r>
        <w:rPr>
          <w:rFonts w:hint="eastAsia" w:ascii="方正仿宋_GBK" w:hAnsi="方正仿宋_GBK" w:eastAsia="方正仿宋_GBK" w:cs="方正仿宋_GBK"/>
          <w:kern w:val="0"/>
          <w:sz w:val="32"/>
          <w:szCs w:val="32"/>
          <w:shd w:val="clear" w:fill="FFFFFF"/>
        </w:rPr>
        <w:t>2022年度一般公共预算财政拨款收入166.14万元，较上年决算数增加166.14万元，增长100%。主要原因是新增单位，无上年数据。较年初预算数减少112.92万元，下降40.5%。主要原因是厉行节约，办公经费减少。此外，年初财政拨款结转和结余0.00万元。</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22"/>
          <w:rFonts w:hint="eastAsia" w:ascii="方正仿宋_GBK" w:hAnsi="方正仿宋_GBK" w:eastAsia="方正仿宋_GBK" w:cs="方正仿宋_GBK"/>
          <w:b/>
          <w:sz w:val="32"/>
          <w:szCs w:val="32"/>
          <w:shd w:val="clear" w:fill="FFFFFF"/>
        </w:rPr>
        <w:t>2.支出情况。</w:t>
      </w:r>
      <w:r>
        <w:rPr>
          <w:rFonts w:hint="eastAsia" w:ascii="方正仿宋_GBK" w:hAnsi="方正仿宋_GBK" w:eastAsia="方正仿宋_GBK" w:cs="方正仿宋_GBK"/>
          <w:kern w:val="0"/>
          <w:sz w:val="32"/>
          <w:szCs w:val="32"/>
          <w:shd w:val="clear" w:fill="FFFFFF"/>
        </w:rPr>
        <w:t>2022年度一般公共预算财政拨款支出166.14万元，较上年决算数增加166.14万元，增长100%。主要原因是新增单位，无上年数据。较年初预算数减少112.92万元，下降40.5%。主要原因是厉行节约，办公经费减少。</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shd w:val="clear" w:fill="FFFFFF"/>
        </w:rPr>
      </w:pPr>
      <w:r>
        <w:rPr>
          <w:rStyle w:val="22"/>
          <w:rFonts w:hint="eastAsia" w:ascii="方正仿宋_GBK" w:hAnsi="方正仿宋_GBK" w:eastAsia="方正仿宋_GBK" w:cs="方正仿宋_GBK"/>
          <w:b/>
          <w:sz w:val="32"/>
          <w:szCs w:val="32"/>
          <w:shd w:val="clear" w:fill="FFFFFF"/>
        </w:rPr>
        <w:t>3.结转结余情况。</w:t>
      </w:r>
      <w:r>
        <w:rPr>
          <w:rFonts w:hint="eastAsia" w:ascii="方正仿宋_GBK" w:hAnsi="方正仿宋_GBK" w:eastAsia="方正仿宋_GBK" w:cs="方正仿宋_GBK"/>
          <w:kern w:val="0"/>
          <w:sz w:val="32"/>
          <w:szCs w:val="32"/>
          <w:shd w:val="clear" w:fill="FFFFFF"/>
        </w:rPr>
        <w:t>2022年度年末一般公共预算财政拨款结转和结余0.00万元，较上年决算数增加0.00万元，增长100%，主要原因是新增单位，无上年数据。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22"/>
          <w:rFonts w:hint="eastAsia" w:ascii="方正仿宋_GBK" w:hAnsi="方正仿宋_GBK" w:eastAsia="方正仿宋_GBK" w:cs="方正仿宋_GBK"/>
          <w:b/>
          <w:sz w:val="32"/>
          <w:szCs w:val="32"/>
          <w:shd w:val="clear" w:fill="FFFFFF"/>
        </w:rPr>
        <w:t>4.比较情况。</w:t>
      </w:r>
      <w:r>
        <w:rPr>
          <w:rFonts w:hint="eastAsia" w:ascii="方正仿宋_GBK" w:hAnsi="方正仿宋_GBK" w:eastAsia="方正仿宋_GBK" w:cs="方正仿宋_GBK"/>
          <w:kern w:val="0"/>
          <w:sz w:val="32"/>
          <w:szCs w:val="32"/>
          <w:shd w:val="clear" w:fill="FFFFFF"/>
        </w:rPr>
        <w:t>本部门2022年度一般公共预算财政拨款支出主要用于以下几个方面：</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（1）教育支出0.13万元，占0.1%，较年初预算数减少0.20，下降60.6%，主要原因是主要原因是厉行节约，教育经费减少。</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（2）社会保障与就业支出157.47万元，占94.8%，较年初预算数减少112.50万元，下降41.7%，主要原因是保障在编在岗职工社保费。</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（3）卫生健康支出3.59万元，占2.2%，较年初预算数增加0.00万元，增长0%，主要原因是在编在岗职工医疗保险费，与年初预算数持平。</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（4）住房保障支出4.95万元，占3%，较年初预算数减少0.22万元，下降4.3%，主要原因是在编在岗职工住房公积金费，基数调整，公积金费减少。</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（四）一般公共预算财政拨款基本支出决算情况说明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一般公共预算财政拨款基本支出73.58万元。其中：人员经费58.61万元，较上年决算数增加58.61万元，增长100%，主要原因是新增单位，无上年数据。人员经费用途主要包括基本工资、津贴补贴、奖金、机关事业单位基本养老保险缴费、医疗费、住房公积金、医疗费补助。公用经费14.97万元，较上年决算数增加14.97万元，增长100%，主要原因是新增单位，无上年数据。公用经费用途主要包括办公费、邮电费、差旅费、工会经费、会议费、其他商品和服务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（五）政府性基金预算收支决算情况说明。</w:t>
      </w:r>
    </w:p>
    <w:p>
      <w:pPr>
        <w:pStyle w:val="16"/>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本单位2022年度无政府基金预算财政拨款收支。</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（六）国有资本经营预算财政拨款支出决算情况说明。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本单位2022年度无国有资本经营预算财政拨款支出。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22"/>
          <w:rFonts w:hint="eastAsia" w:ascii="方正黑体_GBK" w:hAnsi="方正黑体_GBK" w:eastAsia="方正黑体_GBK" w:cs="方正黑体_GBK"/>
          <w:b w:val="0"/>
          <w:bCs/>
          <w:sz w:val="32"/>
          <w:szCs w:val="32"/>
          <w:shd w:val="clear" w:fill="FFFFFF"/>
        </w:rPr>
        <w:t>三</w:t>
      </w:r>
      <w:r>
        <w:rPr>
          <w:rStyle w:val="22"/>
          <w:rFonts w:hint="eastAsia" w:ascii="方正黑体_GBK" w:hAnsi="方正黑体_GBK" w:eastAsia="方正黑体_GBK" w:cs="方正黑体_GBK"/>
          <w:b w:val="0"/>
          <w:bCs/>
          <w:sz w:val="32"/>
          <w:szCs w:val="32"/>
          <w:shd w:val="clear" w:fill="FFFFFF"/>
          <w:lang w:eastAsia="zh-CN"/>
        </w:rPr>
        <w:t>、</w:t>
      </w:r>
      <w:r>
        <w:rPr>
          <w:rStyle w:val="22"/>
          <w:rFonts w:hint="eastAsia" w:ascii="方正黑体_GBK" w:hAnsi="方正黑体_GBK" w:eastAsia="方正黑体_GBK" w:cs="方正黑体_GBK"/>
          <w:b w:val="0"/>
          <w:bCs/>
          <w:sz w:val="32"/>
          <w:szCs w:val="32"/>
          <w:shd w:val="clear" w:fill="FFFFFF"/>
        </w:rPr>
        <w:t>“三公”经费情况说明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（一）“三公”经费支出总体情况说明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2022年度“三公”经费支出共计0.11万元，较年初预算数减少0.08万元，下降42.1%，主要原因是厉行节约，疫情原因接待减少。较上年支出数增加0.11万元，增长100%，主要原因是新增单位，无上年数据。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（二）“三公”经费分项支出情况</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2022年度本部门因公出国（境）费用0.00万元，主要是用于因公出差费用。费用支出较年初预算数增加0.00万元，增长0%，主要原因是主要原因是本单位2022年度未发生因公国（境）费用。</w:t>
      </w:r>
    </w:p>
    <w:p>
      <w:pPr>
        <w:pStyle w:val="16"/>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公务车购置费0.00万元，主要用于购买公务车费用费用支出较年初预算数增加0.00万元，增长0%，主要原因是本单位2022年度未发生公务车购置费支出。</w:t>
      </w:r>
    </w:p>
    <w:p>
      <w:pPr>
        <w:pStyle w:val="16"/>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公务车运行维护费0.00万元，主要用于公务车运行维护费。费用支出较年初预算数增加0.00万元，增长0%，主要原因是本单位2022年度未发生公务运行维护费支出。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公务接待费0.11万元，主要用于接待接待接待费费用支出较年初预算数减少0.08万元，下降42.1%，主要原因是厉行节约，疫情原因接待减少。较上年支出数增加0.11万元，增长100%，主要原因是</w:t>
      </w:r>
      <w:r>
        <w:rPr>
          <w:rFonts w:hint="eastAsia" w:ascii="方正仿宋_GBK" w:hAnsi="方正仿宋_GBK" w:eastAsia="方正仿宋_GBK" w:cs="方正仿宋_GBK"/>
          <w:color w:val="FF0000"/>
          <w:kern w:val="0"/>
          <w:sz w:val="32"/>
          <w:szCs w:val="32"/>
          <w:shd w:val="clear" w:fill="FFFFFF"/>
        </w:rPr>
        <w:t>.</w:t>
      </w:r>
      <w:r>
        <w:rPr>
          <w:rFonts w:hint="eastAsia" w:ascii="方正仿宋_GBK" w:hAnsi="方正仿宋_GBK" w:eastAsia="方正仿宋_GBK" w:cs="方正仿宋_GBK"/>
          <w:kern w:val="0"/>
          <w:sz w:val="32"/>
          <w:szCs w:val="32"/>
          <w:shd w:val="clear" w:fill="FFFFFF"/>
        </w:rPr>
        <w:t>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（三）“三公”经费实物量情况</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本部门因公出国（境）共计0个团组，0人；公务用车购置0辆，公务车保有量为0辆；国内公务接待2批次10人，其中：国内外事接待0批次，0人；国（境）外公务接待0批次，0人。2022年本部门人均接待费110.00元，车均购置费0.00万元，车均维护费0.00万元。</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22"/>
          <w:rFonts w:hint="eastAsia" w:ascii="方正黑体_GBK" w:hAnsi="方正黑体_GBK" w:eastAsia="方正黑体_GBK" w:cs="方正黑体_GBK"/>
          <w:b w:val="0"/>
          <w:bCs/>
          <w:sz w:val="32"/>
          <w:szCs w:val="32"/>
          <w:shd w:val="clear" w:fill="FFFFFF"/>
        </w:rPr>
        <w:t>四、其他需要说明的事项</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（一）财政拨款会议费和培训费情况说明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本年度会议费支出0.00万元，较上年决算数增加0.00万元，增长0%，主要原因是新增单位，无上年数据。本年度培训费支出0.13万元，较上年决算数增加0.13万元，增长100%，主要原因是新增单位，无上年数据。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（二）机关运行经费支出情况说明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2022年度本部门机关运行经费支出14.97万元，主要用于开支开支为保障行政单位（含 参照公务员法管理的事业单位）运行用于购买货物和服务等的各项公用经费，包括办公及印刷制作宣传视频费、快递费、差旅费报销、福利费、日常维护费、专用材料及一般设备购置费、办公用房水电费、办公用房电费、公务用车运行维护费以及其他费用。机关运行经费较上年决算数增加14.97万元，增长100%，主要原因是新增单位，无上年数据。</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（三）国有资产占用情况说明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（四）政府采购支出说明</w:t>
      </w:r>
    </w:p>
    <w:p>
      <w:pPr>
        <w:pStyle w:val="16"/>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2022年度我单位未发生政府采购事项，无相关经费支出。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22"/>
          <w:rFonts w:hint="eastAsia" w:ascii="方正黑体_GBK" w:hAnsi="方正黑体_GBK" w:eastAsia="方正黑体_GBK" w:cs="方正黑体_GBK"/>
          <w:b w:val="0"/>
          <w:bCs/>
          <w:sz w:val="32"/>
          <w:szCs w:val="32"/>
          <w:shd w:val="clear" w:fill="FFFFFF"/>
        </w:rPr>
        <w:t>五、预算绩效管理情况说明</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（一）预算绩效管理工作开展情况</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Style w:val="19"/>
          <w:rFonts w:hint="eastAsia" w:ascii="方正仿宋_GBK" w:hAnsi="方正仿宋_GBK" w:eastAsia="方正仿宋_GBK" w:cs="方正仿宋_GBK"/>
          <w:b w:val="0"/>
          <w:sz w:val="32"/>
          <w:szCs w:val="32"/>
          <w:shd w:val="clear" w:fill="FFFFFF"/>
        </w:rPr>
        <w:t>2022年度本单位无绩效自评，都在一级部门公开项目绩效。</w:t>
      </w:r>
      <w:r>
        <w:rPr>
          <w:rFonts w:hint="eastAsia" w:ascii="方正仿宋_GBK" w:hAnsi="方正仿宋_GBK" w:eastAsia="方正仿宋_GBK" w:cs="方正仿宋_GBK"/>
          <w:kern w:val="0"/>
          <w:sz w:val="32"/>
          <w:szCs w:val="32"/>
        </w:rPr>
        <w:t xml:space="preserve"> </w:t>
      </w:r>
    </w:p>
    <w:p>
      <w:pPr>
        <w:pStyle w:val="17"/>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22"/>
          <w:rFonts w:hint="eastAsia" w:ascii="方正楷体_GBK" w:hAnsi="方正楷体_GBK" w:eastAsia="方正楷体_GBK" w:cs="方正楷体_GBK"/>
          <w:b w:val="0"/>
          <w:bCs/>
          <w:sz w:val="32"/>
          <w:szCs w:val="32"/>
          <w:shd w:val="clear" w:fill="FFFFFF"/>
        </w:rPr>
      </w:pPr>
      <w:r>
        <w:rPr>
          <w:rStyle w:val="22"/>
          <w:rFonts w:hint="eastAsia" w:ascii="方正楷体_GBK" w:hAnsi="方正楷体_GBK" w:eastAsia="方正楷体_GBK" w:cs="方正楷体_GBK"/>
          <w:b w:val="0"/>
          <w:bCs/>
          <w:sz w:val="32"/>
          <w:szCs w:val="32"/>
          <w:shd w:val="clear" w:fill="FFFFFF"/>
        </w:rPr>
        <w:t>绩效自评结果</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color w:val="FF0000"/>
          <w:kern w:val="0"/>
          <w:sz w:val="32"/>
          <w:szCs w:val="32"/>
          <w:shd w:val="clear" w:fill="FFFFFF"/>
        </w:rPr>
      </w:pPr>
      <w:r>
        <w:rPr>
          <w:rStyle w:val="19"/>
          <w:rFonts w:hint="eastAsia" w:ascii="方正仿宋_GBK" w:hAnsi="方正仿宋_GBK" w:eastAsia="方正仿宋_GBK" w:cs="方正仿宋_GBK"/>
          <w:b w:val="0"/>
          <w:sz w:val="32"/>
          <w:szCs w:val="32"/>
          <w:shd w:val="clear" w:fill="FFFFFF"/>
        </w:rPr>
        <w:t>2022年度本单位无绩效自评，都在一级部门公开项目绩效。</w:t>
      </w:r>
      <w:r>
        <w:rPr>
          <w:rFonts w:hint="eastAsia" w:ascii="方正仿宋_GBK" w:hAnsi="方正仿宋_GBK" w:eastAsia="方正仿宋_GBK" w:cs="方正仿宋_GBK"/>
          <w:kern w:val="0"/>
          <w:sz w:val="32"/>
          <w:szCs w:val="32"/>
        </w:rPr>
        <w:t xml:space="preserve"> </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22"/>
          <w:rFonts w:hint="eastAsia" w:ascii="方正楷体_GBK" w:hAnsi="方正楷体_GBK" w:eastAsia="方正楷体_GBK" w:cs="方正楷体_GBK"/>
          <w:b w:val="0"/>
          <w:bCs/>
          <w:sz w:val="32"/>
          <w:szCs w:val="32"/>
          <w:shd w:val="clear" w:fill="FFFFFF"/>
        </w:rPr>
        <w:t>（三）重点绩效评价结果</w:t>
      </w:r>
      <w:r>
        <w:rPr>
          <w:rStyle w:val="22"/>
          <w:rFonts w:hint="eastAsia" w:ascii="方正楷体_GBK" w:hAnsi="方正楷体_GBK" w:eastAsia="方正楷体_GBK" w:cs="方正楷体_GBK"/>
          <w:b w:val="0"/>
          <w:bCs/>
          <w:sz w:val="32"/>
          <w:szCs w:val="32"/>
          <w:shd w:val="clear" w:fill="FFFFFF"/>
          <w:lang w:eastAsia="zh-CN"/>
        </w:rPr>
        <w:t>。</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kern w:val="0"/>
          <w:sz w:val="32"/>
          <w:szCs w:val="32"/>
          <w:shd w:val="clear" w:fill="FFFFFF"/>
        </w:rPr>
      </w:pPr>
      <w:r>
        <w:rPr>
          <w:rStyle w:val="25"/>
          <w:rFonts w:hint="eastAsia" w:ascii="方正仿宋_GBK" w:hAnsi="方正仿宋_GBK" w:eastAsia="方正仿宋_GBK" w:cs="方正仿宋_GBK"/>
          <w:b w:val="0"/>
          <w:sz w:val="32"/>
          <w:szCs w:val="32"/>
          <w:shd w:val="clear" w:fill="FFFFFF"/>
        </w:rPr>
        <w:t>本部门无区财政局委托第三方机构开展重点绩效评价的项目或政策。</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22"/>
          <w:rFonts w:hint="eastAsia" w:ascii="方正黑体_GBK" w:hAnsi="方正黑体_GBK" w:eastAsia="方正黑体_GBK" w:cs="方正黑体_GBK"/>
          <w:b w:val="0"/>
          <w:bCs/>
          <w:sz w:val="32"/>
          <w:szCs w:val="32"/>
          <w:shd w:val="clear" w:fill="FFFFFF"/>
        </w:rPr>
        <w:t>六、专业名词解释</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（三）其他收入：</w:t>
      </w:r>
      <w:r>
        <w:rPr>
          <w:rFonts w:hint="eastAsia" w:ascii="方正仿宋_GBK" w:hAnsi="方正仿宋_GBK"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（四）使用非财政拨款结余：</w:t>
      </w:r>
      <w:r>
        <w:rPr>
          <w:rFonts w:hint="eastAsia" w:ascii="方正仿宋_GBK" w:hAnsi="方正仿宋_GBK"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（五）年初结转和结余：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（六）结余分配：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（七）年末结转和结余：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（八）基本支出：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（九）项目支出：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（十）“三公”经费：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（十一）机关运行经费：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（十二）工资福利支出（支出经济分类科目类级）：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（十三）商品和服务支出（支出经济分类科目类级）：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（十四）对个人和家庭的补助（支出经济分类科目类级）：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（十五）其他资本性支出（支出经济分类科目类级）：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bookmarkStart w:id="0" w:name="_GoBack"/>
      <w:bookmarkEnd w:id="0"/>
      <w:r>
        <w:rPr>
          <w:rStyle w:val="22"/>
          <w:rFonts w:hint="eastAsia" w:ascii="方正黑体_GBK" w:hAnsi="方正黑体_GBK" w:eastAsia="方正黑体_GBK" w:cs="方正黑体_GBK"/>
          <w:b w:val="0"/>
          <w:bCs/>
          <w:sz w:val="32"/>
          <w:szCs w:val="32"/>
          <w:shd w:val="clear" w:fill="FFFFFF"/>
        </w:rPr>
        <w:t>七、决算公开联系方式及信息反馈渠道</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kern w:val="0"/>
          <w:sz w:val="32"/>
          <w:szCs w:val="32"/>
        </w:rPr>
        <w:t xml:space="preserve">吴宣利  </w:t>
      </w:r>
    </w:p>
    <w:p>
      <w:pPr>
        <w:pStyle w:val="17"/>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联系方式：023-46450526  </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附件: 1重庆市荣昌区军队离休退休干部服务管理中心2022年度部门决算公开报表</w:t>
      </w:r>
    </w:p>
    <w:p>
      <w:pPr>
        <w:rPr>
          <w:rFonts w:hint="eastAsia" w:ascii="方正仿宋_GBK" w:hAnsi="方正仿宋_GBK" w:eastAsia="方正仿宋_GBK" w:cs="方正仿宋_GBK"/>
          <w:i w:val="0"/>
          <w:color w:val="000000"/>
          <w:kern w:val="0"/>
          <w:sz w:val="32"/>
          <w:szCs w:val="32"/>
        </w:rPr>
        <w:sectPr>
          <w:pgSz w:w="11915" w:h="16851"/>
          <w:pgMar w:top="1440" w:right="1800" w:bottom="1440" w:left="1800" w:header="851" w:footer="992" w:gutter="0"/>
          <w:cols w:space="0" w:num="1"/>
          <w:docGrid w:type="lines" w:linePitch="312" w:charSpace="0"/>
        </w:sectPr>
      </w:pPr>
    </w:p>
    <w:tbl>
      <w:tblPr>
        <w:tblStyle w:val="11"/>
        <w:tblW w:w="9066" w:type="dxa"/>
        <w:tblInd w:w="279" w:type="dxa"/>
        <w:shd w:val="clear" w:color="auto" w:fill="auto"/>
        <w:tblLayout w:type="fixed"/>
        <w:tblCellMar>
          <w:top w:w="15" w:type="dxa"/>
          <w:left w:w="15" w:type="dxa"/>
          <w:bottom w:w="15" w:type="dxa"/>
          <w:right w:w="15" w:type="dxa"/>
        </w:tblCellMar>
      </w:tblPr>
      <w:tblGrid>
        <w:gridCol w:w="2034"/>
        <w:gridCol w:w="302"/>
        <w:gridCol w:w="637"/>
        <w:gridCol w:w="482"/>
        <w:gridCol w:w="1078"/>
        <w:gridCol w:w="2034"/>
        <w:gridCol w:w="303"/>
        <w:gridCol w:w="689"/>
        <w:gridCol w:w="428"/>
        <w:gridCol w:w="1079"/>
      </w:tblGrid>
      <w:tr>
        <w:tblPrEx>
          <w:shd w:val="clear" w:color="auto" w:fill="auto"/>
          <w:tblLayout w:type="fixed"/>
          <w:tblCellMar>
            <w:top w:w="15" w:type="dxa"/>
            <w:left w:w="15" w:type="dxa"/>
            <w:bottom w:w="15" w:type="dxa"/>
            <w:right w:w="15" w:type="dxa"/>
          </w:tblCellMar>
        </w:tblPrEx>
        <w:trPr>
          <w:trHeight w:val="375"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32"/>
                <w:szCs w:val="32"/>
              </w:rPr>
            </w:pPr>
            <w:r>
              <w:rPr>
                <w:rFonts w:hint="eastAsia" w:ascii="黑体" w:hAnsi="宋体" w:eastAsia="黑体" w:cs="黑体"/>
                <w:i w:val="0"/>
                <w:color w:val="000000"/>
                <w:kern w:val="0"/>
                <w:sz w:val="32"/>
                <w:szCs w:val="32"/>
              </w:rPr>
              <w:t>收入支出决算表</w:t>
            </w:r>
          </w:p>
        </w:tc>
      </w:tr>
      <w:tr>
        <w:tblPrEx>
          <w:tblLayout w:type="fixed"/>
          <w:tblCellMar>
            <w:top w:w="15" w:type="dxa"/>
            <w:left w:w="15" w:type="dxa"/>
            <w:bottom w:w="15" w:type="dxa"/>
            <w:right w:w="15" w:type="dxa"/>
          </w:tblCellMar>
        </w:tblPrEx>
        <w:trPr>
          <w:trHeight w:val="301" w:hRule="atLeast"/>
        </w:trPr>
        <w:tc>
          <w:tcPr>
            <w:tcW w:w="203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0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197" w:type="dxa"/>
            <w:gridSpan w:val="3"/>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03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0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196"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公开01表</w:t>
            </w:r>
          </w:p>
        </w:tc>
      </w:tr>
      <w:tr>
        <w:tblPrEx>
          <w:tblLayout w:type="fixed"/>
          <w:tblCellMar>
            <w:top w:w="15" w:type="dxa"/>
            <w:left w:w="15" w:type="dxa"/>
            <w:bottom w:w="15" w:type="dxa"/>
            <w:right w:w="15" w:type="dxa"/>
          </w:tblCellMar>
        </w:tblPrEx>
        <w:trPr>
          <w:trHeight w:val="301" w:hRule="atLeast"/>
        </w:trPr>
        <w:tc>
          <w:tcPr>
            <w:tcW w:w="4533"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部门：重庆市荣昌区军队离休退休干部服务管理中心</w:t>
            </w:r>
          </w:p>
        </w:tc>
        <w:tc>
          <w:tcPr>
            <w:tcW w:w="2034"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2022年度</w:t>
            </w:r>
          </w:p>
        </w:tc>
        <w:tc>
          <w:tcPr>
            <w:tcW w:w="303"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196"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金额单位：元</w:t>
            </w:r>
          </w:p>
        </w:tc>
      </w:tr>
      <w:tr>
        <w:tblPrEx>
          <w:tblLayout w:type="fixed"/>
          <w:tblCellMar>
            <w:top w:w="15" w:type="dxa"/>
            <w:left w:w="15" w:type="dxa"/>
            <w:bottom w:w="15" w:type="dxa"/>
            <w:right w:w="15" w:type="dxa"/>
          </w:tblCellMar>
        </w:tblPrEx>
        <w:trPr>
          <w:trHeight w:val="301" w:hRule="atLeast"/>
        </w:trPr>
        <w:tc>
          <w:tcPr>
            <w:tcW w:w="45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收入</w:t>
            </w:r>
          </w:p>
        </w:tc>
        <w:tc>
          <w:tcPr>
            <w:tcW w:w="453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支出</w:t>
            </w:r>
          </w:p>
        </w:tc>
      </w:tr>
      <w:tr>
        <w:tblPrEx>
          <w:tblLayout w:type="fixed"/>
          <w:tblCellMar>
            <w:top w:w="15" w:type="dxa"/>
            <w:left w:w="15" w:type="dxa"/>
            <w:bottom w:w="15" w:type="dxa"/>
            <w:right w:w="15" w:type="dxa"/>
          </w:tblCellMar>
        </w:tblPrEx>
        <w:trPr>
          <w:trHeight w:val="301" w:hRule="atLeast"/>
        </w:trPr>
        <w:tc>
          <w:tcPr>
            <w:tcW w:w="2973"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项目</w:t>
            </w:r>
          </w:p>
        </w:tc>
        <w:tc>
          <w:tcPr>
            <w:tcW w:w="48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行次</w:t>
            </w:r>
          </w:p>
        </w:tc>
        <w:tc>
          <w:tcPr>
            <w:tcW w:w="107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w:t>
            </w:r>
          </w:p>
        </w:tc>
        <w:tc>
          <w:tcPr>
            <w:tcW w:w="3026"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项目</w:t>
            </w:r>
          </w:p>
        </w:tc>
        <w:tc>
          <w:tcPr>
            <w:tcW w:w="42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行次</w:t>
            </w:r>
          </w:p>
        </w:tc>
        <w:tc>
          <w:tcPr>
            <w:tcW w:w="107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w:t>
            </w: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栏次</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6"/>
                <w:szCs w:val="16"/>
              </w:rPr>
            </w:pP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w:t>
            </w: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栏次</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6"/>
                <w:szCs w:val="16"/>
              </w:rPr>
            </w:pP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w:t>
            </w: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一、一般公共预算财政拨款收入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一、一般公共服务支出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32</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二、政府性基金预算财政拨款收入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二、外交支出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33</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三、国有资本经营预算财政拨款收入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三、国防支出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34</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四、上级补助收入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四、公共安全支出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35</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五、事业收入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五、教育支出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36</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1,335.52</w:t>
            </w: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六、经营收入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六、科学技术支出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37</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七、附属单位上缴收入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7</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七、文化旅游体育与传媒支出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38</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八、其他收入</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8</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八、社会保障和就业支出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39</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1,574,669.40</w:t>
            </w: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9</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九、卫生健康支出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40</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35,931.52</w:t>
            </w: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10</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十、节能环保支出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41</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11</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十一、城乡社区支出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42</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12</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十二、农林水支出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43</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13</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十三、交通运输支出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44</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14</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十四、资源勘探工业信息等支出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45</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15</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十五、商业服务业等支出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46</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十六、金融支出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47</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十七、援助其他地区支出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48</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18</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十八、自然资源海洋气象等支出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49</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19</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十九、住房保障支出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50</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49,482.68</w:t>
            </w: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二十、粮油物资储备支出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51</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21</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二十一、国有资本经营预算支出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52</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22</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二十二、灾害防治及应急管理支出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53</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78"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23</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二十三、其他支出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54</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56"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24</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二十四、债务还本支出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55</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45"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25</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二十五、债务付息支出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56</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88"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26</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二十六、抗疫特别国债安排的支出</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57</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本年收入合计</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27</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本年支出合计</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58</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使用非财政拨款结余</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28</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结余分配</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59</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年初结转和结余</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29</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年末结转和结余</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60</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35"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30</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61</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97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总计</w:t>
            </w:r>
          </w:p>
        </w:tc>
        <w:tc>
          <w:tcPr>
            <w:tcW w:w="4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31</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302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总计</w:t>
            </w:r>
          </w:p>
        </w:tc>
        <w:tc>
          <w:tcPr>
            <w:tcW w:w="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62</w:t>
            </w:r>
          </w:p>
        </w:tc>
        <w:tc>
          <w:tcPr>
            <w:tcW w:w="10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r>
      <w:tr>
        <w:tblPrEx>
          <w:tblLayout w:type="fixed"/>
          <w:tblCellMar>
            <w:top w:w="15" w:type="dxa"/>
            <w:left w:w="15" w:type="dxa"/>
            <w:bottom w:w="15" w:type="dxa"/>
            <w:right w:w="15" w:type="dxa"/>
          </w:tblCellMar>
        </w:tblPrEx>
        <w:trPr>
          <w:trHeight w:val="301"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注：1.本表依据《收入支出决算总表》（财决01表）进行批复。</w:t>
            </w:r>
          </w:p>
        </w:tc>
      </w:tr>
      <w:tr>
        <w:tblPrEx>
          <w:tblLayout w:type="fixed"/>
          <w:tblCellMar>
            <w:top w:w="15" w:type="dxa"/>
            <w:left w:w="15" w:type="dxa"/>
            <w:bottom w:w="15" w:type="dxa"/>
            <w:right w:w="15" w:type="dxa"/>
          </w:tblCellMar>
        </w:tblPrEx>
        <w:trPr>
          <w:trHeight w:val="301"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2.本表以“万元”为金额单位（保留两位小数）。</w:t>
            </w:r>
          </w:p>
        </w:tc>
      </w:tr>
      <w:tr>
        <w:tblPrEx>
          <w:tblLayout w:type="fixed"/>
          <w:tblCellMar>
            <w:top w:w="15" w:type="dxa"/>
            <w:left w:w="15" w:type="dxa"/>
            <w:bottom w:w="15" w:type="dxa"/>
            <w:right w:w="15" w:type="dxa"/>
          </w:tblCellMar>
        </w:tblPrEx>
        <w:trPr>
          <w:trHeight w:val="301"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3.本套报表金额单位转换时可能存在尾数误差。</w:t>
            </w:r>
          </w:p>
        </w:tc>
      </w:tr>
    </w:tbl>
    <w:p>
      <w:pPr>
        <w:rPr>
          <w:rFonts w:hint="eastAsia" w:ascii="黑体" w:hAnsi="宋体" w:eastAsia="黑体" w:cs="黑体"/>
          <w:i w:val="0"/>
          <w:color w:val="000000"/>
          <w:kern w:val="0"/>
          <w:sz w:val="30"/>
          <w:szCs w:val="30"/>
        </w:rPr>
        <w:sectPr>
          <w:pgSz w:w="11915" w:h="16851"/>
          <w:pgMar w:top="1440" w:right="1800" w:bottom="1440" w:left="1800" w:header="851" w:footer="992" w:gutter="0"/>
          <w:cols w:space="0" w:num="1"/>
          <w:docGrid w:type="lines" w:linePitch="312" w:charSpace="0"/>
        </w:sectPr>
      </w:pPr>
    </w:p>
    <w:tbl>
      <w:tblPr>
        <w:tblStyle w:val="11"/>
        <w:tblW w:w="14739" w:type="dxa"/>
        <w:tblInd w:w="279" w:type="dxa"/>
        <w:shd w:val="clear" w:color="auto" w:fill="auto"/>
        <w:tblLayout w:type="fixed"/>
        <w:tblCellMar>
          <w:top w:w="15" w:type="dxa"/>
          <w:left w:w="15" w:type="dxa"/>
          <w:bottom w:w="15" w:type="dxa"/>
          <w:right w:w="15" w:type="dxa"/>
        </w:tblCellMar>
      </w:tblPr>
      <w:tblGrid>
        <w:gridCol w:w="508"/>
        <w:gridCol w:w="985"/>
        <w:gridCol w:w="985"/>
        <w:gridCol w:w="3965"/>
        <w:gridCol w:w="1893"/>
        <w:gridCol w:w="1466"/>
        <w:gridCol w:w="986"/>
        <w:gridCol w:w="986"/>
        <w:gridCol w:w="986"/>
        <w:gridCol w:w="986"/>
        <w:gridCol w:w="993"/>
      </w:tblGrid>
      <w:tr>
        <w:tblPrEx>
          <w:shd w:val="clear" w:color="auto" w:fill="auto"/>
          <w:tblLayout w:type="fixed"/>
          <w:tblCellMar>
            <w:top w:w="15" w:type="dxa"/>
            <w:left w:w="15" w:type="dxa"/>
            <w:bottom w:w="15" w:type="dxa"/>
            <w:right w:w="15" w:type="dxa"/>
          </w:tblCellMar>
        </w:tblPrEx>
        <w:trPr>
          <w:trHeight w:val="375" w:hRule="atLeast"/>
        </w:trPr>
        <w:tc>
          <w:tcPr>
            <w:tcW w:w="14739" w:type="dxa"/>
            <w:gridSpan w:val="11"/>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黑体" w:hAnsi="宋体" w:eastAsia="黑体" w:cs="黑体"/>
                <w:i w:val="0"/>
                <w:color w:val="000000"/>
                <w:kern w:val="0"/>
                <w:sz w:val="30"/>
                <w:szCs w:val="30"/>
              </w:rPr>
              <w:t>收入决算表</w:t>
            </w:r>
          </w:p>
        </w:tc>
      </w:tr>
      <w:tr>
        <w:tblPrEx>
          <w:tblLayout w:type="fixed"/>
          <w:tblCellMar>
            <w:top w:w="15" w:type="dxa"/>
            <w:left w:w="15" w:type="dxa"/>
            <w:bottom w:w="15" w:type="dxa"/>
            <w:right w:w="15" w:type="dxa"/>
          </w:tblCellMar>
        </w:tblPrEx>
        <w:trPr>
          <w:trHeight w:val="301" w:hRule="atLeast"/>
        </w:trPr>
        <w:tc>
          <w:tcPr>
            <w:tcW w:w="50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39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89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6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97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公开02表</w:t>
            </w:r>
          </w:p>
        </w:tc>
      </w:tr>
      <w:tr>
        <w:tblPrEx>
          <w:tblLayout w:type="fixed"/>
          <w:tblCellMar>
            <w:top w:w="15" w:type="dxa"/>
            <w:left w:w="15" w:type="dxa"/>
            <w:bottom w:w="15" w:type="dxa"/>
            <w:right w:w="15" w:type="dxa"/>
          </w:tblCellMar>
        </w:tblPrEx>
        <w:trPr>
          <w:trHeight w:val="301" w:hRule="atLeast"/>
        </w:trPr>
        <w:tc>
          <w:tcPr>
            <w:tcW w:w="6443"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2"/>
                <w:szCs w:val="22"/>
              </w:rPr>
              <w:t>部门：重庆市荣昌区军队离休退休干部服务管理中心</w:t>
            </w:r>
          </w:p>
        </w:tc>
        <w:tc>
          <w:tcPr>
            <w:tcW w:w="1893"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66"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2022年度</w:t>
            </w:r>
          </w:p>
        </w:tc>
        <w:tc>
          <w:tcPr>
            <w:tcW w:w="98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979"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金额单位：元</w:t>
            </w:r>
          </w:p>
        </w:tc>
      </w:tr>
      <w:tr>
        <w:tblPrEx>
          <w:tblLayout w:type="fixed"/>
          <w:tblCellMar>
            <w:top w:w="15" w:type="dxa"/>
            <w:left w:w="15" w:type="dxa"/>
            <w:bottom w:w="15" w:type="dxa"/>
            <w:right w:w="15" w:type="dxa"/>
          </w:tblCellMar>
        </w:tblPrEx>
        <w:trPr>
          <w:trHeight w:val="300" w:hRule="atLeast"/>
        </w:trPr>
        <w:tc>
          <w:tcPr>
            <w:tcW w:w="2478"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396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189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本年收入合计</w:t>
            </w:r>
          </w:p>
        </w:tc>
        <w:tc>
          <w:tcPr>
            <w:tcW w:w="14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财政拨款收入</w:t>
            </w:r>
          </w:p>
        </w:tc>
        <w:tc>
          <w:tcPr>
            <w:tcW w:w="98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上级补助收入</w:t>
            </w:r>
          </w:p>
        </w:tc>
        <w:tc>
          <w:tcPr>
            <w:tcW w:w="98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事业收入</w:t>
            </w:r>
          </w:p>
        </w:tc>
        <w:tc>
          <w:tcPr>
            <w:tcW w:w="98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经营收入</w:t>
            </w:r>
          </w:p>
        </w:tc>
        <w:tc>
          <w:tcPr>
            <w:tcW w:w="98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附属单位上缴收入</w:t>
            </w:r>
          </w:p>
        </w:tc>
        <w:tc>
          <w:tcPr>
            <w:tcW w:w="99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其他收入</w:t>
            </w:r>
          </w:p>
        </w:tc>
      </w:tr>
      <w:tr>
        <w:tblPrEx>
          <w:tblLayout w:type="fixed"/>
          <w:tblCellMar>
            <w:top w:w="15" w:type="dxa"/>
            <w:left w:w="15" w:type="dxa"/>
            <w:bottom w:w="15" w:type="dxa"/>
            <w:right w:w="15" w:type="dxa"/>
          </w:tblCellMar>
        </w:tblPrEx>
        <w:trPr>
          <w:trHeight w:val="300" w:hRule="atLeast"/>
        </w:trPr>
        <w:tc>
          <w:tcPr>
            <w:tcW w:w="247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93"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6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47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93"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6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47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93"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6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类</w:t>
            </w:r>
          </w:p>
        </w:tc>
        <w:tc>
          <w:tcPr>
            <w:tcW w:w="9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款</w:t>
            </w:r>
          </w:p>
        </w:tc>
        <w:tc>
          <w:tcPr>
            <w:tcW w:w="9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w:t>
            </w:r>
          </w:p>
        </w:tc>
        <w:tc>
          <w:tcPr>
            <w:tcW w:w="396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栏次</w:t>
            </w:r>
          </w:p>
        </w:tc>
        <w:tc>
          <w:tcPr>
            <w:tcW w:w="189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w:t>
            </w:r>
          </w:p>
        </w:tc>
        <w:tc>
          <w:tcPr>
            <w:tcW w:w="146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6</w:t>
            </w:r>
          </w:p>
        </w:tc>
        <w:tc>
          <w:tcPr>
            <w:tcW w:w="99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7</w:t>
            </w:r>
          </w:p>
        </w:tc>
      </w:tr>
      <w:tr>
        <w:tblPrEx>
          <w:tblLayout w:type="fixed"/>
          <w:tblCellMar>
            <w:top w:w="15" w:type="dxa"/>
            <w:left w:w="15" w:type="dxa"/>
            <w:bottom w:w="15" w:type="dxa"/>
            <w:right w:w="15" w:type="dxa"/>
          </w:tblCellMar>
        </w:tblPrEx>
        <w:trPr>
          <w:trHeight w:val="301" w:hRule="atLeast"/>
        </w:trPr>
        <w:tc>
          <w:tcPr>
            <w:tcW w:w="50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1,661,419.12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1,661,419.12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教育支出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20508</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进修及培训</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2050803</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培训支出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1,574,669.40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1,574,669.40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20805</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行政事业单位养老支出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2080505</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机关事业单位基本养老保险缴费支出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2080506</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机关事业单位职业年金缴费支出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20809</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退役安置</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2080902</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军队移交政府的离退休人员安置</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20828</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退役军人管理事务</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2082801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行政运行</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卫生健康支出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21011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行政事业单位医疗</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行政单位医疗</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2101103</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公务员医疗补助</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2101199</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其他行政事业单位医疗支出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住房保障支出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22102</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住房改革支出</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2210201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住房公积金</w:t>
            </w:r>
          </w:p>
        </w:tc>
        <w:tc>
          <w:tcPr>
            <w:tcW w:w="18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47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注：1.本表依据《收入决算表》（财决03表）进行批复。</w:t>
            </w:r>
          </w:p>
        </w:tc>
      </w:tr>
      <w:tr>
        <w:tblPrEx>
          <w:tblLayout w:type="fixed"/>
          <w:tblCellMar>
            <w:top w:w="15" w:type="dxa"/>
            <w:left w:w="15" w:type="dxa"/>
            <w:bottom w:w="15" w:type="dxa"/>
            <w:right w:w="15" w:type="dxa"/>
          </w:tblCellMar>
        </w:tblPrEx>
        <w:trPr>
          <w:trHeight w:val="301" w:hRule="atLeast"/>
        </w:trPr>
        <w:tc>
          <w:tcPr>
            <w:tcW w:w="147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2.本表含一般公共预算财政拨款、政府性基金预算财政拨款和国有资本经营预算财政拨款。</w:t>
            </w:r>
          </w:p>
        </w:tc>
      </w:tr>
      <w:tr>
        <w:tblPrEx>
          <w:tblLayout w:type="fixed"/>
          <w:tblCellMar>
            <w:top w:w="15" w:type="dxa"/>
            <w:left w:w="15" w:type="dxa"/>
            <w:bottom w:w="15" w:type="dxa"/>
            <w:right w:w="15" w:type="dxa"/>
          </w:tblCellMar>
        </w:tblPrEx>
        <w:trPr>
          <w:trHeight w:val="301" w:hRule="atLeast"/>
        </w:trPr>
        <w:tc>
          <w:tcPr>
            <w:tcW w:w="147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3.本表批复到项级科目。</w:t>
            </w:r>
          </w:p>
        </w:tc>
      </w:tr>
      <w:tr>
        <w:tblPrEx>
          <w:tblLayout w:type="fixed"/>
          <w:tblCellMar>
            <w:top w:w="15" w:type="dxa"/>
            <w:left w:w="15" w:type="dxa"/>
            <w:bottom w:w="15" w:type="dxa"/>
            <w:right w:w="15" w:type="dxa"/>
          </w:tblCellMar>
        </w:tblPrEx>
        <w:trPr>
          <w:trHeight w:val="301" w:hRule="atLeast"/>
        </w:trPr>
        <w:tc>
          <w:tcPr>
            <w:tcW w:w="147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4.本表以“万元”为金额单位（保留两位小数）。</w:t>
            </w:r>
          </w:p>
        </w:tc>
      </w:tr>
      <w:tr>
        <w:tblPrEx>
          <w:tblLayout w:type="fixed"/>
          <w:tblCellMar>
            <w:top w:w="15" w:type="dxa"/>
            <w:left w:w="15" w:type="dxa"/>
            <w:bottom w:w="15" w:type="dxa"/>
            <w:right w:w="15" w:type="dxa"/>
          </w:tblCellMar>
        </w:tblPrEx>
        <w:trPr>
          <w:trHeight w:val="301" w:hRule="atLeast"/>
        </w:trPr>
        <w:tc>
          <w:tcPr>
            <w:tcW w:w="147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5.本套报表金额单位转换时可能存在尾数误差。</w:t>
            </w:r>
          </w:p>
        </w:tc>
      </w:tr>
    </w:tbl>
    <w:p>
      <w:pPr>
        <w:rPr>
          <w:rFonts w:hint="eastAsia" w:ascii="黑体" w:hAnsi="宋体" w:eastAsia="黑体" w:cs="黑体"/>
          <w:i w:val="0"/>
          <w:color w:val="000000"/>
          <w:kern w:val="0"/>
          <w:sz w:val="32"/>
          <w:szCs w:val="32"/>
        </w:rPr>
        <w:sectPr>
          <w:pgSz w:w="16851" w:h="11915" w:orient="landscape"/>
          <w:pgMar w:top="1800" w:right="1440" w:bottom="1800" w:left="1440" w:header="851" w:footer="992" w:gutter="0"/>
          <w:cols w:space="0" w:num="1"/>
          <w:docGrid w:type="lines" w:linePitch="312" w:charSpace="0"/>
        </w:sectPr>
      </w:pPr>
    </w:p>
    <w:tbl>
      <w:tblPr>
        <w:tblStyle w:val="11"/>
        <w:tblW w:w="14740" w:type="dxa"/>
        <w:tblInd w:w="279" w:type="dxa"/>
        <w:shd w:val="clear" w:color="auto" w:fill="auto"/>
        <w:tblLayout w:type="fixed"/>
        <w:tblCellMar>
          <w:top w:w="15" w:type="dxa"/>
          <w:left w:w="15" w:type="dxa"/>
          <w:bottom w:w="15" w:type="dxa"/>
          <w:right w:w="15" w:type="dxa"/>
        </w:tblCellMar>
      </w:tblPr>
      <w:tblGrid>
        <w:gridCol w:w="546"/>
        <w:gridCol w:w="1054"/>
        <w:gridCol w:w="1053"/>
        <w:gridCol w:w="4237"/>
        <w:gridCol w:w="2034"/>
        <w:gridCol w:w="1319"/>
        <w:gridCol w:w="1320"/>
        <w:gridCol w:w="1054"/>
        <w:gridCol w:w="1055"/>
        <w:gridCol w:w="1068"/>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黑体" w:hAnsi="宋体" w:eastAsia="黑体" w:cs="黑体"/>
                <w:i w:val="0"/>
                <w:color w:val="000000"/>
                <w:kern w:val="0"/>
                <w:sz w:val="30"/>
                <w:szCs w:val="30"/>
              </w:rPr>
              <w:t>支出决算表</w:t>
            </w:r>
          </w:p>
        </w:tc>
      </w:tr>
      <w:tr>
        <w:tblPrEx>
          <w:tblLayout w:type="fixed"/>
          <w:tblCellMar>
            <w:top w:w="15" w:type="dxa"/>
            <w:left w:w="15" w:type="dxa"/>
            <w:bottom w:w="15" w:type="dxa"/>
            <w:right w:w="15" w:type="dxa"/>
          </w:tblCellMar>
        </w:tblPrEx>
        <w:trPr>
          <w:trHeight w:val="301" w:hRule="atLeast"/>
        </w:trPr>
        <w:tc>
          <w:tcPr>
            <w:tcW w:w="54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5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5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4237"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03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19"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2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5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12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公开03表</w:t>
            </w:r>
          </w:p>
        </w:tc>
      </w:tr>
      <w:tr>
        <w:tblPrEx>
          <w:tblLayout w:type="fixed"/>
          <w:tblCellMar>
            <w:top w:w="15" w:type="dxa"/>
            <w:left w:w="15" w:type="dxa"/>
            <w:bottom w:w="15" w:type="dxa"/>
            <w:right w:w="15" w:type="dxa"/>
          </w:tblCellMar>
        </w:tblPrEx>
        <w:trPr>
          <w:trHeight w:val="301" w:hRule="atLeast"/>
        </w:trPr>
        <w:tc>
          <w:tcPr>
            <w:tcW w:w="6890"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2"/>
                <w:szCs w:val="22"/>
              </w:rPr>
              <w:t>部门：重庆市荣昌区军队离休退休干部服务管理中心</w:t>
            </w:r>
          </w:p>
        </w:tc>
        <w:tc>
          <w:tcPr>
            <w:tcW w:w="203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2022年度</w:t>
            </w:r>
          </w:p>
        </w:tc>
        <w:tc>
          <w:tcPr>
            <w:tcW w:w="1319"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20"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54"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123"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金额单位：元</w:t>
            </w:r>
          </w:p>
        </w:tc>
      </w:tr>
      <w:tr>
        <w:tblPrEx>
          <w:tblLayout w:type="fixed"/>
          <w:tblCellMar>
            <w:top w:w="15" w:type="dxa"/>
            <w:left w:w="15" w:type="dxa"/>
            <w:bottom w:w="15" w:type="dxa"/>
            <w:right w:w="15" w:type="dxa"/>
          </w:tblCellMar>
        </w:tblPrEx>
        <w:trPr>
          <w:trHeight w:val="300" w:hRule="atLeast"/>
        </w:trPr>
        <w:tc>
          <w:tcPr>
            <w:tcW w:w="2653"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423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203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本年支出合计</w:t>
            </w:r>
          </w:p>
        </w:tc>
        <w:tc>
          <w:tcPr>
            <w:tcW w:w="1319"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w:t>
            </w:r>
          </w:p>
        </w:tc>
        <w:tc>
          <w:tcPr>
            <w:tcW w:w="132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w:t>
            </w:r>
          </w:p>
        </w:tc>
        <w:tc>
          <w:tcPr>
            <w:tcW w:w="105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上缴上级支出</w:t>
            </w:r>
          </w:p>
        </w:tc>
        <w:tc>
          <w:tcPr>
            <w:tcW w:w="105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经营支出</w:t>
            </w:r>
          </w:p>
        </w:tc>
        <w:tc>
          <w:tcPr>
            <w:tcW w:w="106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对附属单位补助支出</w:t>
            </w:r>
          </w:p>
        </w:tc>
      </w:tr>
      <w:tr>
        <w:tblPrEx>
          <w:tblLayout w:type="fixed"/>
          <w:tblCellMar>
            <w:top w:w="15" w:type="dxa"/>
            <w:left w:w="15" w:type="dxa"/>
            <w:bottom w:w="15" w:type="dxa"/>
            <w:right w:w="15" w:type="dxa"/>
          </w:tblCellMar>
        </w:tblPrEx>
        <w:trPr>
          <w:trHeight w:val="300" w:hRule="atLeast"/>
        </w:trPr>
        <w:tc>
          <w:tcPr>
            <w:tcW w:w="2653"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7"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03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19"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2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6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653"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7"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03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19"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2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6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653"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7"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03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19"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2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6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54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类</w:t>
            </w:r>
          </w:p>
        </w:tc>
        <w:tc>
          <w:tcPr>
            <w:tcW w:w="105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款</w:t>
            </w:r>
          </w:p>
        </w:tc>
        <w:tc>
          <w:tcPr>
            <w:tcW w:w="105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w:t>
            </w:r>
          </w:p>
        </w:tc>
        <w:tc>
          <w:tcPr>
            <w:tcW w:w="423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栏次</w:t>
            </w:r>
          </w:p>
        </w:tc>
        <w:tc>
          <w:tcPr>
            <w:tcW w:w="203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w:t>
            </w:r>
          </w:p>
        </w:tc>
        <w:tc>
          <w:tcPr>
            <w:tcW w:w="13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w:t>
            </w:r>
          </w:p>
        </w:tc>
        <w:tc>
          <w:tcPr>
            <w:tcW w:w="132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w:t>
            </w:r>
          </w:p>
        </w:tc>
        <w:tc>
          <w:tcPr>
            <w:tcW w:w="105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w:t>
            </w:r>
          </w:p>
        </w:tc>
        <w:tc>
          <w:tcPr>
            <w:tcW w:w="105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w:t>
            </w:r>
          </w:p>
        </w:tc>
        <w:tc>
          <w:tcPr>
            <w:tcW w:w="106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6</w:t>
            </w:r>
          </w:p>
        </w:tc>
      </w:tr>
      <w:tr>
        <w:tblPrEx>
          <w:tblLayout w:type="fixed"/>
          <w:tblCellMar>
            <w:top w:w="15" w:type="dxa"/>
            <w:left w:w="15" w:type="dxa"/>
            <w:bottom w:w="15" w:type="dxa"/>
            <w:right w:w="15" w:type="dxa"/>
          </w:tblCellMar>
        </w:tblPrEx>
        <w:trPr>
          <w:trHeight w:val="301" w:hRule="atLeast"/>
        </w:trPr>
        <w:tc>
          <w:tcPr>
            <w:tcW w:w="54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1,661,419.12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735,773.39</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教育支出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20508</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进修及培训</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2050803</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培训支出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1,574,669.40</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649,023.67</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20805</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行政事业单位养老支出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2080505</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机关事业单位基本养老保险缴费支出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2080506</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机关事业单位职业年金缴费支出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20809</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退役安置</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2080902</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军队移交政府的离退休人员安置</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20828</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退役军人管理事务</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2082801</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行政运行</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卫生健康支出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21011</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行政事业单位医疗</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2101101</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行政单位医疗</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2101103</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公务员医疗补助</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2101199</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其他行政事业单位医疗支出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住房保障支出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22102</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住房改革支出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65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2210201</w:t>
            </w:r>
          </w:p>
        </w:tc>
        <w:tc>
          <w:tcPr>
            <w:tcW w:w="42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住房公积金</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0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注：1.本表依据《支出决算表》（财决04表）进行批复。</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2.本表含一般公共预算财政拨款、政府性基金预算财政拨款和国有资本经营预算财政拨款。</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3.本表批复到项级科目。</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4.本表以“万元”为金额单位（保留两位小数）。</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5.本套报表金额单位转换时可能存在尾数误差。</w:t>
            </w:r>
          </w:p>
        </w:tc>
      </w:tr>
    </w:tbl>
    <w:p>
      <w:pPr>
        <w:rPr>
          <w:rFonts w:hint="eastAsia" w:ascii="黑体" w:hAnsi="宋体" w:eastAsia="黑体" w:cs="黑体"/>
          <w:i w:val="0"/>
          <w:color w:val="000000"/>
          <w:kern w:val="0"/>
          <w:sz w:val="30"/>
          <w:szCs w:val="30"/>
        </w:rPr>
        <w:sectPr>
          <w:pgSz w:w="16851" w:h="11915" w:orient="landscape"/>
          <w:pgMar w:top="1800" w:right="1440" w:bottom="1800" w:left="1440" w:header="851" w:footer="992" w:gutter="0"/>
          <w:cols w:space="0" w:num="1"/>
          <w:docGrid w:type="lines" w:linePitch="312" w:charSpace="0"/>
        </w:sectPr>
      </w:pPr>
    </w:p>
    <w:tbl>
      <w:tblPr>
        <w:tblStyle w:val="11"/>
        <w:tblW w:w="14740" w:type="dxa"/>
        <w:tblInd w:w="279" w:type="dxa"/>
        <w:shd w:val="clear" w:color="auto" w:fill="auto"/>
        <w:tblLayout w:type="fixed"/>
        <w:tblCellMar>
          <w:top w:w="15" w:type="dxa"/>
          <w:left w:w="15" w:type="dxa"/>
          <w:bottom w:w="15" w:type="dxa"/>
          <w:right w:w="15" w:type="dxa"/>
        </w:tblCellMar>
      </w:tblPr>
      <w:tblGrid>
        <w:gridCol w:w="2374"/>
        <w:gridCol w:w="423"/>
        <w:gridCol w:w="2439"/>
        <w:gridCol w:w="2655"/>
        <w:gridCol w:w="472"/>
        <w:gridCol w:w="1352"/>
        <w:gridCol w:w="1352"/>
        <w:gridCol w:w="2355"/>
        <w:gridCol w:w="1318"/>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9"/>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6"/>
                <w:szCs w:val="16"/>
              </w:rPr>
            </w:pPr>
            <w:r>
              <w:rPr>
                <w:rFonts w:hint="eastAsia" w:ascii="黑体" w:hAnsi="宋体" w:eastAsia="黑体" w:cs="黑体"/>
                <w:i w:val="0"/>
                <w:color w:val="000000"/>
                <w:kern w:val="0"/>
                <w:sz w:val="32"/>
                <w:szCs w:val="32"/>
              </w:rPr>
              <w:t>财政拨款收入支出决算表</w:t>
            </w:r>
          </w:p>
        </w:tc>
      </w:tr>
      <w:tr>
        <w:tblPrEx>
          <w:tblLayout w:type="fixed"/>
          <w:tblCellMar>
            <w:top w:w="15" w:type="dxa"/>
            <w:left w:w="15" w:type="dxa"/>
            <w:bottom w:w="15" w:type="dxa"/>
            <w:right w:w="15" w:type="dxa"/>
          </w:tblCellMar>
        </w:tblPrEx>
        <w:trPr>
          <w:trHeight w:val="301" w:hRule="atLeast"/>
        </w:trPr>
        <w:tc>
          <w:tcPr>
            <w:tcW w:w="237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439"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65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7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135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135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67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公开04表</w:t>
            </w:r>
          </w:p>
        </w:tc>
      </w:tr>
      <w:tr>
        <w:tblPrEx>
          <w:tblLayout w:type="fixed"/>
          <w:tblCellMar>
            <w:top w:w="15" w:type="dxa"/>
            <w:left w:w="15" w:type="dxa"/>
            <w:bottom w:w="15" w:type="dxa"/>
            <w:right w:w="15" w:type="dxa"/>
          </w:tblCellMar>
        </w:tblPrEx>
        <w:trPr>
          <w:trHeight w:val="301" w:hRule="atLeast"/>
        </w:trPr>
        <w:tc>
          <w:tcPr>
            <w:tcW w:w="7891"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部门：重庆市荣昌区军队离休退休干部服务管理中心</w:t>
            </w:r>
          </w:p>
        </w:tc>
        <w:tc>
          <w:tcPr>
            <w:tcW w:w="1824"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2022年度</w:t>
            </w:r>
          </w:p>
        </w:tc>
        <w:tc>
          <w:tcPr>
            <w:tcW w:w="135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673"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金额单位：元</w:t>
            </w:r>
          </w:p>
        </w:tc>
      </w:tr>
      <w:tr>
        <w:tblPrEx>
          <w:tblLayout w:type="fixed"/>
          <w:tblCellMar>
            <w:top w:w="15" w:type="dxa"/>
            <w:left w:w="15" w:type="dxa"/>
            <w:bottom w:w="15" w:type="dxa"/>
            <w:right w:w="15" w:type="dxa"/>
          </w:tblCellMar>
        </w:tblPrEx>
        <w:trPr>
          <w:trHeight w:val="301" w:hRule="atLeast"/>
        </w:trPr>
        <w:tc>
          <w:tcPr>
            <w:tcW w:w="52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收     入</w:t>
            </w:r>
          </w:p>
        </w:tc>
        <w:tc>
          <w:tcPr>
            <w:tcW w:w="950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支     出</w:t>
            </w:r>
          </w:p>
        </w:tc>
      </w:tr>
      <w:tr>
        <w:tblPrEx>
          <w:tblLayout w:type="fixed"/>
          <w:tblCellMar>
            <w:top w:w="15" w:type="dxa"/>
            <w:left w:w="15" w:type="dxa"/>
            <w:bottom w:w="15" w:type="dxa"/>
            <w:right w:w="15" w:type="dxa"/>
          </w:tblCellMar>
        </w:tblPrEx>
        <w:trPr>
          <w:trHeight w:val="285" w:hRule="atLeast"/>
        </w:trPr>
        <w:tc>
          <w:tcPr>
            <w:tcW w:w="2374" w:type="dxa"/>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项目</w:t>
            </w:r>
          </w:p>
        </w:tc>
        <w:tc>
          <w:tcPr>
            <w:tcW w:w="423"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行次</w:t>
            </w:r>
          </w:p>
        </w:tc>
        <w:tc>
          <w:tcPr>
            <w:tcW w:w="2439"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w:t>
            </w:r>
          </w:p>
        </w:tc>
        <w:tc>
          <w:tcPr>
            <w:tcW w:w="2655" w:type="dxa"/>
            <w:vMerge w:val="restart"/>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项目</w:t>
            </w:r>
          </w:p>
        </w:tc>
        <w:tc>
          <w:tcPr>
            <w:tcW w:w="472"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行次</w:t>
            </w:r>
          </w:p>
        </w:tc>
        <w:tc>
          <w:tcPr>
            <w:tcW w:w="1352"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合计</w:t>
            </w:r>
          </w:p>
        </w:tc>
        <w:tc>
          <w:tcPr>
            <w:tcW w:w="1352"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一般公共预算财政拨款</w:t>
            </w:r>
          </w:p>
        </w:tc>
        <w:tc>
          <w:tcPr>
            <w:tcW w:w="2355"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政府性基金预算财政拨款</w:t>
            </w:r>
          </w:p>
        </w:tc>
        <w:tc>
          <w:tcPr>
            <w:tcW w:w="1318"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国有资本经营预算财政拨款</w:t>
            </w:r>
          </w:p>
        </w:tc>
      </w:tr>
      <w:tr>
        <w:tblPrEx>
          <w:tblLayout w:type="fixed"/>
          <w:tblCellMar>
            <w:top w:w="15" w:type="dxa"/>
            <w:left w:w="15" w:type="dxa"/>
            <w:bottom w:w="15" w:type="dxa"/>
            <w:right w:w="15" w:type="dxa"/>
          </w:tblCellMar>
        </w:tblPrEx>
        <w:trPr>
          <w:trHeight w:val="600" w:hRule="atLeast"/>
        </w:trPr>
        <w:tc>
          <w:tcPr>
            <w:tcW w:w="2374" w:type="dxa"/>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439"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655" w:type="dxa"/>
            <w:vMerge w:val="continue"/>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rPr>
                <w:rFonts w:hint="default" w:ascii="Times New Roman" w:hAnsi="Times New Roman" w:cs="Times New Roman"/>
                <w:sz w:val="20"/>
                <w:szCs w:val="20"/>
              </w:rPr>
            </w:pPr>
          </w:p>
        </w:tc>
        <w:tc>
          <w:tcPr>
            <w:tcW w:w="47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5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5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35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18"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栏次</w:t>
            </w:r>
          </w:p>
        </w:tc>
        <w:tc>
          <w:tcPr>
            <w:tcW w:w="42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6"/>
                <w:szCs w:val="16"/>
              </w:rPr>
            </w:pPr>
          </w:p>
        </w:tc>
        <w:tc>
          <w:tcPr>
            <w:tcW w:w="243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w:t>
            </w:r>
          </w:p>
        </w:tc>
        <w:tc>
          <w:tcPr>
            <w:tcW w:w="2655" w:type="dxa"/>
            <w:tcBorders>
              <w:top w:val="single" w:color="auto" w:sz="4" w:space="0"/>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栏次</w:t>
            </w:r>
          </w:p>
        </w:tc>
        <w:tc>
          <w:tcPr>
            <w:tcW w:w="47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6"/>
                <w:szCs w:val="16"/>
              </w:rPr>
            </w:pPr>
          </w:p>
        </w:tc>
        <w:tc>
          <w:tcPr>
            <w:tcW w:w="135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w:t>
            </w:r>
          </w:p>
        </w:tc>
        <w:tc>
          <w:tcPr>
            <w:tcW w:w="135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w:t>
            </w:r>
          </w:p>
        </w:tc>
        <w:tc>
          <w:tcPr>
            <w:tcW w:w="235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w:t>
            </w:r>
          </w:p>
        </w:tc>
        <w:tc>
          <w:tcPr>
            <w:tcW w:w="131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w:t>
            </w: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一、一般公共预算财政拨款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一、一般公共服务支出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二、政府性基金预算财政拨款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二、外交支出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三、国有资本经营预算财政拨款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三、国防支出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35</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四、公共安全支出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36</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五、教育支出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37</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1,335.52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1,335.52</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六、科学技术支出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38</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7</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七、文化旅游体育与传媒支出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39</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8</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八、社会保障和就业支出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1,574,669.40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1,574,669.40</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9</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九、卫生健康支出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41</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35,931.52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35,931.52</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10</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十、节能环保支出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十一、城乡社区支出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十二、农林水支出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13</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十三、交通运输支出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45</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14</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十四、资源勘探工业信息等支出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46</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15</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十五、商业服务业等支出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47</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十六、金融支出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48</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十七、援助其他地区支出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49</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18</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十八、自然资源海洋气象等支出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19</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十九、住房保障支出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51</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49,482.68</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49,482.68</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二十、粮油物资储备支出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二十一、国有资本经营预算支出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二十二、灾害防治及应急管理支出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23</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二十三、其他支出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55</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24</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二十四、债务还本支出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56</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25</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二十五、债务付息支出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57</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26</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二十六、抗疫特别国债安排的支出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58</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本年收入合计</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27</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本年支出合计</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59</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年初结转和结余</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28</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年末结转和结余</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一般公共预算财政拨款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29</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61</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政府性基金预算财政拨款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30</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国有资本经营预算财政拨款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总计</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总计</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1,661,419.12</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134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注：1.本表依据《财政拨款收入支出决算总表》（财决01-1表）进行批复。</w:t>
            </w:r>
          </w:p>
        </w:tc>
        <w:tc>
          <w:tcPr>
            <w:tcW w:w="131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134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2.本表以“万元”为金额单位（保留两位小数）。</w:t>
            </w:r>
          </w:p>
        </w:tc>
        <w:tc>
          <w:tcPr>
            <w:tcW w:w="131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134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3.本套报表金额单位转换时可能存在尾数误差。          </w:t>
            </w:r>
          </w:p>
        </w:tc>
        <w:tc>
          <w:tcPr>
            <w:tcW w:w="131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r>
    </w:tbl>
    <w:p>
      <w:pPr>
        <w:rPr>
          <w:rFonts w:hint="eastAsia" w:ascii="黑体" w:hAnsi="宋体" w:eastAsia="黑体" w:cs="黑体"/>
          <w:i w:val="0"/>
          <w:color w:val="000000"/>
          <w:kern w:val="0"/>
          <w:sz w:val="30"/>
          <w:szCs w:val="30"/>
        </w:rPr>
        <w:sectPr>
          <w:pgSz w:w="16851" w:h="11915" w:orient="landscape"/>
          <w:pgMar w:top="1800" w:right="1440" w:bottom="1800" w:left="1440" w:header="851" w:footer="992" w:gutter="0"/>
          <w:cols w:space="0" w:num="1"/>
          <w:docGrid w:type="lines" w:linePitch="312" w:charSpace="0"/>
        </w:sectPr>
      </w:pPr>
    </w:p>
    <w:tbl>
      <w:tblPr>
        <w:tblStyle w:val="11"/>
        <w:tblW w:w="14740" w:type="dxa"/>
        <w:tblInd w:w="279" w:type="dxa"/>
        <w:shd w:val="clear" w:color="auto" w:fill="auto"/>
        <w:tblLayout w:type="fixed"/>
        <w:tblCellMar>
          <w:top w:w="15" w:type="dxa"/>
          <w:left w:w="15" w:type="dxa"/>
          <w:bottom w:w="15" w:type="dxa"/>
          <w:right w:w="15" w:type="dxa"/>
        </w:tblCellMar>
      </w:tblPr>
      <w:tblGrid>
        <w:gridCol w:w="472"/>
        <w:gridCol w:w="523"/>
        <w:gridCol w:w="523"/>
        <w:gridCol w:w="1532"/>
        <w:gridCol w:w="850"/>
        <w:gridCol w:w="523"/>
        <w:gridCol w:w="850"/>
        <w:gridCol w:w="1362"/>
        <w:gridCol w:w="1173"/>
        <w:gridCol w:w="1140"/>
        <w:gridCol w:w="1362"/>
        <w:gridCol w:w="1140"/>
        <w:gridCol w:w="1140"/>
        <w:gridCol w:w="524"/>
        <w:gridCol w:w="524"/>
        <w:gridCol w:w="524"/>
        <w:gridCol w:w="578"/>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黑体" w:hAnsi="宋体" w:eastAsia="黑体" w:cs="黑体"/>
                <w:i w:val="0"/>
                <w:color w:val="000000"/>
                <w:kern w:val="0"/>
                <w:sz w:val="30"/>
                <w:szCs w:val="30"/>
              </w:rPr>
              <w:t>一般公共预算财政拨款收入支出决算表</w:t>
            </w:r>
          </w:p>
        </w:tc>
      </w:tr>
      <w:tr>
        <w:tblPrEx>
          <w:tblLayout w:type="fixed"/>
          <w:tblCellMar>
            <w:top w:w="15" w:type="dxa"/>
            <w:left w:w="15" w:type="dxa"/>
            <w:bottom w:w="15" w:type="dxa"/>
            <w:right w:w="15" w:type="dxa"/>
          </w:tblCellMar>
        </w:tblPrEx>
        <w:trPr>
          <w:trHeight w:val="301" w:hRule="atLeast"/>
        </w:trPr>
        <w:tc>
          <w:tcPr>
            <w:tcW w:w="47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2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2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53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85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2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85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7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4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4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4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150"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公开05表</w:t>
            </w:r>
          </w:p>
        </w:tc>
      </w:tr>
      <w:tr>
        <w:tblPrEx>
          <w:tblLayout w:type="fixed"/>
          <w:tblCellMar>
            <w:top w:w="15" w:type="dxa"/>
            <w:left w:w="15" w:type="dxa"/>
            <w:bottom w:w="15" w:type="dxa"/>
            <w:right w:w="15" w:type="dxa"/>
          </w:tblCellMar>
        </w:tblPrEx>
        <w:trPr>
          <w:trHeight w:val="301" w:hRule="atLeast"/>
        </w:trPr>
        <w:tc>
          <w:tcPr>
            <w:tcW w:w="5273"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2"/>
                <w:szCs w:val="22"/>
              </w:rPr>
              <w:t>部门：重庆市荣昌区军队离休退休干部服务管理中心</w:t>
            </w:r>
          </w:p>
        </w:tc>
        <w:tc>
          <w:tcPr>
            <w:tcW w:w="136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73"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2022年度</w:t>
            </w:r>
          </w:p>
        </w:tc>
        <w:tc>
          <w:tcPr>
            <w:tcW w:w="1140"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40"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40"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150"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金额单位：元</w:t>
            </w:r>
          </w:p>
        </w:tc>
      </w:tr>
      <w:tr>
        <w:tblPrEx>
          <w:tblLayout w:type="fixed"/>
          <w:tblCellMar>
            <w:top w:w="15" w:type="dxa"/>
            <w:left w:w="15" w:type="dxa"/>
            <w:bottom w:w="15" w:type="dxa"/>
            <w:right w:w="15" w:type="dxa"/>
          </w:tblCellMar>
        </w:tblPrEx>
        <w:trPr>
          <w:trHeight w:val="301" w:hRule="atLeast"/>
        </w:trPr>
        <w:tc>
          <w:tcPr>
            <w:tcW w:w="1518"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153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222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年初结转和结余</w:t>
            </w:r>
          </w:p>
        </w:tc>
        <w:tc>
          <w:tcPr>
            <w:tcW w:w="367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本年收入</w:t>
            </w:r>
          </w:p>
        </w:tc>
        <w:tc>
          <w:tcPr>
            <w:tcW w:w="364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本年支出</w:t>
            </w:r>
          </w:p>
        </w:tc>
        <w:tc>
          <w:tcPr>
            <w:tcW w:w="215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年末结转和结余</w:t>
            </w:r>
          </w:p>
        </w:tc>
      </w:tr>
      <w:tr>
        <w:tblPrEx>
          <w:tblLayout w:type="fixed"/>
          <w:tblCellMar>
            <w:top w:w="15" w:type="dxa"/>
            <w:left w:w="15" w:type="dxa"/>
            <w:bottom w:w="15" w:type="dxa"/>
            <w:right w:w="15" w:type="dxa"/>
          </w:tblCellMar>
        </w:tblPrEx>
        <w:trPr>
          <w:trHeight w:val="301" w:hRule="atLeast"/>
        </w:trPr>
        <w:tc>
          <w:tcPr>
            <w:tcW w:w="151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532"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850"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523"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基本支出结转</w:t>
            </w:r>
          </w:p>
        </w:tc>
        <w:tc>
          <w:tcPr>
            <w:tcW w:w="850"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项目支出结转和结余</w:t>
            </w:r>
          </w:p>
        </w:tc>
        <w:tc>
          <w:tcPr>
            <w:tcW w:w="1362"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1173"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w:t>
            </w:r>
          </w:p>
        </w:tc>
        <w:tc>
          <w:tcPr>
            <w:tcW w:w="1140"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w:t>
            </w:r>
          </w:p>
        </w:tc>
        <w:tc>
          <w:tcPr>
            <w:tcW w:w="1362"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1140"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w:t>
            </w:r>
          </w:p>
        </w:tc>
        <w:tc>
          <w:tcPr>
            <w:tcW w:w="1140"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w:t>
            </w:r>
          </w:p>
        </w:tc>
        <w:tc>
          <w:tcPr>
            <w:tcW w:w="524"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524"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基本支出结转</w:t>
            </w:r>
          </w:p>
        </w:tc>
        <w:tc>
          <w:tcPr>
            <w:tcW w:w="110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项目支出结转和结余</w:t>
            </w:r>
          </w:p>
        </w:tc>
      </w:tr>
      <w:tr>
        <w:tblPrEx>
          <w:tblLayout w:type="fixed"/>
          <w:tblCellMar>
            <w:top w:w="15" w:type="dxa"/>
            <w:left w:w="15" w:type="dxa"/>
            <w:bottom w:w="15" w:type="dxa"/>
            <w:right w:w="15" w:type="dxa"/>
          </w:tblCellMar>
        </w:tblPrEx>
        <w:trPr>
          <w:trHeight w:val="270" w:hRule="atLeast"/>
        </w:trPr>
        <w:tc>
          <w:tcPr>
            <w:tcW w:w="151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532"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850"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3"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850"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73"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40"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40"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40"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4"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4"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4"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项目支出结转</w:t>
            </w:r>
          </w:p>
        </w:tc>
        <w:tc>
          <w:tcPr>
            <w:tcW w:w="578"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项目支出结余</w:t>
            </w:r>
          </w:p>
        </w:tc>
      </w:tr>
      <w:tr>
        <w:tblPrEx>
          <w:tblLayout w:type="fixed"/>
          <w:tblCellMar>
            <w:top w:w="15" w:type="dxa"/>
            <w:left w:w="15" w:type="dxa"/>
            <w:bottom w:w="15" w:type="dxa"/>
            <w:right w:w="15" w:type="dxa"/>
          </w:tblCellMar>
        </w:tblPrEx>
        <w:trPr>
          <w:trHeight w:val="600" w:hRule="atLeast"/>
        </w:trPr>
        <w:tc>
          <w:tcPr>
            <w:tcW w:w="151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532"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850"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3"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850"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73"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40"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40"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40"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4"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4"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4"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78"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47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类</w:t>
            </w:r>
          </w:p>
        </w:tc>
        <w:tc>
          <w:tcPr>
            <w:tcW w:w="52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款</w:t>
            </w:r>
          </w:p>
        </w:tc>
        <w:tc>
          <w:tcPr>
            <w:tcW w:w="52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w:t>
            </w:r>
          </w:p>
        </w:tc>
        <w:tc>
          <w:tcPr>
            <w:tcW w:w="153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栏次</w:t>
            </w:r>
          </w:p>
        </w:tc>
        <w:tc>
          <w:tcPr>
            <w:tcW w:w="8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w:t>
            </w:r>
          </w:p>
        </w:tc>
        <w:tc>
          <w:tcPr>
            <w:tcW w:w="52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w:t>
            </w:r>
          </w:p>
        </w:tc>
        <w:tc>
          <w:tcPr>
            <w:tcW w:w="8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w:t>
            </w:r>
          </w:p>
        </w:tc>
        <w:tc>
          <w:tcPr>
            <w:tcW w:w="136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w:t>
            </w:r>
          </w:p>
        </w:tc>
        <w:tc>
          <w:tcPr>
            <w:tcW w:w="117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w:t>
            </w:r>
          </w:p>
        </w:tc>
        <w:tc>
          <w:tcPr>
            <w:tcW w:w="114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6</w:t>
            </w:r>
          </w:p>
        </w:tc>
        <w:tc>
          <w:tcPr>
            <w:tcW w:w="136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7</w:t>
            </w:r>
          </w:p>
        </w:tc>
        <w:tc>
          <w:tcPr>
            <w:tcW w:w="114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w:t>
            </w:r>
          </w:p>
        </w:tc>
        <w:tc>
          <w:tcPr>
            <w:tcW w:w="114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w:t>
            </w:r>
          </w:p>
        </w:tc>
        <w:tc>
          <w:tcPr>
            <w:tcW w:w="52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10</w:t>
            </w:r>
          </w:p>
        </w:tc>
        <w:tc>
          <w:tcPr>
            <w:tcW w:w="52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11</w:t>
            </w:r>
          </w:p>
        </w:tc>
        <w:tc>
          <w:tcPr>
            <w:tcW w:w="52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w:t>
            </w:r>
          </w:p>
        </w:tc>
        <w:tc>
          <w:tcPr>
            <w:tcW w:w="57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w:t>
            </w:r>
          </w:p>
        </w:tc>
      </w:tr>
      <w:tr>
        <w:tblPrEx>
          <w:tblLayout w:type="fixed"/>
          <w:tblCellMar>
            <w:top w:w="15" w:type="dxa"/>
            <w:left w:w="15" w:type="dxa"/>
            <w:bottom w:w="15" w:type="dxa"/>
            <w:right w:w="15" w:type="dxa"/>
          </w:tblCellMar>
        </w:tblPrEx>
        <w:trPr>
          <w:trHeight w:val="301" w:hRule="atLeast"/>
        </w:trPr>
        <w:tc>
          <w:tcPr>
            <w:tcW w:w="47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2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1,661,419.12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735,773.39</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1,661,419.12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735,773.39</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教育支出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20508</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进修及培训</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2050803</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培训支出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1,574,669.40</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649,023.67</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1,574,669.40</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649,023.67</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20805</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行政事业单位养老支出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73,362.33</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2080505</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机关事业单位基本养老保险缴费支出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2080506</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机关事业单位职业年金缴费支出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20809</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退役安置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925,645.73</w:t>
            </w: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2080902</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军队移交政府的离退休人员安置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925,645.73</w:t>
            </w: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20828</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退役军人管理事务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575,661.34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2082801</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行政运行</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575,661.34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卫生健康支出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21011</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行政事业单位医疗</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35,931.52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2101101</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行政单位医疗</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2101103</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公务员医疗补助</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2101199</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其他行政事业单位医疗支出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8,135.52</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住房保障支出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22102</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住房改革支出</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1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2210201</w:t>
            </w:r>
          </w:p>
        </w:tc>
        <w:tc>
          <w:tcPr>
            <w:tcW w:w="1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住房公积金</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注：1.本表依据《一般公共预算财政拨款收入支出决算表》（财决07表）进行批复。</w:t>
            </w: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2.本表批复到项级科目。</w:t>
            </w: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3.本表以“万元”为金额单位（保留两位小数）。</w:t>
            </w: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4.本套报表金额单位转换时可能存在尾数误差。          </w:t>
            </w:r>
          </w:p>
        </w:tc>
      </w:tr>
    </w:tbl>
    <w:p>
      <w:pPr>
        <w:rPr>
          <w:rFonts w:hint="eastAsia" w:ascii="黑体" w:hAnsi="宋体" w:eastAsia="黑体" w:cs="黑体"/>
          <w:i w:val="0"/>
          <w:color w:val="000000"/>
          <w:kern w:val="0"/>
          <w:sz w:val="30"/>
          <w:szCs w:val="30"/>
        </w:rPr>
        <w:sectPr>
          <w:pgSz w:w="16851" w:h="11915" w:orient="landscape"/>
          <w:pgMar w:top="1800" w:right="1440" w:bottom="1800" w:left="1440" w:header="851" w:footer="992" w:gutter="0"/>
          <w:cols w:space="0" w:num="1"/>
          <w:docGrid w:type="lines" w:linePitch="312" w:charSpace="0"/>
        </w:sectPr>
      </w:pPr>
    </w:p>
    <w:tbl>
      <w:tblPr>
        <w:tblStyle w:val="11"/>
        <w:tblW w:w="14740" w:type="dxa"/>
        <w:tblInd w:w="186" w:type="dxa"/>
        <w:shd w:val="clear" w:color="auto" w:fill="auto"/>
        <w:tblLayout w:type="fixed"/>
        <w:tblCellMar>
          <w:top w:w="15" w:type="dxa"/>
          <w:left w:w="15" w:type="dxa"/>
          <w:bottom w:w="15" w:type="dxa"/>
          <w:right w:w="15" w:type="dxa"/>
        </w:tblCellMar>
      </w:tblPr>
      <w:tblGrid>
        <w:gridCol w:w="582"/>
        <w:gridCol w:w="2847"/>
        <w:gridCol w:w="1437"/>
        <w:gridCol w:w="582"/>
        <w:gridCol w:w="2220"/>
        <w:gridCol w:w="1438"/>
        <w:gridCol w:w="582"/>
        <w:gridCol w:w="3618"/>
        <w:gridCol w:w="1434"/>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9"/>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黑体" w:hAnsi="宋体" w:eastAsia="黑体" w:cs="黑体"/>
                <w:i w:val="0"/>
                <w:color w:val="000000"/>
                <w:kern w:val="0"/>
                <w:sz w:val="30"/>
                <w:szCs w:val="30"/>
              </w:rPr>
              <w:t>一般公共预算财政拨款基本支出决算明细表</w:t>
            </w:r>
          </w:p>
        </w:tc>
      </w:tr>
      <w:tr>
        <w:tblPrEx>
          <w:tblLayout w:type="fixed"/>
          <w:tblCellMar>
            <w:top w:w="15" w:type="dxa"/>
            <w:left w:w="15" w:type="dxa"/>
            <w:bottom w:w="15" w:type="dxa"/>
            <w:right w:w="15" w:type="dxa"/>
          </w:tblCellMar>
        </w:tblPrEx>
        <w:trPr>
          <w:trHeight w:val="301" w:hRule="atLeast"/>
        </w:trPr>
        <w:tc>
          <w:tcPr>
            <w:tcW w:w="582" w:type="dxa"/>
            <w:tcBorders>
              <w:top w:val="nil"/>
              <w:left w:val="nil"/>
              <w:bottom w:val="nil"/>
              <w:right w:val="nil"/>
            </w:tcBorders>
            <w:shd w:val="clear" w:color="auto" w:fill="auto"/>
            <w:vAlign w:val="center"/>
          </w:tcPr>
          <w:p>
            <w:pPr>
              <w:keepNext w:val="0"/>
              <w:keepLines w:val="0"/>
              <w:widowControl/>
              <w:suppressLineNumbers w:val="0"/>
              <w:jc w:val="left"/>
              <w:rPr>
                <w:rFonts w:hint="default" w:ascii="Tahoma" w:hAnsi="Tahoma" w:eastAsia="Tahoma" w:cs="Tahoma"/>
                <w:i w:val="0"/>
                <w:color w:val="000000"/>
                <w:kern w:val="0"/>
                <w:sz w:val="16"/>
                <w:szCs w:val="16"/>
              </w:rPr>
            </w:pPr>
          </w:p>
        </w:tc>
        <w:tc>
          <w:tcPr>
            <w:tcW w:w="2847"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37"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8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22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3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8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052"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公开06表</w:t>
            </w:r>
          </w:p>
        </w:tc>
      </w:tr>
      <w:tr>
        <w:tblPrEx>
          <w:tblLayout w:type="fixed"/>
          <w:tblCellMar>
            <w:top w:w="15" w:type="dxa"/>
            <w:left w:w="15" w:type="dxa"/>
            <w:bottom w:w="15" w:type="dxa"/>
            <w:right w:w="15" w:type="dxa"/>
          </w:tblCellMar>
        </w:tblPrEx>
        <w:trPr>
          <w:trHeight w:val="301" w:hRule="atLeast"/>
        </w:trPr>
        <w:tc>
          <w:tcPr>
            <w:tcW w:w="7668"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0"/>
                <w:szCs w:val="20"/>
              </w:rPr>
              <w:t>部门：重庆市荣昌区军队离休退休干部服务管理中心</w:t>
            </w:r>
          </w:p>
        </w:tc>
        <w:tc>
          <w:tcPr>
            <w:tcW w:w="1438"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8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3618"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34"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金额单位：元</w:t>
            </w:r>
          </w:p>
        </w:tc>
      </w:tr>
      <w:tr>
        <w:tblPrEx>
          <w:tblLayout w:type="fixed"/>
          <w:tblCellMar>
            <w:top w:w="15" w:type="dxa"/>
            <w:left w:w="15" w:type="dxa"/>
            <w:bottom w:w="15" w:type="dxa"/>
            <w:right w:w="15" w:type="dxa"/>
          </w:tblCellMar>
        </w:tblPrEx>
        <w:trPr>
          <w:trHeight w:val="301" w:hRule="atLeast"/>
        </w:trPr>
        <w:tc>
          <w:tcPr>
            <w:tcW w:w="4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人员经费</w:t>
            </w:r>
          </w:p>
        </w:tc>
        <w:tc>
          <w:tcPr>
            <w:tcW w:w="987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公用经费</w:t>
            </w:r>
          </w:p>
        </w:tc>
      </w:tr>
      <w:tr>
        <w:tblPrEx>
          <w:tblLayout w:type="fixed"/>
          <w:tblCellMar>
            <w:top w:w="15" w:type="dxa"/>
            <w:left w:w="15" w:type="dxa"/>
            <w:bottom w:w="15" w:type="dxa"/>
            <w:right w:w="15" w:type="dxa"/>
          </w:tblCellMar>
        </w:tblPrEx>
        <w:trPr>
          <w:trHeight w:val="300" w:hRule="atLeast"/>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284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143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决算数</w:t>
            </w:r>
          </w:p>
        </w:tc>
        <w:tc>
          <w:tcPr>
            <w:tcW w:w="58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22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143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决算数</w:t>
            </w:r>
          </w:p>
        </w:tc>
        <w:tc>
          <w:tcPr>
            <w:tcW w:w="58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361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14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决算数</w:t>
            </w:r>
          </w:p>
        </w:tc>
      </w:tr>
      <w:tr>
        <w:tblPrEx>
          <w:tblLayout w:type="fixed"/>
          <w:tblCellMar>
            <w:top w:w="15" w:type="dxa"/>
            <w:left w:w="15" w:type="dxa"/>
            <w:bottom w:w="15" w:type="dxa"/>
            <w:right w:w="15" w:type="dxa"/>
          </w:tblCellMar>
        </w:tblPrEx>
        <w:trPr>
          <w:trHeight w:val="300" w:hRule="atLeast"/>
        </w:trPr>
        <w:tc>
          <w:tcPr>
            <w:tcW w:w="58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847"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3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8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2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3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8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61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3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w:t>
            </w:r>
          </w:p>
        </w:tc>
        <w:tc>
          <w:tcPr>
            <w:tcW w:w="284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工资福利支出</w:t>
            </w:r>
          </w:p>
        </w:tc>
        <w:tc>
          <w:tcPr>
            <w:tcW w:w="143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586,113.41</w:t>
            </w:r>
          </w:p>
        </w:tc>
        <w:tc>
          <w:tcPr>
            <w:tcW w:w="58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w:t>
            </w:r>
          </w:p>
        </w:tc>
        <w:tc>
          <w:tcPr>
            <w:tcW w:w="222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商品和服务支出</w:t>
            </w:r>
          </w:p>
        </w:tc>
        <w:tc>
          <w:tcPr>
            <w:tcW w:w="143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149,659.98</w:t>
            </w:r>
          </w:p>
        </w:tc>
        <w:tc>
          <w:tcPr>
            <w:tcW w:w="58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307</w:t>
            </w:r>
          </w:p>
        </w:tc>
        <w:tc>
          <w:tcPr>
            <w:tcW w:w="361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债务利息及费用支出</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30101</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基本工资</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146,966.00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30201</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办公费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11,467.68</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30701</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国内债务付息</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30102</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津贴补贴</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137,584.00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30202</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印刷费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3,000.00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30702</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国外债务付息</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30103</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奖金</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138,800.00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30203</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咨询费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资本性支出</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30106</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伙食补助费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30204</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手续费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31001</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房屋建筑物购建</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30107</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绩效工资</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30205</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水费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31002</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办公设备购置</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30108</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机关事业单位基本养老保险缴费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55,572.89</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30206</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电费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31003</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专用设备购置</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30109</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职业年金缴费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17,789.44</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30207</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邮电费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12,217.56</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31005</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基础设施建设</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30110</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职工基本医疗保险缴费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18,901.28</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30208</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取暖费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31006</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大型修缮</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30111</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公务员医疗补助缴费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8,894.72</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30209</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物业管理费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31007</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信息网络及软件购置更新</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30112</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其他社会保障缴费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7,322.40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30211</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差旅费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26,250.00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31008</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物资储备</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30113</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住房公积金</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49,482.68</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30212</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因公出国（境）费用</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31009</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土地补偿</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30114</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医疗费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4,800.00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30213</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维修（护）费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31010</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安置补助</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30199</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其他工资福利支出</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30214</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租赁费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31011</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地上附着物和青苗补偿</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对个人和家庭的补助</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30215</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会议费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31012</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拆迁补偿</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30301</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离休费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30216</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培训费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1,335.52</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31013</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公务用车购置</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30302</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退休费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30217</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公务接待费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1,100.00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31019</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其他交通工具购置</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30303</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退职（役）费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30218</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专用材料费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31021</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文物和陈列品购置</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30304</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抚恤金</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30224</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被装购置费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31022</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无形资产购置</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30305</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生活补助</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30225</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专用燃料费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31099</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其他资本性支出</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30306</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救济费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30226</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劳务费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399</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其他支出</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30307</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医疗费补助</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30227</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委托业务费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39907</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国家赔偿费用支出</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30308</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助学金</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30228</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工会经费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28,668.42</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39908</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对民间非营利组织和群众性自治组织补贴</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30309</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奖励金</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30229</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福利费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5,671.04</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39909</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经常性赠与</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30310</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个人农业生产补贴</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30231</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公务用车运行维护费</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39910</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资本性赠与</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30311</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代缴社会保险费</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30239</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其他交通费用</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23,400.00</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39999</w:t>
            </w: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其他支出</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30399</w:t>
            </w: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其他对个人和家庭的补助</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30240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税金及附加费用</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2"/>
                <w:szCs w:val="22"/>
              </w:rPr>
            </w:pP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2"/>
                <w:szCs w:val="22"/>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2"/>
                <w:szCs w:val="22"/>
              </w:rPr>
            </w:pPr>
          </w:p>
        </w:tc>
        <w:tc>
          <w:tcPr>
            <w:tcW w:w="28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2"/>
                <w:szCs w:val="22"/>
              </w:rPr>
            </w:pP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30299</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其他商品和服务支出</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36,549.76</w:t>
            </w:r>
          </w:p>
        </w:tc>
        <w:tc>
          <w:tcPr>
            <w:tcW w:w="5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2"/>
                <w:szCs w:val="22"/>
              </w:rPr>
            </w:pPr>
          </w:p>
        </w:tc>
        <w:tc>
          <w:tcPr>
            <w:tcW w:w="36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2"/>
                <w:szCs w:val="22"/>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3429"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人员经费合计</w:t>
            </w:r>
          </w:p>
        </w:tc>
        <w:tc>
          <w:tcPr>
            <w:tcW w:w="1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586,113.41</w:t>
            </w:r>
          </w:p>
        </w:tc>
        <w:tc>
          <w:tcPr>
            <w:tcW w:w="844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公用经费合计</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149,659.98</w:t>
            </w:r>
          </w:p>
        </w:tc>
      </w:tr>
      <w:tr>
        <w:tblPrEx>
          <w:tblLayout w:type="fixed"/>
          <w:tblCellMar>
            <w:top w:w="15" w:type="dxa"/>
            <w:left w:w="15" w:type="dxa"/>
            <w:bottom w:w="15" w:type="dxa"/>
            <w:right w:w="15" w:type="dxa"/>
          </w:tblCellMar>
        </w:tblPrEx>
        <w:trPr>
          <w:trHeight w:val="301" w:hRule="atLeast"/>
        </w:trPr>
        <w:tc>
          <w:tcPr>
            <w:tcW w:w="1474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注：1.本表依据《一般公共预算财政拨款基本支出决算明细表》（财决08-1表）进行批复。</w:t>
            </w:r>
          </w:p>
        </w:tc>
      </w:tr>
      <w:tr>
        <w:tblPrEx>
          <w:tblLayout w:type="fixed"/>
          <w:tblCellMar>
            <w:top w:w="15" w:type="dxa"/>
            <w:left w:w="15" w:type="dxa"/>
            <w:bottom w:w="15" w:type="dxa"/>
            <w:right w:w="15" w:type="dxa"/>
          </w:tblCellMar>
        </w:tblPrEx>
        <w:trPr>
          <w:trHeight w:val="301" w:hRule="atLeast"/>
        </w:trPr>
        <w:tc>
          <w:tcPr>
            <w:tcW w:w="1474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2.本表以“万元”为金额单位（保留两位小数）。</w:t>
            </w:r>
          </w:p>
        </w:tc>
      </w:tr>
      <w:tr>
        <w:tblPrEx>
          <w:tblLayout w:type="fixed"/>
          <w:tblCellMar>
            <w:top w:w="15" w:type="dxa"/>
            <w:left w:w="15" w:type="dxa"/>
            <w:bottom w:w="15" w:type="dxa"/>
            <w:right w:w="15" w:type="dxa"/>
          </w:tblCellMar>
        </w:tblPrEx>
        <w:trPr>
          <w:trHeight w:val="301" w:hRule="atLeast"/>
        </w:trPr>
        <w:tc>
          <w:tcPr>
            <w:tcW w:w="1474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3.本套报表金额单位转换时可能存在尾数误差。          </w:t>
            </w:r>
          </w:p>
        </w:tc>
      </w:tr>
    </w:tbl>
    <w:p>
      <w:pPr>
        <w:pStyle w:val="17"/>
        <w:keepNext w:val="0"/>
        <w:keepLines w:val="0"/>
        <w:widowControl/>
        <w:suppressLineNumbers w:val="0"/>
        <w:spacing w:before="0" w:beforeAutospacing="0"/>
        <w:ind w:left="0"/>
        <w:jc w:val="left"/>
        <w:rPr>
          <w:rFonts w:hint="eastAsia" w:ascii="宋体" w:hAnsi="宋体" w:eastAsia="宋体" w:cs="宋体"/>
          <w:kern w:val="0"/>
          <w:sz w:val="24"/>
          <w:szCs w:val="24"/>
        </w:rPr>
        <w:sectPr>
          <w:pgSz w:w="16851" w:h="11915" w:orient="landscape"/>
          <w:pgMar w:top="1800" w:right="1440" w:bottom="1800" w:left="1440" w:header="851" w:footer="992" w:gutter="0"/>
          <w:cols w:space="0" w:num="1"/>
          <w:docGrid w:type="lines" w:linePitch="312" w:charSpace="0"/>
        </w:sectPr>
      </w:pPr>
    </w:p>
    <w:tbl>
      <w:tblPr>
        <w:tblStyle w:val="11"/>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625"/>
        <w:gridCol w:w="625"/>
        <w:gridCol w:w="2528"/>
        <w:gridCol w:w="1081"/>
        <w:gridCol w:w="626"/>
        <w:gridCol w:w="1080"/>
        <w:gridCol w:w="626"/>
        <w:gridCol w:w="1163"/>
        <w:gridCol w:w="627"/>
        <w:gridCol w:w="1081"/>
        <w:gridCol w:w="626"/>
        <w:gridCol w:w="1080"/>
        <w:gridCol w:w="626"/>
        <w:gridCol w:w="626"/>
        <w:gridCol w:w="626"/>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740" w:type="dxa"/>
            <w:gridSpan w:val="17"/>
            <w:tcBorders>
              <w:right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auto"/>
            <w:vAlign w:val="center"/>
          </w:tcPr>
          <w:p>
            <w:pPr>
              <w:jc w:val="left"/>
              <w:rPr>
                <w:rFonts w:hint="eastAsia" w:ascii="Tahoma" w:hAnsi="Tahoma" w:eastAsia="Tahoma" w:cs="Tahoma"/>
                <w:i w:val="0"/>
                <w:color w:val="000000"/>
                <w:sz w:val="16"/>
                <w:szCs w:val="16"/>
                <w:u w:val="none"/>
              </w:rPr>
            </w:pPr>
          </w:p>
        </w:tc>
        <w:tc>
          <w:tcPr>
            <w:tcW w:w="625" w:type="dxa"/>
            <w:shd w:val="clear" w:color="auto" w:fill="auto"/>
            <w:vAlign w:val="center"/>
          </w:tcPr>
          <w:p>
            <w:pPr>
              <w:jc w:val="left"/>
              <w:rPr>
                <w:rFonts w:hint="eastAsia" w:ascii="宋体" w:hAnsi="宋体" w:eastAsia="宋体" w:cs="宋体"/>
                <w:i w:val="0"/>
                <w:color w:val="000000"/>
                <w:sz w:val="18"/>
                <w:szCs w:val="18"/>
                <w:u w:val="none"/>
              </w:rPr>
            </w:pPr>
          </w:p>
        </w:tc>
        <w:tc>
          <w:tcPr>
            <w:tcW w:w="625" w:type="dxa"/>
            <w:shd w:val="clear" w:color="auto" w:fill="auto"/>
            <w:vAlign w:val="center"/>
          </w:tcPr>
          <w:p>
            <w:pPr>
              <w:jc w:val="left"/>
              <w:rPr>
                <w:rFonts w:hint="eastAsia" w:ascii="宋体" w:hAnsi="宋体" w:eastAsia="宋体" w:cs="宋体"/>
                <w:i w:val="0"/>
                <w:color w:val="000000"/>
                <w:sz w:val="18"/>
                <w:szCs w:val="18"/>
                <w:u w:val="none"/>
              </w:rPr>
            </w:pPr>
          </w:p>
        </w:tc>
        <w:tc>
          <w:tcPr>
            <w:tcW w:w="2528" w:type="dxa"/>
            <w:shd w:val="clear" w:color="auto" w:fill="auto"/>
            <w:vAlign w:val="center"/>
          </w:tcPr>
          <w:p>
            <w:pPr>
              <w:jc w:val="left"/>
              <w:rPr>
                <w:rFonts w:hint="eastAsia" w:ascii="宋体" w:hAnsi="宋体" w:eastAsia="宋体" w:cs="宋体"/>
                <w:i w:val="0"/>
                <w:color w:val="000000"/>
                <w:sz w:val="18"/>
                <w:szCs w:val="18"/>
                <w:u w:val="none"/>
              </w:rPr>
            </w:pPr>
          </w:p>
        </w:tc>
        <w:tc>
          <w:tcPr>
            <w:tcW w:w="1081" w:type="dxa"/>
            <w:shd w:val="clear" w:color="auto" w:fill="auto"/>
            <w:vAlign w:val="center"/>
          </w:tcPr>
          <w:p>
            <w:pPr>
              <w:jc w:val="left"/>
              <w:rPr>
                <w:rFonts w:hint="eastAsia" w:ascii="宋体" w:hAnsi="宋体" w:eastAsia="宋体" w:cs="宋体"/>
                <w:i w:val="0"/>
                <w:color w:val="000000"/>
                <w:sz w:val="18"/>
                <w:szCs w:val="18"/>
                <w:u w:val="none"/>
              </w:rPr>
            </w:pPr>
          </w:p>
        </w:tc>
        <w:tc>
          <w:tcPr>
            <w:tcW w:w="626" w:type="dxa"/>
            <w:shd w:val="clear" w:color="auto" w:fill="auto"/>
            <w:vAlign w:val="center"/>
          </w:tcPr>
          <w:p>
            <w:pPr>
              <w:jc w:val="left"/>
              <w:rPr>
                <w:rFonts w:hint="eastAsia" w:ascii="宋体" w:hAnsi="宋体" w:eastAsia="宋体" w:cs="宋体"/>
                <w:i w:val="0"/>
                <w:color w:val="000000"/>
                <w:sz w:val="18"/>
                <w:szCs w:val="18"/>
                <w:u w:val="none"/>
              </w:rPr>
            </w:pPr>
          </w:p>
        </w:tc>
        <w:tc>
          <w:tcPr>
            <w:tcW w:w="1080" w:type="dxa"/>
            <w:shd w:val="clear" w:color="auto" w:fill="auto"/>
            <w:vAlign w:val="center"/>
          </w:tcPr>
          <w:p>
            <w:pPr>
              <w:jc w:val="left"/>
              <w:rPr>
                <w:rFonts w:hint="eastAsia" w:ascii="宋体" w:hAnsi="宋体" w:eastAsia="宋体" w:cs="宋体"/>
                <w:i w:val="0"/>
                <w:color w:val="000000"/>
                <w:sz w:val="18"/>
                <w:szCs w:val="18"/>
                <w:u w:val="none"/>
              </w:rPr>
            </w:pPr>
          </w:p>
        </w:tc>
        <w:tc>
          <w:tcPr>
            <w:tcW w:w="626" w:type="dxa"/>
            <w:shd w:val="clear" w:color="auto" w:fill="auto"/>
            <w:vAlign w:val="center"/>
          </w:tcPr>
          <w:p>
            <w:pPr>
              <w:jc w:val="left"/>
              <w:rPr>
                <w:rFonts w:hint="eastAsia" w:ascii="宋体" w:hAnsi="宋体" w:eastAsia="宋体" w:cs="宋体"/>
                <w:i w:val="0"/>
                <w:color w:val="000000"/>
                <w:sz w:val="18"/>
                <w:szCs w:val="18"/>
                <w:u w:val="none"/>
              </w:rPr>
            </w:pPr>
          </w:p>
        </w:tc>
        <w:tc>
          <w:tcPr>
            <w:tcW w:w="1163" w:type="dxa"/>
            <w:shd w:val="clear" w:color="auto" w:fill="auto"/>
            <w:vAlign w:val="center"/>
          </w:tcPr>
          <w:p>
            <w:pPr>
              <w:jc w:val="left"/>
              <w:rPr>
                <w:rFonts w:hint="eastAsia" w:ascii="宋体" w:hAnsi="宋体" w:eastAsia="宋体" w:cs="宋体"/>
                <w:i w:val="0"/>
                <w:color w:val="000000"/>
                <w:sz w:val="18"/>
                <w:szCs w:val="18"/>
                <w:u w:val="none"/>
              </w:rPr>
            </w:pPr>
          </w:p>
        </w:tc>
        <w:tc>
          <w:tcPr>
            <w:tcW w:w="627" w:type="dxa"/>
            <w:shd w:val="clear" w:color="auto" w:fill="auto"/>
            <w:vAlign w:val="center"/>
          </w:tcPr>
          <w:p>
            <w:pPr>
              <w:jc w:val="left"/>
              <w:rPr>
                <w:rFonts w:hint="eastAsia" w:ascii="宋体" w:hAnsi="宋体" w:eastAsia="宋体" w:cs="宋体"/>
                <w:i w:val="0"/>
                <w:color w:val="000000"/>
                <w:sz w:val="18"/>
                <w:szCs w:val="18"/>
                <w:u w:val="none"/>
              </w:rPr>
            </w:pPr>
          </w:p>
        </w:tc>
        <w:tc>
          <w:tcPr>
            <w:tcW w:w="1081" w:type="dxa"/>
            <w:shd w:val="clear" w:color="auto" w:fill="auto"/>
            <w:vAlign w:val="center"/>
          </w:tcPr>
          <w:p>
            <w:pPr>
              <w:jc w:val="left"/>
              <w:rPr>
                <w:rFonts w:hint="eastAsia" w:ascii="宋体" w:hAnsi="宋体" w:eastAsia="宋体" w:cs="宋体"/>
                <w:i w:val="0"/>
                <w:color w:val="000000"/>
                <w:sz w:val="18"/>
                <w:szCs w:val="18"/>
                <w:u w:val="none"/>
              </w:rPr>
            </w:pPr>
          </w:p>
        </w:tc>
        <w:tc>
          <w:tcPr>
            <w:tcW w:w="626" w:type="dxa"/>
            <w:shd w:val="clear" w:color="auto" w:fill="auto"/>
            <w:vAlign w:val="center"/>
          </w:tcPr>
          <w:p>
            <w:pPr>
              <w:jc w:val="left"/>
              <w:rPr>
                <w:rFonts w:hint="eastAsia" w:ascii="宋体" w:hAnsi="宋体" w:eastAsia="宋体" w:cs="宋体"/>
                <w:i w:val="0"/>
                <w:color w:val="000000"/>
                <w:sz w:val="18"/>
                <w:szCs w:val="18"/>
                <w:u w:val="none"/>
              </w:rPr>
            </w:pPr>
          </w:p>
        </w:tc>
        <w:tc>
          <w:tcPr>
            <w:tcW w:w="1080" w:type="dxa"/>
            <w:shd w:val="clear" w:color="auto" w:fill="auto"/>
            <w:vAlign w:val="center"/>
          </w:tcPr>
          <w:p>
            <w:pPr>
              <w:jc w:val="left"/>
              <w:rPr>
                <w:rFonts w:hint="eastAsia" w:ascii="宋体" w:hAnsi="宋体" w:eastAsia="宋体" w:cs="宋体"/>
                <w:i w:val="0"/>
                <w:color w:val="000000"/>
                <w:sz w:val="18"/>
                <w:szCs w:val="18"/>
                <w:u w:val="none"/>
              </w:rPr>
            </w:pPr>
          </w:p>
        </w:tc>
        <w:tc>
          <w:tcPr>
            <w:tcW w:w="626" w:type="dxa"/>
            <w:shd w:val="clear" w:color="auto" w:fill="auto"/>
            <w:vAlign w:val="center"/>
          </w:tcPr>
          <w:p>
            <w:pPr>
              <w:jc w:val="left"/>
              <w:rPr>
                <w:rFonts w:hint="eastAsia" w:ascii="宋体" w:hAnsi="宋体" w:eastAsia="宋体" w:cs="宋体"/>
                <w:i w:val="0"/>
                <w:color w:val="000000"/>
                <w:sz w:val="18"/>
                <w:szCs w:val="18"/>
                <w:u w:val="none"/>
              </w:rPr>
            </w:pPr>
          </w:p>
        </w:tc>
        <w:tc>
          <w:tcPr>
            <w:tcW w:w="1874" w:type="dxa"/>
            <w:gridSpan w:val="3"/>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t>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31" w:type="dxa"/>
            <w:gridSpan w:val="5"/>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部门：重庆市荣昌区军队离休退休干部服务管理中心</w:t>
            </w:r>
          </w:p>
        </w:tc>
        <w:tc>
          <w:tcPr>
            <w:tcW w:w="626"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80"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26"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63" w:type="dxa"/>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c>
          <w:tcPr>
            <w:tcW w:w="627"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81"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26"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80"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26"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74" w:type="dxa"/>
            <w:gridSpan w:val="3"/>
            <w:tcBorders>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2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5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2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2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6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722"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28"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3"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7"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2" w:type="dxa"/>
            <w:vMerge w:val="continue"/>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25"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625"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52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8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3"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2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0"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22"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28"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6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6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22"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52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6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注：1.本表依据《政府性基金预算财政拨款收入支出决算表》（财决09表）进行批复。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4.本套报表金额单位转换时可能存在尾数误差。          </w:t>
            </w:r>
          </w:p>
        </w:tc>
      </w:tr>
    </w:tbl>
    <w:p>
      <w:pPr>
        <w:pStyle w:val="17"/>
        <w:keepNext w:val="0"/>
        <w:keepLines w:val="0"/>
        <w:widowControl/>
        <w:suppressLineNumbers w:val="0"/>
        <w:spacing w:before="0" w:beforeAutospacing="0"/>
        <w:ind w:left="0"/>
        <w:jc w:val="left"/>
        <w:rPr>
          <w:rFonts w:hint="eastAsia" w:ascii="宋体" w:hAnsi="宋体" w:eastAsia="宋体" w:cs="宋体"/>
          <w:kern w:val="0"/>
          <w:sz w:val="24"/>
          <w:szCs w:val="24"/>
        </w:rPr>
        <w:sectPr>
          <w:pgSz w:w="16851" w:h="11915" w:orient="landscape"/>
          <w:pgMar w:top="1800" w:right="1440" w:bottom="1800" w:left="1440" w:header="851" w:footer="992" w:gutter="0"/>
          <w:cols w:space="0" w:num="1"/>
          <w:docGrid w:type="lines" w:linePitch="312" w:charSpace="0"/>
        </w:sectPr>
      </w:pPr>
    </w:p>
    <w:tbl>
      <w:tblPr>
        <w:tblStyle w:val="11"/>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904"/>
        <w:gridCol w:w="904"/>
        <w:gridCol w:w="3676"/>
        <w:gridCol w:w="1678"/>
        <w:gridCol w:w="908"/>
        <w:gridCol w:w="1677"/>
        <w:gridCol w:w="905"/>
        <w:gridCol w:w="905"/>
        <w:gridCol w:w="905"/>
        <w:gridCol w:w="90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740" w:type="dxa"/>
            <w:gridSpan w:val="12"/>
            <w:tcBorders>
              <w:right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auto"/>
            <w:vAlign w:val="center"/>
          </w:tcPr>
          <w:p>
            <w:pPr>
              <w:jc w:val="left"/>
              <w:rPr>
                <w:rFonts w:hint="eastAsia" w:ascii="Tahoma" w:hAnsi="Tahoma" w:eastAsia="Tahoma" w:cs="Tahoma"/>
                <w:i w:val="0"/>
                <w:color w:val="000000"/>
                <w:sz w:val="16"/>
                <w:szCs w:val="16"/>
                <w:u w:val="none"/>
              </w:rPr>
            </w:pPr>
          </w:p>
        </w:tc>
        <w:tc>
          <w:tcPr>
            <w:tcW w:w="904" w:type="dxa"/>
            <w:shd w:val="clear" w:color="auto" w:fill="auto"/>
            <w:vAlign w:val="center"/>
          </w:tcPr>
          <w:p>
            <w:pPr>
              <w:jc w:val="left"/>
              <w:rPr>
                <w:rFonts w:hint="eastAsia" w:ascii="宋体" w:hAnsi="宋体" w:eastAsia="宋体" w:cs="宋体"/>
                <w:i w:val="0"/>
                <w:color w:val="000000"/>
                <w:sz w:val="18"/>
                <w:szCs w:val="18"/>
                <w:u w:val="none"/>
              </w:rPr>
            </w:pPr>
          </w:p>
        </w:tc>
        <w:tc>
          <w:tcPr>
            <w:tcW w:w="904" w:type="dxa"/>
            <w:shd w:val="clear" w:color="auto" w:fill="auto"/>
            <w:vAlign w:val="center"/>
          </w:tcPr>
          <w:p>
            <w:pPr>
              <w:jc w:val="left"/>
              <w:rPr>
                <w:rFonts w:hint="eastAsia" w:ascii="宋体" w:hAnsi="宋体" w:eastAsia="宋体" w:cs="宋体"/>
                <w:i w:val="0"/>
                <w:color w:val="000000"/>
                <w:sz w:val="18"/>
                <w:szCs w:val="18"/>
                <w:u w:val="none"/>
              </w:rPr>
            </w:pPr>
          </w:p>
        </w:tc>
        <w:tc>
          <w:tcPr>
            <w:tcW w:w="3676" w:type="dxa"/>
            <w:shd w:val="clear" w:color="auto" w:fill="auto"/>
            <w:vAlign w:val="center"/>
          </w:tcPr>
          <w:p>
            <w:pPr>
              <w:jc w:val="left"/>
              <w:rPr>
                <w:rFonts w:hint="eastAsia" w:ascii="宋体" w:hAnsi="宋体" w:eastAsia="宋体" w:cs="宋体"/>
                <w:i w:val="0"/>
                <w:color w:val="000000"/>
                <w:sz w:val="18"/>
                <w:szCs w:val="18"/>
                <w:u w:val="none"/>
              </w:rPr>
            </w:pPr>
          </w:p>
        </w:tc>
        <w:tc>
          <w:tcPr>
            <w:tcW w:w="1678" w:type="dxa"/>
            <w:shd w:val="clear" w:color="auto" w:fill="auto"/>
            <w:vAlign w:val="center"/>
          </w:tcPr>
          <w:p>
            <w:pPr>
              <w:jc w:val="left"/>
              <w:rPr>
                <w:rFonts w:hint="eastAsia" w:ascii="宋体" w:hAnsi="宋体" w:eastAsia="宋体" w:cs="宋体"/>
                <w:i w:val="0"/>
                <w:color w:val="000000"/>
                <w:sz w:val="18"/>
                <w:szCs w:val="18"/>
                <w:u w:val="none"/>
              </w:rPr>
            </w:pPr>
          </w:p>
        </w:tc>
        <w:tc>
          <w:tcPr>
            <w:tcW w:w="908" w:type="dxa"/>
            <w:shd w:val="clear" w:color="auto" w:fill="auto"/>
            <w:vAlign w:val="center"/>
          </w:tcPr>
          <w:p>
            <w:pPr>
              <w:jc w:val="left"/>
              <w:rPr>
                <w:rFonts w:hint="eastAsia" w:ascii="宋体" w:hAnsi="宋体" w:eastAsia="宋体" w:cs="宋体"/>
                <w:i w:val="0"/>
                <w:color w:val="000000"/>
                <w:sz w:val="18"/>
                <w:szCs w:val="18"/>
                <w:u w:val="none"/>
              </w:rPr>
            </w:pPr>
          </w:p>
        </w:tc>
        <w:tc>
          <w:tcPr>
            <w:tcW w:w="1677" w:type="dxa"/>
            <w:shd w:val="clear" w:color="auto" w:fill="auto"/>
            <w:vAlign w:val="center"/>
          </w:tcPr>
          <w:p>
            <w:pPr>
              <w:jc w:val="left"/>
              <w:rPr>
                <w:rFonts w:hint="eastAsia" w:ascii="宋体" w:hAnsi="宋体" w:eastAsia="宋体" w:cs="宋体"/>
                <w:i w:val="0"/>
                <w:color w:val="000000"/>
                <w:sz w:val="18"/>
                <w:szCs w:val="18"/>
                <w:u w:val="none"/>
              </w:rPr>
            </w:pPr>
          </w:p>
        </w:tc>
        <w:tc>
          <w:tcPr>
            <w:tcW w:w="905" w:type="dxa"/>
            <w:shd w:val="clear" w:color="auto" w:fill="auto"/>
            <w:vAlign w:val="center"/>
          </w:tcPr>
          <w:p>
            <w:pPr>
              <w:jc w:val="left"/>
              <w:rPr>
                <w:rFonts w:hint="eastAsia" w:ascii="宋体" w:hAnsi="宋体" w:eastAsia="宋体" w:cs="宋体"/>
                <w:i w:val="0"/>
                <w:color w:val="000000"/>
                <w:sz w:val="18"/>
                <w:szCs w:val="18"/>
                <w:u w:val="none"/>
              </w:rPr>
            </w:pPr>
          </w:p>
        </w:tc>
        <w:tc>
          <w:tcPr>
            <w:tcW w:w="905" w:type="dxa"/>
            <w:shd w:val="clear" w:color="auto" w:fill="auto"/>
            <w:vAlign w:val="center"/>
          </w:tcPr>
          <w:p>
            <w:pPr>
              <w:jc w:val="left"/>
              <w:rPr>
                <w:rFonts w:hint="eastAsia" w:ascii="宋体" w:hAnsi="宋体" w:eastAsia="宋体" w:cs="宋体"/>
                <w:i w:val="0"/>
                <w:color w:val="000000"/>
                <w:sz w:val="18"/>
                <w:szCs w:val="18"/>
                <w:u w:val="none"/>
              </w:rPr>
            </w:pPr>
          </w:p>
        </w:tc>
        <w:tc>
          <w:tcPr>
            <w:tcW w:w="2711" w:type="dxa"/>
            <w:gridSpan w:val="3"/>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956" w:type="dxa"/>
            <w:gridSpan w:val="4"/>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部门：重庆市荣昌区军队离休退休干部服务管理中心</w:t>
            </w:r>
          </w:p>
        </w:tc>
        <w:tc>
          <w:tcPr>
            <w:tcW w:w="1678"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85" w:type="dxa"/>
            <w:gridSpan w:val="2"/>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2022年度</w:t>
            </w:r>
          </w:p>
        </w:tc>
        <w:tc>
          <w:tcPr>
            <w:tcW w:w="905"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05"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11" w:type="dxa"/>
            <w:gridSpan w:val="3"/>
            <w:tcBorders>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7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80"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7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78"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08"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w:t>
            </w:r>
          </w:p>
        </w:tc>
        <w:tc>
          <w:tcPr>
            <w:tcW w:w="1677"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w:t>
            </w: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05"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w:t>
            </w:r>
          </w:p>
        </w:tc>
        <w:tc>
          <w:tcPr>
            <w:tcW w:w="901"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80"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7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78"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77"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1"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280"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76"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78"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77"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1"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904"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904"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67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7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7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0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76"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6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8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76"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注：1.本表依据《国有资本经营预算财政拨款收入支出决算表》（财决11表）进行批复。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4.本套报表金额单位转换时可能存在尾数误差。          </w:t>
            </w:r>
          </w:p>
        </w:tc>
      </w:tr>
    </w:tbl>
    <w:p>
      <w:pPr>
        <w:pStyle w:val="17"/>
        <w:keepNext w:val="0"/>
        <w:keepLines w:val="0"/>
        <w:widowControl/>
        <w:suppressLineNumbers w:val="0"/>
        <w:spacing w:before="0" w:beforeAutospacing="0"/>
        <w:ind w:left="0"/>
        <w:jc w:val="left"/>
        <w:rPr>
          <w:rFonts w:hint="eastAsia" w:ascii="宋体" w:hAnsi="宋体" w:eastAsia="宋体" w:cs="宋体"/>
          <w:kern w:val="0"/>
          <w:sz w:val="24"/>
          <w:szCs w:val="24"/>
        </w:rPr>
        <w:sectPr>
          <w:pgSz w:w="16851" w:h="11915" w:orient="landscape"/>
          <w:pgMar w:top="1800" w:right="1440" w:bottom="1800" w:left="1440" w:header="851" w:footer="992" w:gutter="0"/>
          <w:cols w:space="0" w:num="1"/>
          <w:docGrid w:type="lines" w:linePitch="312" w:charSpace="0"/>
        </w:sectPr>
      </w:pPr>
    </w:p>
    <w:tbl>
      <w:tblPr>
        <w:tblStyle w:val="11"/>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13"/>
        <w:gridCol w:w="557"/>
        <w:gridCol w:w="1675"/>
        <w:gridCol w:w="4711"/>
        <w:gridCol w:w="499"/>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4740" w:type="dxa"/>
            <w:gridSpan w:val="6"/>
            <w:tcBorders>
              <w:right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机构运行信息决算批复表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shd w:val="clear" w:color="auto" w:fill="auto"/>
            <w:vAlign w:val="center"/>
          </w:tcPr>
          <w:p>
            <w:pPr>
              <w:jc w:val="left"/>
              <w:rPr>
                <w:rFonts w:hint="eastAsia" w:ascii="Tahoma" w:hAnsi="Tahoma" w:eastAsia="Tahoma" w:cs="Tahoma"/>
                <w:i w:val="0"/>
                <w:color w:val="000000"/>
                <w:sz w:val="16"/>
                <w:szCs w:val="16"/>
                <w:u w:val="none"/>
              </w:rPr>
            </w:pPr>
          </w:p>
        </w:tc>
        <w:tc>
          <w:tcPr>
            <w:tcW w:w="557" w:type="dxa"/>
            <w:shd w:val="clear" w:color="auto" w:fill="auto"/>
            <w:vAlign w:val="center"/>
          </w:tcPr>
          <w:p>
            <w:pPr>
              <w:jc w:val="left"/>
              <w:rPr>
                <w:rFonts w:hint="eastAsia" w:ascii="宋体" w:hAnsi="宋体" w:eastAsia="宋体" w:cs="宋体"/>
                <w:i w:val="0"/>
                <w:color w:val="000000"/>
                <w:sz w:val="18"/>
                <w:szCs w:val="18"/>
                <w:u w:val="none"/>
              </w:rPr>
            </w:pPr>
          </w:p>
        </w:tc>
        <w:tc>
          <w:tcPr>
            <w:tcW w:w="1675" w:type="dxa"/>
            <w:shd w:val="clear" w:color="auto" w:fill="auto"/>
            <w:vAlign w:val="center"/>
          </w:tcPr>
          <w:p>
            <w:pPr>
              <w:jc w:val="left"/>
              <w:rPr>
                <w:rFonts w:hint="eastAsia" w:ascii="宋体" w:hAnsi="宋体" w:eastAsia="宋体" w:cs="宋体"/>
                <w:i w:val="0"/>
                <w:color w:val="000000"/>
                <w:sz w:val="18"/>
                <w:szCs w:val="18"/>
                <w:u w:val="none"/>
              </w:rPr>
            </w:pPr>
          </w:p>
        </w:tc>
        <w:tc>
          <w:tcPr>
            <w:tcW w:w="4711" w:type="dxa"/>
            <w:shd w:val="clear" w:color="auto" w:fill="auto"/>
            <w:vAlign w:val="center"/>
          </w:tcPr>
          <w:p>
            <w:pPr>
              <w:jc w:val="left"/>
              <w:rPr>
                <w:rFonts w:hint="eastAsia" w:ascii="宋体" w:hAnsi="宋体" w:eastAsia="宋体" w:cs="宋体"/>
                <w:i w:val="0"/>
                <w:color w:val="000000"/>
                <w:sz w:val="18"/>
                <w:szCs w:val="18"/>
                <w:u w:val="none"/>
              </w:rPr>
            </w:pPr>
          </w:p>
        </w:tc>
        <w:tc>
          <w:tcPr>
            <w:tcW w:w="499" w:type="dxa"/>
            <w:shd w:val="clear" w:color="auto" w:fill="auto"/>
            <w:vAlign w:val="center"/>
          </w:tcPr>
          <w:p>
            <w:pPr>
              <w:jc w:val="left"/>
              <w:rPr>
                <w:rFonts w:hint="eastAsia" w:ascii="宋体" w:hAnsi="宋体" w:eastAsia="宋体" w:cs="宋体"/>
                <w:i w:val="0"/>
                <w:color w:val="000000"/>
                <w:sz w:val="18"/>
                <w:szCs w:val="18"/>
                <w:u w:val="none"/>
              </w:rPr>
            </w:pPr>
          </w:p>
        </w:tc>
        <w:tc>
          <w:tcPr>
            <w:tcW w:w="3685" w:type="dxa"/>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财决批复09表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556" w:type="dxa"/>
            <w:gridSpan w:val="4"/>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部门：重庆市荣昌区军队离休退休干部服务管理中心</w:t>
            </w:r>
          </w:p>
        </w:tc>
        <w:tc>
          <w:tcPr>
            <w:tcW w:w="499" w:type="dxa"/>
            <w:tcBorders>
              <w:bottom w:val="single" w:color="auto"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5" w:type="dxa"/>
            <w:tcBorders>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行次</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4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4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55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75" w:type="dxa"/>
            <w:tcBorders>
              <w:top w:val="single" w:color="auto"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499"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68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6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71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55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1,335.52</w:t>
            </w:r>
          </w:p>
        </w:tc>
        <w:tc>
          <w:tcPr>
            <w:tcW w:w="471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6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740"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注：1.本表依据《机构运行信息表》（财决附03表）进行批复。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2.本表导出打印时以“万元”为金额单位（保留两位小数）。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3.本套报表金额单位转换时可能存在尾数误差。</w:t>
            </w:r>
          </w:p>
        </w:tc>
      </w:tr>
    </w:tbl>
    <w:p>
      <w:pPr>
        <w:pStyle w:val="17"/>
        <w:keepNext w:val="0"/>
        <w:keepLines w:val="0"/>
        <w:widowControl/>
        <w:suppressLineNumbers w:val="0"/>
        <w:spacing w:before="0" w:beforeAutospacing="0"/>
        <w:ind w:left="0"/>
        <w:jc w:val="left"/>
        <w:rPr>
          <w:rFonts w:hint="eastAsia" w:ascii="宋体" w:hAnsi="宋体" w:eastAsia="宋体" w:cs="宋体"/>
          <w:kern w:val="0"/>
          <w:sz w:val="24"/>
          <w:szCs w:val="24"/>
        </w:rPr>
      </w:pPr>
    </w:p>
    <w:sectPr>
      <w:pgSz w:w="16851" w:h="11915"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4AA5C"/>
    <w:multiLevelType w:val="singleLevel"/>
    <w:tmpl w:val="6524AA5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51BEE"/>
    <w:rsid w:val="230A4535"/>
    <w:rsid w:val="54793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0">
    <w:name w:val="Default Paragraph Font"/>
    <w:unhideWhenUsed/>
    <w:qFormat/>
    <w:uiPriority w:val="99"/>
  </w:style>
  <w:style w:type="table" w:default="1" w:styleId="11">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p35"/>
    <w:basedOn w:val="1"/>
    <w:qFormat/>
    <w:uiPriority w:val="0"/>
    <w:pPr>
      <w:keepNext w:val="0"/>
      <w:keepLines w:val="0"/>
      <w:widowControl/>
      <w:suppressLineNumbers w:val="0"/>
      <w:spacing w:before="100" w:beforeAutospacing="0" w:after="100" w:afterAutospacing="0"/>
      <w:ind w:left="0" w:right="0"/>
      <w:jc w:val="left"/>
    </w:pPr>
    <w:rPr>
      <w:rFonts w:hint="eastAsia" w:ascii="宋体" w:hAnsi="宋体" w:eastAsia="宋体" w:cs="宋体"/>
      <w:kern w:val="0"/>
      <w:sz w:val="24"/>
      <w:szCs w:val="24"/>
      <w:lang w:val="en-US" w:eastAsia="zh-CN" w:bidi="ar"/>
    </w:r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4">
    <w:name w:val="17"/>
    <w:basedOn w:val="10"/>
    <w:qFormat/>
    <w:uiPriority w:val="0"/>
    <w:rPr>
      <w:rFonts w:hint="default" w:ascii="Times New Roman" w:hAnsi="Times New Roman" w:cs="Times New Roman"/>
    </w:rPr>
  </w:style>
  <w:style w:type="character" w:customStyle="1" w:styleId="15">
    <w:name w:val="21"/>
    <w:basedOn w:val="10"/>
    <w:qFormat/>
    <w:uiPriority w:val="0"/>
    <w:rPr>
      <w:rFonts w:hint="default" w:ascii="Times New Roman" w:hAnsi="Times New Roman" w:cs="Times New Roman"/>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HTML 预设格式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9">
    <w:name w:val="20"/>
    <w:basedOn w:val="10"/>
    <w:qFormat/>
    <w:uiPriority w:val="0"/>
    <w:rPr>
      <w:rFonts w:hint="default" w:ascii="Times New Roman" w:hAnsi="Times New Roman" w:cs="Times New Roman"/>
      <w:b/>
    </w:rPr>
  </w:style>
  <w:style w:type="paragraph" w:customStyle="1" w:styleId="20">
    <w:name w:val="p36"/>
    <w:basedOn w:val="1"/>
    <w:qFormat/>
    <w:uiPriority w:val="0"/>
    <w:pPr>
      <w:keepNext w:val="0"/>
      <w:keepLines w:val="0"/>
      <w:widowControl/>
      <w:suppressLineNumbers w:val="0"/>
      <w:spacing w:before="100" w:beforeAutospacing="0" w:after="100" w:afterAutospacing="0"/>
      <w:ind w:left="0" w:right="0"/>
      <w:jc w:val="left"/>
    </w:pPr>
    <w:rPr>
      <w:rFonts w:hint="eastAsia" w:ascii="宋体" w:hAnsi="宋体" w:eastAsia="宋体" w:cs="宋体"/>
      <w:kern w:val="0"/>
      <w:sz w:val="24"/>
      <w:szCs w:val="24"/>
      <w:lang w:val="en-US" w:eastAsia="zh-CN" w:bidi="ar"/>
    </w:rPr>
  </w:style>
  <w:style w:type="character" w:customStyle="1" w:styleId="21">
    <w:name w:val="10"/>
    <w:basedOn w:val="10"/>
    <w:qFormat/>
    <w:uiPriority w:val="0"/>
    <w:rPr>
      <w:rFonts w:hint="default" w:ascii="Times New Roman" w:hAnsi="Times New Roman" w:cs="Times New Roman"/>
    </w:rPr>
  </w:style>
  <w:style w:type="character" w:customStyle="1" w:styleId="22">
    <w:name w:val="15"/>
    <w:basedOn w:val="10"/>
    <w:qFormat/>
    <w:uiPriority w:val="0"/>
    <w:rPr>
      <w:rFonts w:hint="default" w:ascii="Times New Roman" w:hAnsi="Times New Roman" w:cs="Times New Roman"/>
      <w:b/>
    </w:rPr>
  </w:style>
  <w:style w:type="character" w:customStyle="1" w:styleId="23">
    <w:name w:val="16"/>
    <w:basedOn w:val="10"/>
    <w:qFormat/>
    <w:uiPriority w:val="0"/>
    <w:rPr>
      <w:rFonts w:hint="default" w:ascii="Times New Roman" w:hAnsi="Times New Roman" w:cs="Times New Roman"/>
    </w:rPr>
  </w:style>
  <w:style w:type="character" w:customStyle="1" w:styleId="24">
    <w:name w:val="18"/>
    <w:basedOn w:val="10"/>
    <w:qFormat/>
    <w:uiPriority w:val="0"/>
    <w:rPr>
      <w:rFonts w:hint="default" w:ascii="Times New Roman" w:hAnsi="Times New Roman" w:cs="Times New Roman"/>
    </w:rPr>
  </w:style>
  <w:style w:type="character" w:customStyle="1" w:styleId="25">
    <w:name w:val="19"/>
    <w:basedOn w:val="10"/>
    <w:qFormat/>
    <w:uiPriority w:val="0"/>
    <w:rPr>
      <w:rFonts w:hint="default" w:ascii="Times New Roman" w:hAnsi="Times New Roman" w:cs="Times New Roman"/>
    </w:rPr>
  </w:style>
  <w:style w:type="paragraph" w:customStyle="1" w:styleId="26">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Characters>5081</Characters>
  <Lines>1</Lines>
  <Paragraphs>1</Paragraphs>
  <ScaleCrop>false</ScaleCrop>
  <LinksUpToDate>false</LinksUpToDate>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2023-09-25T13:46:00Z</dcterms:created>
  <dc:creator>gfq</dc:creator>
  <cp:lastModifiedBy>cw</cp:lastModifiedBy>
  <dcterms:modified xsi:type="dcterms:W3CDTF">2023-10-10T01:34:45Z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21375EF99A9444F89B185599AF5CB454_12</vt:lpwstr>
  </property>
</Properties>
</file>