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jc w:val="center"/>
        <w:textAlignment w:val="auto"/>
        <w:outlineLvl w:val="9"/>
        <w:rPr>
          <w:rStyle w:val="15"/>
          <w:rFonts w:hint="eastAsia" w:ascii="方正小标宋_GBK" w:hAnsi="方正小标宋_GBK" w:eastAsia="方正小标宋_GBK" w:cs="方正小标宋_GBK"/>
          <w:b/>
          <w:sz w:val="44"/>
          <w:szCs w:val="44"/>
          <w:shd w:val="clear" w:fill="FFFFFF"/>
        </w:rPr>
      </w:pP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jc w:val="center"/>
        <w:textAlignment w:val="auto"/>
        <w:outlineLvl w:val="9"/>
        <w:rPr>
          <w:rFonts w:hint="eastAsia" w:ascii="方正小标宋_GBK" w:hAnsi="方正小标宋_GBK" w:eastAsia="方正小标宋_GBK" w:cs="方正小标宋_GBK"/>
          <w:kern w:val="0"/>
          <w:sz w:val="44"/>
          <w:szCs w:val="44"/>
        </w:rPr>
      </w:pPr>
      <w:r>
        <w:rPr>
          <w:rStyle w:val="15"/>
          <w:rFonts w:hint="eastAsia" w:ascii="方正小标宋_GBK" w:hAnsi="方正小标宋_GBK" w:eastAsia="方正小标宋_GBK" w:cs="方正小标宋_GBK"/>
          <w:b/>
          <w:sz w:val="44"/>
          <w:szCs w:val="44"/>
          <w:shd w:val="clear" w:fill="FFFFFF"/>
        </w:rPr>
        <w:t>重庆市荣昌区退役军人服务中心</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jc w:val="center"/>
        <w:textAlignment w:val="auto"/>
        <w:outlineLvl w:val="9"/>
        <w:rPr>
          <w:rStyle w:val="15"/>
          <w:rFonts w:hint="eastAsia" w:ascii="方正小标宋_GBK" w:hAnsi="方正小标宋_GBK" w:eastAsia="方正小标宋_GBK" w:cs="方正小标宋_GBK"/>
          <w:b/>
          <w:sz w:val="44"/>
          <w:szCs w:val="44"/>
          <w:shd w:val="clear" w:fill="FFFFFF"/>
        </w:rPr>
      </w:pPr>
      <w:r>
        <w:rPr>
          <w:rStyle w:val="15"/>
          <w:rFonts w:hint="eastAsia" w:ascii="方正小标宋_GBK" w:hAnsi="方正小标宋_GBK" w:eastAsia="方正小标宋_GBK" w:cs="方正小标宋_GBK"/>
          <w:b/>
          <w:sz w:val="44"/>
          <w:szCs w:val="44"/>
          <w:shd w:val="clear" w:fill="FFFFFF"/>
        </w:rPr>
        <w:t>2022年度部门决算情况说明</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jc w:val="center"/>
        <w:textAlignment w:val="auto"/>
        <w:outlineLvl w:val="9"/>
        <w:rPr>
          <w:rStyle w:val="15"/>
          <w:rFonts w:hint="eastAsia" w:ascii="方正小标宋_GBK" w:hAnsi="方正小标宋_GBK" w:eastAsia="方正小标宋_GBK" w:cs="方正小标宋_GBK"/>
          <w:b/>
          <w:sz w:val="44"/>
          <w:szCs w:val="44"/>
          <w:shd w:val="clear" w:fill="FFFFFF"/>
        </w:rPr>
      </w:pP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_GBK" w:hAnsi="方正黑体_GBK" w:eastAsia="方正黑体_GBK" w:cs="方正黑体_GBK"/>
          <w:b w:val="0"/>
          <w:bCs/>
          <w:kern w:val="0"/>
          <w:sz w:val="32"/>
          <w:szCs w:val="32"/>
        </w:rPr>
      </w:pPr>
      <w:r>
        <w:rPr>
          <w:rStyle w:val="15"/>
          <w:rFonts w:hint="eastAsia" w:ascii="方正黑体_GBK" w:hAnsi="方正黑体_GBK" w:eastAsia="方正黑体_GBK" w:cs="方正黑体_GBK"/>
          <w:b w:val="0"/>
          <w:bCs/>
          <w:sz w:val="32"/>
          <w:szCs w:val="32"/>
          <w:shd w:val="clear" w:fill="FFFFFF"/>
        </w:rPr>
        <w:t>一、部门基本情况</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kern w:val="0"/>
          <w:sz w:val="32"/>
          <w:szCs w:val="32"/>
        </w:rPr>
      </w:pPr>
      <w:r>
        <w:rPr>
          <w:rStyle w:val="15"/>
          <w:rFonts w:hint="eastAsia" w:ascii="方正楷体_GBK" w:hAnsi="方正楷体_GBK" w:eastAsia="方正楷体_GBK" w:cs="方正楷体_GBK"/>
          <w:b w:val="0"/>
          <w:bCs/>
          <w:sz w:val="32"/>
          <w:szCs w:val="32"/>
          <w:shd w:val="clear" w:fill="FFFFFF"/>
        </w:rPr>
        <w:t>（一）职能职责</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rPr>
        <w:t>单位现行的职能职责：负责军队离退休干部（士官）接收、管理和服务工作，落实军队离退休干部（士官）的政治待遇和生活待遇；负责中心国有资产的管理和维护；组织开展文体活动和社会公益活动。</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kern w:val="0"/>
          <w:sz w:val="32"/>
          <w:szCs w:val="32"/>
        </w:rPr>
      </w:pPr>
      <w:r>
        <w:rPr>
          <w:rStyle w:val="15"/>
          <w:rFonts w:hint="eastAsia" w:ascii="方正楷体_GBK" w:hAnsi="方正楷体_GBK" w:eastAsia="方正楷体_GBK" w:cs="方正楷体_GBK"/>
          <w:b w:val="0"/>
          <w:bCs/>
          <w:sz w:val="32"/>
          <w:szCs w:val="32"/>
          <w:shd w:val="clear" w:fill="FFFFFF"/>
        </w:rPr>
        <w:t>（二）机构设置</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rPr>
        <w:t>重庆市荣昌区退役军人事务局；重庆市荣昌区军队离休退休干部服务管理中心（二级单位）。</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_GBK" w:hAnsi="方正黑体_GBK" w:eastAsia="方正黑体_GBK" w:cs="方正黑体_GBK"/>
          <w:b w:val="0"/>
          <w:bCs/>
          <w:kern w:val="0"/>
          <w:sz w:val="32"/>
          <w:szCs w:val="32"/>
        </w:rPr>
      </w:pPr>
      <w:r>
        <w:rPr>
          <w:rStyle w:val="15"/>
          <w:rFonts w:hint="eastAsia" w:ascii="方正黑体_GBK" w:hAnsi="方正黑体_GBK" w:eastAsia="方正黑体_GBK" w:cs="方正黑体_GBK"/>
          <w:b w:val="0"/>
          <w:bCs/>
          <w:sz w:val="32"/>
          <w:szCs w:val="32"/>
          <w:shd w:val="clear" w:fill="FFFFFF"/>
        </w:rPr>
        <w:t>二、部门决算情况说明</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kern w:val="0"/>
          <w:sz w:val="32"/>
          <w:szCs w:val="32"/>
        </w:rPr>
      </w:pPr>
      <w:r>
        <w:rPr>
          <w:rStyle w:val="15"/>
          <w:rFonts w:hint="eastAsia" w:ascii="方正楷体_GBK" w:hAnsi="方正楷体_GBK" w:eastAsia="方正楷体_GBK" w:cs="方正楷体_GBK"/>
          <w:b w:val="0"/>
          <w:bCs/>
          <w:sz w:val="32"/>
          <w:szCs w:val="32"/>
          <w:shd w:val="clear" w:fill="FFFFFF"/>
        </w:rPr>
        <w:t>（一）收入支出决算总体情况说明</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方正仿宋_GBK" w:hAnsi="方正仿宋_GBK" w:eastAsia="方正仿宋_GBK" w:cs="方正仿宋_GBK"/>
          <w:b w:val="0"/>
          <w:bCs/>
          <w:kern w:val="0"/>
          <w:sz w:val="32"/>
          <w:szCs w:val="32"/>
        </w:rPr>
      </w:pPr>
      <w:r>
        <w:rPr>
          <w:rStyle w:val="15"/>
          <w:rFonts w:hint="eastAsia" w:ascii="方正仿宋_GBK" w:hAnsi="方正仿宋_GBK" w:eastAsia="方正仿宋_GBK" w:cs="方正仿宋_GBK"/>
          <w:b/>
          <w:bCs w:val="0"/>
          <w:sz w:val="32"/>
          <w:szCs w:val="32"/>
          <w:shd w:val="clear" w:fill="FFFFFF"/>
        </w:rPr>
        <w:t>1.总体情况。</w:t>
      </w:r>
      <w:r>
        <w:rPr>
          <w:rFonts w:hint="eastAsia" w:ascii="方正仿宋_GBK" w:hAnsi="方正仿宋_GBK" w:eastAsia="方正仿宋_GBK" w:cs="方正仿宋_GBK"/>
          <w:b w:val="0"/>
          <w:bCs/>
          <w:kern w:val="0"/>
          <w:sz w:val="32"/>
          <w:szCs w:val="32"/>
          <w:shd w:val="clear" w:fill="FFFFFF"/>
        </w:rPr>
        <w:t>2022年度收入总计173.66万元，支出总计173.66万元。收支较上年决算数增加173.66万元,增长100%，主要原因是新增单位，无上年数据。</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方正仿宋_GBK" w:hAnsi="方正仿宋_GBK" w:eastAsia="方正仿宋_GBK" w:cs="方正仿宋_GBK"/>
          <w:b w:val="0"/>
          <w:bCs/>
          <w:kern w:val="0"/>
          <w:sz w:val="32"/>
          <w:szCs w:val="32"/>
          <w:shd w:val="clear" w:fill="FFFFFF"/>
        </w:rPr>
      </w:pPr>
      <w:r>
        <w:rPr>
          <w:rStyle w:val="15"/>
          <w:rFonts w:hint="eastAsia" w:ascii="方正仿宋_GBK" w:hAnsi="方正仿宋_GBK" w:eastAsia="方正仿宋_GBK" w:cs="方正仿宋_GBK"/>
          <w:b/>
          <w:bCs w:val="0"/>
          <w:sz w:val="32"/>
          <w:szCs w:val="32"/>
          <w:shd w:val="clear" w:fill="FFFFFF"/>
        </w:rPr>
        <w:t>2.收入情况。</w:t>
      </w:r>
      <w:r>
        <w:rPr>
          <w:rFonts w:hint="eastAsia" w:ascii="方正仿宋_GBK" w:hAnsi="方正仿宋_GBK" w:eastAsia="方正仿宋_GBK" w:cs="方正仿宋_GBK"/>
          <w:b w:val="0"/>
          <w:bCs/>
          <w:kern w:val="0"/>
          <w:sz w:val="32"/>
          <w:szCs w:val="32"/>
          <w:shd w:val="clear" w:fill="FFFFFF"/>
        </w:rPr>
        <w:t>2022年度收入合计173.66万元，较上年决算数增加173.66万元，增长100%，主要原因是新增单位，无上年数据。其中：财政拨款收入173.66万元，占100%.</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方正仿宋_GBK" w:hAnsi="方正仿宋_GBK" w:eastAsia="方正仿宋_GBK" w:cs="方正仿宋_GBK"/>
          <w:b w:val="0"/>
          <w:bCs/>
          <w:kern w:val="0"/>
          <w:sz w:val="32"/>
          <w:szCs w:val="32"/>
          <w:shd w:val="clear" w:fill="FFFFFF"/>
        </w:rPr>
      </w:pPr>
      <w:r>
        <w:rPr>
          <w:rStyle w:val="15"/>
          <w:rFonts w:hint="eastAsia" w:ascii="方正仿宋_GBK" w:hAnsi="方正仿宋_GBK" w:eastAsia="方正仿宋_GBK" w:cs="方正仿宋_GBK"/>
          <w:b/>
          <w:bCs w:val="0"/>
          <w:sz w:val="32"/>
          <w:szCs w:val="32"/>
          <w:shd w:val="clear" w:fill="FFFFFF"/>
        </w:rPr>
        <w:t>3.支出情况。</w:t>
      </w:r>
      <w:r>
        <w:rPr>
          <w:rFonts w:hint="eastAsia" w:ascii="方正仿宋_GBK" w:hAnsi="方正仿宋_GBK" w:eastAsia="方正仿宋_GBK" w:cs="方正仿宋_GBK"/>
          <w:b w:val="0"/>
          <w:bCs/>
          <w:kern w:val="0"/>
          <w:sz w:val="32"/>
          <w:szCs w:val="32"/>
          <w:shd w:val="clear" w:fill="FFFFFF"/>
        </w:rPr>
        <w:t>2022年度支出合计173.66万元，较上年决算增加173.66万元，增长100%，主要原因是新增单位，无上年数据。其中：基本支出173.66万元，占100%.</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方正仿宋_GBK" w:hAnsi="方正仿宋_GBK" w:eastAsia="方正仿宋_GBK" w:cs="方正仿宋_GBK"/>
          <w:b w:val="0"/>
          <w:bCs/>
          <w:kern w:val="0"/>
          <w:sz w:val="32"/>
          <w:szCs w:val="32"/>
        </w:rPr>
      </w:pPr>
      <w:r>
        <w:rPr>
          <w:rStyle w:val="15"/>
          <w:rFonts w:hint="eastAsia" w:ascii="方正仿宋_GBK" w:hAnsi="方正仿宋_GBK" w:eastAsia="方正仿宋_GBK" w:cs="方正仿宋_GBK"/>
          <w:b/>
          <w:bCs w:val="0"/>
          <w:sz w:val="32"/>
          <w:szCs w:val="32"/>
          <w:shd w:val="clear" w:fill="FFFFFF"/>
        </w:rPr>
        <w:t>4.结转结余情况。</w:t>
      </w:r>
      <w:r>
        <w:rPr>
          <w:rFonts w:hint="eastAsia" w:ascii="方正仿宋_GBK" w:hAnsi="方正仿宋_GBK" w:eastAsia="方正仿宋_GBK" w:cs="方正仿宋_GBK"/>
          <w:b w:val="0"/>
          <w:bCs/>
          <w:kern w:val="0"/>
          <w:sz w:val="32"/>
          <w:szCs w:val="32"/>
          <w:shd w:val="clear" w:fill="FFFFFF"/>
        </w:rPr>
        <w:t>2022年度年末结转和结余0.00万元，较上年决算数增加0.00万元，增长</w:t>
      </w:r>
      <w:r>
        <w:rPr>
          <w:rFonts w:hint="eastAsia" w:ascii="方正仿宋_GBK" w:hAnsi="方正仿宋_GBK" w:eastAsia="方正仿宋_GBK" w:cs="方正仿宋_GBK"/>
          <w:b w:val="0"/>
          <w:bCs/>
          <w:kern w:val="0"/>
          <w:sz w:val="32"/>
          <w:szCs w:val="32"/>
          <w:shd w:val="clear" w:fill="FFFFFF"/>
          <w:lang w:val="en-US" w:eastAsia="zh-CN"/>
        </w:rPr>
        <w:t>0</w:t>
      </w:r>
      <w:r>
        <w:rPr>
          <w:rFonts w:hint="eastAsia" w:ascii="方正仿宋_GBK" w:hAnsi="方正仿宋_GBK" w:eastAsia="方正仿宋_GBK" w:cs="方正仿宋_GBK"/>
          <w:b w:val="0"/>
          <w:bCs/>
          <w:kern w:val="0"/>
          <w:sz w:val="32"/>
          <w:szCs w:val="32"/>
          <w:shd w:val="clear" w:fill="FFFFFF"/>
        </w:rPr>
        <w:t>%，主要原因是新增单位，无上年数据。</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kern w:val="0"/>
          <w:sz w:val="32"/>
          <w:szCs w:val="32"/>
        </w:rPr>
      </w:pPr>
      <w:r>
        <w:rPr>
          <w:rStyle w:val="15"/>
          <w:rFonts w:hint="eastAsia" w:ascii="方正楷体_GBK" w:hAnsi="方正楷体_GBK" w:eastAsia="方正楷体_GBK" w:cs="方正楷体_GBK"/>
          <w:b w:val="0"/>
          <w:bCs/>
          <w:sz w:val="32"/>
          <w:szCs w:val="32"/>
          <w:shd w:val="clear" w:fill="FFFFFF"/>
        </w:rPr>
        <w:t>（二）财政拨款收入支出决算总体情况说明</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kern w:val="0"/>
          <w:sz w:val="32"/>
          <w:szCs w:val="32"/>
          <w:shd w:val="clear" w:fill="FFFFFF"/>
        </w:rPr>
      </w:pPr>
      <w:r>
        <w:rPr>
          <w:rFonts w:hint="eastAsia" w:ascii="方正仿宋_GBK" w:hAnsi="方正仿宋_GBK" w:eastAsia="方正仿宋_GBK" w:cs="方正仿宋_GBK"/>
          <w:b w:val="0"/>
          <w:bCs/>
          <w:kern w:val="0"/>
          <w:sz w:val="32"/>
          <w:szCs w:val="32"/>
          <w:shd w:val="clear" w:fill="FFFFFF"/>
        </w:rPr>
        <w:t>2022年度财政拨款收、支总计173.66万元。与2021年相比，财政拨款收、支总计各增加173.66万元，增长100%。主要原因是新增单位，无上年数据。</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kern w:val="0"/>
          <w:sz w:val="32"/>
          <w:szCs w:val="32"/>
        </w:rPr>
      </w:pPr>
      <w:r>
        <w:rPr>
          <w:rStyle w:val="15"/>
          <w:rFonts w:hint="eastAsia" w:ascii="方正楷体_GBK" w:hAnsi="方正楷体_GBK" w:eastAsia="方正楷体_GBK" w:cs="方正楷体_GBK"/>
          <w:b w:val="0"/>
          <w:bCs/>
          <w:sz w:val="32"/>
          <w:szCs w:val="32"/>
          <w:shd w:val="clear" w:fill="FFFFFF"/>
        </w:rPr>
        <w:t>（三）一般公共预算财政拨款收入支出决算情况说明</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方正仿宋_GBK" w:hAnsi="方正仿宋_GBK" w:eastAsia="方正仿宋_GBK" w:cs="方正仿宋_GBK"/>
          <w:b w:val="0"/>
          <w:bCs/>
          <w:kern w:val="0"/>
          <w:sz w:val="32"/>
          <w:szCs w:val="32"/>
        </w:rPr>
      </w:pPr>
      <w:r>
        <w:rPr>
          <w:rStyle w:val="15"/>
          <w:rFonts w:hint="eastAsia" w:ascii="方正仿宋_GBK" w:hAnsi="方正仿宋_GBK" w:eastAsia="方正仿宋_GBK" w:cs="方正仿宋_GBK"/>
          <w:b/>
          <w:bCs w:val="0"/>
          <w:sz w:val="32"/>
          <w:szCs w:val="32"/>
          <w:shd w:val="clear" w:fill="FFFFFF"/>
        </w:rPr>
        <w:t>1.收入情况。</w:t>
      </w:r>
      <w:r>
        <w:rPr>
          <w:rFonts w:hint="eastAsia" w:ascii="方正仿宋_GBK" w:hAnsi="方正仿宋_GBK" w:eastAsia="方正仿宋_GBK" w:cs="方正仿宋_GBK"/>
          <w:b w:val="0"/>
          <w:bCs/>
          <w:kern w:val="0"/>
          <w:sz w:val="32"/>
          <w:szCs w:val="32"/>
          <w:shd w:val="clear" w:fill="FFFFFF"/>
        </w:rPr>
        <w:t>2022年度一般公共预算财政拨款收入173.66万元，较上年决算数增加173.66万元，增长100%。主要原因是新增单位，无上年数据。较年初预算数减少14.00万元，下降7.5%。主要原因是厉行节约，办公经费减少。此外，年初财政拨款结转和结余0.00万元。</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方正仿宋_GBK" w:hAnsi="方正仿宋_GBK" w:eastAsia="方正仿宋_GBK" w:cs="方正仿宋_GBK"/>
          <w:b w:val="0"/>
          <w:bCs/>
          <w:kern w:val="0"/>
          <w:sz w:val="32"/>
          <w:szCs w:val="32"/>
          <w:shd w:val="clear" w:fill="FFFFFF"/>
        </w:rPr>
      </w:pPr>
      <w:r>
        <w:rPr>
          <w:rStyle w:val="15"/>
          <w:rFonts w:hint="eastAsia" w:ascii="方正仿宋_GBK" w:hAnsi="方正仿宋_GBK" w:eastAsia="方正仿宋_GBK" w:cs="方正仿宋_GBK"/>
          <w:b/>
          <w:bCs w:val="0"/>
          <w:sz w:val="32"/>
          <w:szCs w:val="32"/>
          <w:shd w:val="clear" w:fill="FFFFFF"/>
        </w:rPr>
        <w:t>2.支出情况。</w:t>
      </w:r>
      <w:r>
        <w:rPr>
          <w:rFonts w:hint="eastAsia" w:ascii="方正仿宋_GBK" w:hAnsi="方正仿宋_GBK" w:eastAsia="方正仿宋_GBK" w:cs="方正仿宋_GBK"/>
          <w:b w:val="0"/>
          <w:bCs/>
          <w:kern w:val="0"/>
          <w:sz w:val="32"/>
          <w:szCs w:val="32"/>
          <w:shd w:val="clear" w:fill="FFFFFF"/>
        </w:rPr>
        <w:t>2022年度一般公共预算财政拨款支出173.66万元，较上年决算数增加173.66万元，增长100%。主要原因是新增单位，无上年数据。较年初预算数减少14.00万元，下降7.5%。主要原因是厉行节约，办公经费减少。</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方正仿宋_GBK" w:hAnsi="方正仿宋_GBK" w:eastAsia="方正仿宋_GBK" w:cs="方正仿宋_GBK"/>
          <w:b w:val="0"/>
          <w:bCs/>
          <w:kern w:val="0"/>
          <w:sz w:val="32"/>
          <w:szCs w:val="32"/>
          <w:shd w:val="clear" w:fill="FFFFFF"/>
        </w:rPr>
      </w:pPr>
      <w:r>
        <w:rPr>
          <w:rStyle w:val="15"/>
          <w:rFonts w:hint="eastAsia" w:ascii="方正仿宋_GBK" w:hAnsi="方正仿宋_GBK" w:eastAsia="方正仿宋_GBK" w:cs="方正仿宋_GBK"/>
          <w:b/>
          <w:bCs w:val="0"/>
          <w:sz w:val="32"/>
          <w:szCs w:val="32"/>
          <w:shd w:val="clear" w:fill="FFFFFF"/>
        </w:rPr>
        <w:t>3.结转结余情况。</w:t>
      </w:r>
      <w:r>
        <w:rPr>
          <w:rFonts w:hint="eastAsia" w:ascii="方正仿宋_GBK" w:hAnsi="方正仿宋_GBK" w:eastAsia="方正仿宋_GBK" w:cs="方正仿宋_GBK"/>
          <w:b w:val="0"/>
          <w:bCs/>
          <w:kern w:val="0"/>
          <w:sz w:val="32"/>
          <w:szCs w:val="32"/>
          <w:shd w:val="clear" w:fill="FFFFFF"/>
        </w:rPr>
        <w:t>2022年度年末一般公共预算财政拨款结转和结余0.00万元，较上年决算数增加0.00万元，增长</w:t>
      </w:r>
      <w:r>
        <w:rPr>
          <w:rFonts w:hint="eastAsia" w:ascii="方正仿宋_GBK" w:hAnsi="方正仿宋_GBK" w:eastAsia="方正仿宋_GBK" w:cs="方正仿宋_GBK"/>
          <w:b w:val="0"/>
          <w:bCs/>
          <w:kern w:val="0"/>
          <w:sz w:val="32"/>
          <w:szCs w:val="32"/>
          <w:shd w:val="clear" w:fill="FFFFFF"/>
          <w:lang w:val="en-US" w:eastAsia="zh-CN"/>
        </w:rPr>
        <w:t>0</w:t>
      </w:r>
      <w:r>
        <w:rPr>
          <w:rFonts w:hint="eastAsia" w:ascii="方正仿宋_GBK" w:hAnsi="方正仿宋_GBK" w:eastAsia="方正仿宋_GBK" w:cs="方正仿宋_GBK"/>
          <w:b w:val="0"/>
          <w:bCs/>
          <w:kern w:val="0"/>
          <w:sz w:val="32"/>
          <w:szCs w:val="32"/>
          <w:shd w:val="clear" w:fill="FFFFFF"/>
        </w:rPr>
        <w:t>%，主要原因是新增单位，无上年数据。</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eastAsia" w:ascii="方正仿宋_GBK" w:hAnsi="方正仿宋_GBK" w:eastAsia="方正仿宋_GBK" w:cs="方正仿宋_GBK"/>
          <w:b w:val="0"/>
          <w:bCs/>
          <w:kern w:val="0"/>
          <w:sz w:val="32"/>
          <w:szCs w:val="32"/>
        </w:rPr>
      </w:pPr>
      <w:r>
        <w:rPr>
          <w:rStyle w:val="15"/>
          <w:rFonts w:hint="eastAsia" w:ascii="方正仿宋_GBK" w:hAnsi="方正仿宋_GBK" w:eastAsia="方正仿宋_GBK" w:cs="方正仿宋_GBK"/>
          <w:b/>
          <w:bCs w:val="0"/>
          <w:sz w:val="32"/>
          <w:szCs w:val="32"/>
          <w:shd w:val="clear" w:fill="FFFFFF"/>
        </w:rPr>
        <w:t>4.比较情况。</w:t>
      </w:r>
      <w:r>
        <w:rPr>
          <w:rFonts w:hint="eastAsia" w:ascii="方正仿宋_GBK" w:hAnsi="方正仿宋_GBK" w:eastAsia="方正仿宋_GBK" w:cs="方正仿宋_GBK"/>
          <w:b w:val="0"/>
          <w:bCs/>
          <w:kern w:val="0"/>
          <w:sz w:val="32"/>
          <w:szCs w:val="32"/>
          <w:shd w:val="clear" w:fill="FFFFFF"/>
        </w:rPr>
        <w:t>本部门2022年度一般公共预算财政拨款支出主要用于以下几个方面：</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shd w:val="clear" w:fill="FFFFFF"/>
        </w:rPr>
        <w:t>（1）教育支出0.22万元，占0.1%，较年初预算数减少0.63，下降74.1%，主要原因是厉行节约，教育经费减少。</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shd w:val="clear" w:fill="FFFFFF"/>
        </w:rPr>
        <w:t>（2）社会保障与就业支出154.27万元，占88.8%，较年初预算数减少13.05万元，下降7.8%，主要原因是社保基数调整，费用减少。</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shd w:val="clear" w:fill="FFFFFF"/>
        </w:rPr>
        <w:t>（3）卫生健康支出6.93万元，占4%，较年初预算数增加0.00万元，增长0%，主要原因是无变化。</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shd w:val="clear" w:fill="FFFFFF"/>
        </w:rPr>
        <w:t>（4）住房保障支出12.23万元，占7%，较年初预算数减少0.34万元，下降2.7%，主要原因是公积金基数调整，费用减少。</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kern w:val="0"/>
          <w:sz w:val="32"/>
          <w:szCs w:val="32"/>
        </w:rPr>
      </w:pPr>
      <w:r>
        <w:rPr>
          <w:rStyle w:val="15"/>
          <w:rFonts w:hint="eastAsia" w:ascii="方正楷体_GBK" w:hAnsi="方正楷体_GBK" w:eastAsia="方正楷体_GBK" w:cs="方正楷体_GBK"/>
          <w:b w:val="0"/>
          <w:bCs/>
          <w:sz w:val="32"/>
          <w:szCs w:val="32"/>
          <w:shd w:val="clear" w:fill="FFFFFF"/>
        </w:rPr>
        <w:t>（四）一般公共预算财政拨款基本支出决算情况说明</w:t>
      </w:r>
    </w:p>
    <w:p>
      <w:pPr>
        <w:pStyle w:val="14"/>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shd w:val="clear" w:fill="FFFFFF"/>
        </w:rPr>
        <w:t>2022年度一般公共预算财政拨款基本支出173.66万元。其中：人员经费142.69万元，较上年决算数增加142.69万元，增长100%，主要原因是新增单位，无上年数据。人员经费用途主要包括基本工资、津贴补贴、奖金、机关事业单位基本养老保险缴费、医疗费、住房公积金、医疗费补助。公用经费30.97万元，较上年决算数增加30.97万元，增长100%，主要原因是新增单位，无上年数据。公用经费用途主要包括办公费、邮电费、差旅费、工会经费、会议费、其他商品和服务支出。</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kern w:val="0"/>
          <w:sz w:val="32"/>
          <w:szCs w:val="32"/>
        </w:rPr>
      </w:pPr>
      <w:r>
        <w:rPr>
          <w:rStyle w:val="15"/>
          <w:rFonts w:hint="eastAsia" w:ascii="方正仿宋_GBK" w:hAnsi="方正仿宋_GBK" w:eastAsia="方正仿宋_GBK" w:cs="方正仿宋_GBK"/>
          <w:b w:val="0"/>
          <w:bCs/>
          <w:sz w:val="32"/>
          <w:szCs w:val="32"/>
          <w:shd w:val="clear" w:fill="FFFFFF"/>
        </w:rPr>
        <w:t>（五）政府性基金预算收支决算情况说明。</w:t>
      </w:r>
    </w:p>
    <w:p>
      <w:pPr>
        <w:pStyle w:val="14"/>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kern w:val="0"/>
          <w:sz w:val="32"/>
          <w:szCs w:val="32"/>
          <w:shd w:val="clear" w:fill="FFFFFF"/>
        </w:rPr>
      </w:pPr>
      <w:r>
        <w:rPr>
          <w:rFonts w:hint="eastAsia" w:ascii="方正仿宋_GBK" w:hAnsi="方正仿宋_GBK" w:eastAsia="方正仿宋_GBK" w:cs="方正仿宋_GBK"/>
          <w:b w:val="0"/>
          <w:bCs/>
          <w:kern w:val="0"/>
          <w:sz w:val="32"/>
          <w:szCs w:val="32"/>
          <w:shd w:val="clear" w:fill="FFFFFF"/>
        </w:rPr>
        <w:t>本单位2022年度无政府基金预算财政拨款收支。</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kern w:val="0"/>
          <w:sz w:val="32"/>
          <w:szCs w:val="32"/>
        </w:rPr>
      </w:pPr>
      <w:r>
        <w:rPr>
          <w:rStyle w:val="15"/>
          <w:rFonts w:hint="eastAsia" w:ascii="方正仿宋_GBK" w:hAnsi="方正仿宋_GBK" w:eastAsia="方正仿宋_GBK" w:cs="方正仿宋_GBK"/>
          <w:b w:val="0"/>
          <w:bCs/>
          <w:sz w:val="32"/>
          <w:szCs w:val="32"/>
          <w:shd w:val="clear" w:fill="FFFFFF"/>
        </w:rPr>
        <w:t>（六）国有资本经营预算财政拨款支出决算情况说明。</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shd w:val="clear" w:fill="FFFFFF"/>
        </w:rPr>
        <w:t>本单位2022年度无国有资本经营预算财政拨款支出。</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_GBK" w:hAnsi="方正黑体_GBK" w:eastAsia="方正黑体_GBK" w:cs="方正黑体_GBK"/>
          <w:b w:val="0"/>
          <w:bCs/>
          <w:kern w:val="0"/>
          <w:sz w:val="32"/>
          <w:szCs w:val="32"/>
        </w:rPr>
      </w:pPr>
      <w:r>
        <w:rPr>
          <w:rStyle w:val="15"/>
          <w:rFonts w:hint="eastAsia" w:ascii="方正黑体_GBK" w:hAnsi="方正黑体_GBK" w:eastAsia="方正黑体_GBK" w:cs="方正黑体_GBK"/>
          <w:b w:val="0"/>
          <w:bCs/>
          <w:sz w:val="32"/>
          <w:szCs w:val="32"/>
          <w:shd w:val="clear" w:fill="FFFFFF"/>
        </w:rPr>
        <w:t>三、“三公”经费情况说明</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kern w:val="0"/>
          <w:sz w:val="32"/>
          <w:szCs w:val="32"/>
        </w:rPr>
      </w:pPr>
      <w:r>
        <w:rPr>
          <w:rStyle w:val="15"/>
          <w:rFonts w:hint="eastAsia" w:ascii="方正楷体_GBK" w:hAnsi="方正楷体_GBK" w:eastAsia="方正楷体_GBK" w:cs="方正楷体_GBK"/>
          <w:b w:val="0"/>
          <w:bCs/>
          <w:sz w:val="32"/>
          <w:szCs w:val="32"/>
          <w:shd w:val="clear" w:fill="FFFFFF"/>
        </w:rPr>
        <w:t>（一）“三公”经费支出总体情况说明</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shd w:val="clear" w:fill="FFFFFF"/>
        </w:rPr>
        <w:t>2022年度“三公”经费支出共计0.21万元，较年初预算数减少0.23万元，下降52.3%，主要原因是厉行节约，疫情原因接待减少。较上年支出数增加0.21万元，增长100%，主要原因是新增单位，无上年数据。</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kern w:val="0"/>
          <w:sz w:val="32"/>
          <w:szCs w:val="32"/>
        </w:rPr>
      </w:pPr>
      <w:r>
        <w:rPr>
          <w:rStyle w:val="15"/>
          <w:rFonts w:hint="eastAsia" w:ascii="方正楷体_GBK" w:hAnsi="方正楷体_GBK" w:eastAsia="方正楷体_GBK" w:cs="方正楷体_GBK"/>
          <w:b w:val="0"/>
          <w:bCs/>
          <w:sz w:val="32"/>
          <w:szCs w:val="32"/>
          <w:shd w:val="clear" w:fill="FFFFFF"/>
        </w:rPr>
        <w:t>（二）“三公”经费分项支出情况</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shd w:val="clear" w:fill="FFFFFF"/>
        </w:rPr>
        <w:t>2022年度本部门因公出国（境）费用0.00万元，主要是用于因公出差费用。费用支出较年初预算数增加0.00万元，增长</w:t>
      </w:r>
      <w:r>
        <w:rPr>
          <w:rFonts w:hint="eastAsia" w:ascii="方正仿宋_GBK" w:hAnsi="方正仿宋_GBK" w:eastAsia="方正仿宋_GBK" w:cs="方正仿宋_GBK"/>
          <w:b w:val="0"/>
          <w:bCs/>
          <w:kern w:val="0"/>
          <w:sz w:val="32"/>
          <w:szCs w:val="32"/>
          <w:shd w:val="clear" w:fill="FFFFFF"/>
          <w:lang w:val="en-US" w:eastAsia="zh-CN"/>
        </w:rPr>
        <w:t>0</w:t>
      </w:r>
      <w:r>
        <w:rPr>
          <w:rFonts w:hint="eastAsia" w:ascii="方正仿宋_GBK" w:hAnsi="方正仿宋_GBK" w:eastAsia="方正仿宋_GBK" w:cs="方正仿宋_GBK"/>
          <w:b w:val="0"/>
          <w:bCs/>
          <w:kern w:val="0"/>
          <w:sz w:val="32"/>
          <w:szCs w:val="32"/>
          <w:shd w:val="clear" w:fill="FFFFFF"/>
        </w:rPr>
        <w:t>%，主要原因是主要原因是本单位2022年度未发生因公国（境）费用。</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shd w:val="clear" w:fill="FFFFFF"/>
        </w:rPr>
        <w:t>公务车购置费0.00万元，主要用于购买公务车费用。费用支出较年初预算数增加0.00万元，增长</w:t>
      </w:r>
      <w:r>
        <w:rPr>
          <w:rFonts w:hint="eastAsia" w:ascii="方正仿宋_GBK" w:hAnsi="方正仿宋_GBK" w:eastAsia="方正仿宋_GBK" w:cs="方正仿宋_GBK"/>
          <w:b w:val="0"/>
          <w:bCs/>
          <w:kern w:val="0"/>
          <w:sz w:val="32"/>
          <w:szCs w:val="32"/>
          <w:shd w:val="clear" w:fill="FFFFFF"/>
          <w:lang w:val="en-US" w:eastAsia="zh-CN"/>
        </w:rPr>
        <w:t>0</w:t>
      </w:r>
      <w:r>
        <w:rPr>
          <w:rFonts w:hint="eastAsia" w:ascii="方正仿宋_GBK" w:hAnsi="方正仿宋_GBK" w:eastAsia="方正仿宋_GBK" w:cs="方正仿宋_GBK"/>
          <w:b w:val="0"/>
          <w:bCs/>
          <w:kern w:val="0"/>
          <w:sz w:val="32"/>
          <w:szCs w:val="32"/>
          <w:shd w:val="clear" w:fill="FFFFFF"/>
        </w:rPr>
        <w:t>%，主要原因是主要原因是2022年度未发生公务运行维护费。较上年支出数增加0.00万元，增长</w:t>
      </w:r>
      <w:r>
        <w:rPr>
          <w:rFonts w:hint="eastAsia" w:ascii="方正仿宋_GBK" w:hAnsi="方正仿宋_GBK" w:eastAsia="方正仿宋_GBK" w:cs="方正仿宋_GBK"/>
          <w:b w:val="0"/>
          <w:bCs/>
          <w:kern w:val="0"/>
          <w:sz w:val="32"/>
          <w:szCs w:val="32"/>
          <w:shd w:val="clear" w:fill="FFFFFF"/>
          <w:lang w:val="en-US" w:eastAsia="zh-CN"/>
        </w:rPr>
        <w:t>0</w:t>
      </w:r>
      <w:r>
        <w:rPr>
          <w:rFonts w:hint="eastAsia" w:ascii="方正仿宋_GBK" w:hAnsi="方正仿宋_GBK" w:eastAsia="方正仿宋_GBK" w:cs="方正仿宋_GBK"/>
          <w:b w:val="0"/>
          <w:bCs/>
          <w:kern w:val="0"/>
          <w:sz w:val="32"/>
          <w:szCs w:val="32"/>
          <w:shd w:val="clear" w:fill="FFFFFF"/>
        </w:rPr>
        <w:t>%，主要原因是主要原因是2022年度未发生公务运行维护费。</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shd w:val="clear" w:fill="FFFFFF"/>
        </w:rPr>
        <w:t>公务车运行维护费0.00万元，主要用于公务车运行维护费。费用支出较年初预算数增加0.00万元，增长</w:t>
      </w:r>
      <w:r>
        <w:rPr>
          <w:rFonts w:hint="eastAsia" w:ascii="方正仿宋_GBK" w:hAnsi="方正仿宋_GBK" w:eastAsia="方正仿宋_GBK" w:cs="方正仿宋_GBK"/>
          <w:b w:val="0"/>
          <w:bCs/>
          <w:kern w:val="0"/>
          <w:sz w:val="32"/>
          <w:szCs w:val="32"/>
          <w:shd w:val="clear" w:fill="FFFFFF"/>
          <w:lang w:val="en-US" w:eastAsia="zh-CN"/>
        </w:rPr>
        <w:t>0</w:t>
      </w:r>
      <w:r>
        <w:rPr>
          <w:rFonts w:hint="eastAsia" w:ascii="方正仿宋_GBK" w:hAnsi="方正仿宋_GBK" w:eastAsia="方正仿宋_GBK" w:cs="方正仿宋_GBK"/>
          <w:b w:val="0"/>
          <w:bCs/>
          <w:kern w:val="0"/>
          <w:sz w:val="32"/>
          <w:szCs w:val="32"/>
          <w:shd w:val="clear" w:fill="FFFFFF"/>
        </w:rPr>
        <w:t>%，主要原因是2022年度未发生公务运行维护费。较上年支出数增加0.00万元，增长</w:t>
      </w:r>
      <w:r>
        <w:rPr>
          <w:rFonts w:hint="eastAsia" w:ascii="方正仿宋_GBK" w:hAnsi="方正仿宋_GBK" w:eastAsia="方正仿宋_GBK" w:cs="方正仿宋_GBK"/>
          <w:b w:val="0"/>
          <w:bCs/>
          <w:kern w:val="0"/>
          <w:sz w:val="32"/>
          <w:szCs w:val="32"/>
          <w:shd w:val="clear" w:fill="FFFFFF"/>
          <w:lang w:val="en-US" w:eastAsia="zh-CN"/>
        </w:rPr>
        <w:t>0</w:t>
      </w:r>
      <w:r>
        <w:rPr>
          <w:rFonts w:hint="eastAsia" w:ascii="方正仿宋_GBK" w:hAnsi="方正仿宋_GBK" w:eastAsia="方正仿宋_GBK" w:cs="方正仿宋_GBK"/>
          <w:b w:val="0"/>
          <w:bCs/>
          <w:kern w:val="0"/>
          <w:sz w:val="32"/>
          <w:szCs w:val="32"/>
          <w:shd w:val="clear" w:fill="FFFFFF"/>
        </w:rPr>
        <w:t>%，主要原因是2022年度未发生公务运行维护费</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shd w:val="clear" w:fill="FFFFFF"/>
        </w:rPr>
        <w:t>公务接待费0.21万元，主要用于接待视察工作相互交流餐费费用支出较年初预算数减少0.23万元，下降52.3%，主要原因是厉行节约，疫情原因接待减少。较上年支出数增加0.21万元，增长100%，主要原因是新增单位，无上年数据。</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kern w:val="0"/>
          <w:sz w:val="32"/>
          <w:szCs w:val="32"/>
        </w:rPr>
      </w:pPr>
      <w:r>
        <w:rPr>
          <w:rStyle w:val="15"/>
          <w:rFonts w:hint="eastAsia" w:ascii="方正楷体_GBK" w:hAnsi="方正楷体_GBK" w:eastAsia="方正楷体_GBK" w:cs="方正楷体_GBK"/>
          <w:b w:val="0"/>
          <w:bCs/>
          <w:sz w:val="32"/>
          <w:szCs w:val="32"/>
          <w:shd w:val="clear" w:fill="FFFFFF"/>
        </w:rPr>
        <w:t>（三）“三公”经费实物量情况</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shd w:val="clear" w:fill="FFFFFF"/>
        </w:rPr>
        <w:t>2022年度本部门因公出国（境）共计0个团组，0人；公务用车购置0辆，公务车保有量为0辆；国内公务接待2批次39人，其中：国内外事接待0批次，0人；国（境）外公务接待0批次，0人。2022年本部门人均接待费53.77元，车均购置费0.00万元，车均维护费0.00万元。</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right="0" w:rightChars="0" w:firstLine="960" w:firstLineChars="300"/>
        <w:jc w:val="left"/>
        <w:textAlignment w:val="auto"/>
        <w:outlineLvl w:val="9"/>
        <w:rPr>
          <w:rFonts w:hint="eastAsia" w:ascii="方正黑体_GBK" w:hAnsi="方正黑体_GBK" w:eastAsia="方正黑体_GBK" w:cs="方正黑体_GBK"/>
          <w:b w:val="0"/>
          <w:bCs/>
          <w:kern w:val="0"/>
          <w:sz w:val="32"/>
          <w:szCs w:val="32"/>
        </w:rPr>
      </w:pPr>
      <w:r>
        <w:rPr>
          <w:rStyle w:val="15"/>
          <w:rFonts w:hint="eastAsia" w:ascii="方正黑体_GBK" w:hAnsi="方正黑体_GBK" w:eastAsia="方正黑体_GBK" w:cs="方正黑体_GBK"/>
          <w:b w:val="0"/>
          <w:bCs/>
          <w:sz w:val="32"/>
          <w:szCs w:val="32"/>
          <w:shd w:val="clear" w:fill="FFFFFF"/>
        </w:rPr>
        <w:t>四、其他需要说明的事项</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kern w:val="0"/>
          <w:sz w:val="32"/>
          <w:szCs w:val="32"/>
        </w:rPr>
      </w:pPr>
      <w:r>
        <w:rPr>
          <w:rStyle w:val="15"/>
          <w:rFonts w:hint="eastAsia" w:ascii="方正楷体_GBK" w:hAnsi="方正楷体_GBK" w:eastAsia="方正楷体_GBK" w:cs="方正楷体_GBK"/>
          <w:b w:val="0"/>
          <w:bCs/>
          <w:sz w:val="32"/>
          <w:szCs w:val="32"/>
          <w:shd w:val="clear" w:fill="FFFFFF"/>
        </w:rPr>
        <w:t>（一）财政拨款会议费和培训费情况说明</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shd w:val="clear" w:fill="FFFFFF"/>
        </w:rPr>
        <w:t>本年度会议费支出0.00万元，较上年决算数增加0.00万元，增长</w:t>
      </w:r>
      <w:r>
        <w:rPr>
          <w:rFonts w:hint="eastAsia" w:ascii="方正仿宋_GBK" w:hAnsi="方正仿宋_GBK" w:eastAsia="方正仿宋_GBK" w:cs="方正仿宋_GBK"/>
          <w:b w:val="0"/>
          <w:bCs/>
          <w:kern w:val="0"/>
          <w:sz w:val="32"/>
          <w:szCs w:val="32"/>
          <w:shd w:val="clear" w:fill="FFFFFF"/>
          <w:lang w:val="en-US" w:eastAsia="zh-CN"/>
        </w:rPr>
        <w:t>0</w:t>
      </w:r>
      <w:r>
        <w:rPr>
          <w:rFonts w:hint="eastAsia" w:ascii="方正仿宋_GBK" w:hAnsi="方正仿宋_GBK" w:eastAsia="方正仿宋_GBK" w:cs="方正仿宋_GBK"/>
          <w:b w:val="0"/>
          <w:bCs/>
          <w:kern w:val="0"/>
          <w:sz w:val="32"/>
          <w:szCs w:val="32"/>
          <w:shd w:val="clear" w:fill="FFFFFF"/>
        </w:rPr>
        <w:t>%，主要原因是新增单位，无上年数据。本年度培训费支出0.22万元，较上年决算数增加0.22万元，增长100%，主要原因是新增单位，无上年数据。</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kern w:val="0"/>
          <w:sz w:val="32"/>
          <w:szCs w:val="32"/>
        </w:rPr>
      </w:pPr>
      <w:r>
        <w:rPr>
          <w:rStyle w:val="15"/>
          <w:rFonts w:hint="eastAsia" w:ascii="方正楷体_GBK" w:hAnsi="方正楷体_GBK" w:eastAsia="方正楷体_GBK" w:cs="方正楷体_GBK"/>
          <w:b w:val="0"/>
          <w:bCs/>
          <w:sz w:val="32"/>
          <w:szCs w:val="32"/>
          <w:shd w:val="clear" w:fill="FFFFFF"/>
        </w:rPr>
        <w:t>（二）机关运行经费支出情况说明</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shd w:val="clear" w:fill="FFFFFF"/>
        </w:rPr>
        <w:t>2022年度我单位不在机关运行经费范围之内。</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kern w:val="0"/>
          <w:sz w:val="32"/>
          <w:szCs w:val="32"/>
        </w:rPr>
      </w:pPr>
      <w:r>
        <w:rPr>
          <w:rStyle w:val="15"/>
          <w:rFonts w:hint="eastAsia" w:ascii="方正楷体_GBK" w:hAnsi="方正楷体_GBK" w:eastAsia="方正楷体_GBK" w:cs="方正楷体_GBK"/>
          <w:b w:val="0"/>
          <w:bCs/>
          <w:sz w:val="32"/>
          <w:szCs w:val="32"/>
          <w:shd w:val="clear" w:fill="FFFFFF"/>
        </w:rPr>
        <w:t>（三）国有资产占用情况说明</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shd w:val="clear" w:fill="FFFFFF"/>
        </w:rPr>
        <w:t>截至2022年12月31日，本部门共有车辆0辆，其中，副部（省）级及以上领导用车0辆、主要领导干部用车0辆、机要通信用车0辆、应急保障用车0辆、执法执勤用车0辆，特种专业技术用车0辆，离退休干部用车0辆，其他用车0辆，单价100万元（含）以上设备（不含车辆）0台（套）。</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kern w:val="0"/>
          <w:sz w:val="32"/>
          <w:szCs w:val="32"/>
        </w:rPr>
      </w:pPr>
      <w:r>
        <w:rPr>
          <w:rStyle w:val="15"/>
          <w:rFonts w:hint="eastAsia" w:ascii="方正楷体_GBK" w:hAnsi="方正楷体_GBK" w:eastAsia="方正楷体_GBK" w:cs="方正楷体_GBK"/>
          <w:b w:val="0"/>
          <w:bCs/>
          <w:sz w:val="32"/>
          <w:szCs w:val="32"/>
          <w:shd w:val="clear" w:fill="FFFFFF"/>
        </w:rPr>
        <w:t>（四）政府采购支出说明</w:t>
      </w:r>
    </w:p>
    <w:p>
      <w:pPr>
        <w:pStyle w:val="14"/>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shd w:val="clear" w:fill="FFFFFF"/>
        </w:rPr>
        <w:t>2022年度我单位未发生政府采购事项，无相关经费支出。</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_GBK" w:hAnsi="方正黑体_GBK" w:eastAsia="方正黑体_GBK" w:cs="方正黑体_GBK"/>
          <w:b w:val="0"/>
          <w:bCs/>
          <w:kern w:val="0"/>
          <w:sz w:val="32"/>
          <w:szCs w:val="32"/>
        </w:rPr>
      </w:pPr>
      <w:r>
        <w:rPr>
          <w:rStyle w:val="15"/>
          <w:rFonts w:hint="eastAsia" w:ascii="方正黑体_GBK" w:hAnsi="方正黑体_GBK" w:eastAsia="方正黑体_GBK" w:cs="方正黑体_GBK"/>
          <w:b w:val="0"/>
          <w:bCs/>
          <w:sz w:val="32"/>
          <w:szCs w:val="32"/>
          <w:shd w:val="clear" w:fill="FFFFFF"/>
        </w:rPr>
        <w:t>五、预算绩效管理情况说明</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kern w:val="0"/>
          <w:sz w:val="32"/>
          <w:szCs w:val="32"/>
          <w:shd w:val="clear" w:fill="FFFFFF"/>
        </w:rPr>
      </w:pPr>
      <w:r>
        <w:rPr>
          <w:rStyle w:val="15"/>
          <w:rFonts w:hint="eastAsia" w:ascii="方正楷体_GBK" w:hAnsi="方正楷体_GBK" w:eastAsia="方正楷体_GBK" w:cs="方正楷体_GBK"/>
          <w:b w:val="0"/>
          <w:bCs/>
          <w:sz w:val="32"/>
          <w:szCs w:val="32"/>
          <w:shd w:val="clear" w:fill="FFFFFF"/>
        </w:rPr>
        <w:t>（一）预算绩效管理工作开展情况</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kern w:val="0"/>
          <w:sz w:val="32"/>
          <w:szCs w:val="32"/>
          <w:shd w:val="clear" w:fill="FFFFFF"/>
        </w:rPr>
      </w:pPr>
      <w:r>
        <w:rPr>
          <w:rStyle w:val="15"/>
          <w:rFonts w:hint="eastAsia" w:ascii="方正仿宋_GBK" w:hAnsi="方正仿宋_GBK" w:eastAsia="方正仿宋_GBK" w:cs="方正仿宋_GBK"/>
          <w:b w:val="0"/>
          <w:bCs/>
          <w:sz w:val="32"/>
          <w:szCs w:val="32"/>
          <w:shd w:val="clear" w:fill="FFFFFF"/>
        </w:rPr>
        <w:t>2022年度本单位无绩效自评。</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kern w:val="0"/>
          <w:sz w:val="32"/>
          <w:szCs w:val="32"/>
        </w:rPr>
      </w:pPr>
      <w:r>
        <w:rPr>
          <w:rStyle w:val="15"/>
          <w:rFonts w:hint="eastAsia" w:ascii="方正楷体_GBK" w:hAnsi="方正楷体_GBK" w:eastAsia="方正楷体_GBK" w:cs="方正楷体_GBK"/>
          <w:b w:val="0"/>
          <w:bCs/>
          <w:sz w:val="32"/>
          <w:szCs w:val="32"/>
          <w:shd w:val="clear" w:fill="FFFFFF"/>
        </w:rPr>
        <w:t>（二）绩效自评结果。</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kern w:val="0"/>
          <w:sz w:val="32"/>
          <w:szCs w:val="32"/>
          <w:shd w:val="clear" w:fill="FFFFFF"/>
        </w:rPr>
      </w:pPr>
      <w:r>
        <w:rPr>
          <w:rStyle w:val="15"/>
          <w:rFonts w:hint="eastAsia" w:ascii="方正仿宋_GBK" w:hAnsi="方正仿宋_GBK" w:eastAsia="方正仿宋_GBK" w:cs="方正仿宋_GBK"/>
          <w:b w:val="0"/>
          <w:bCs/>
          <w:sz w:val="32"/>
          <w:szCs w:val="32"/>
          <w:shd w:val="clear" w:fill="FFFFFF"/>
        </w:rPr>
        <w:t>2022年度本单位无绩效自评。</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楷体_GBK" w:hAnsi="方正楷体_GBK" w:eastAsia="方正楷体_GBK" w:cs="方正楷体_GBK"/>
          <w:b w:val="0"/>
          <w:bCs/>
          <w:kern w:val="0"/>
          <w:sz w:val="32"/>
          <w:szCs w:val="32"/>
        </w:rPr>
      </w:pPr>
      <w:r>
        <w:rPr>
          <w:rStyle w:val="15"/>
          <w:rFonts w:hint="eastAsia" w:ascii="方正楷体_GBK" w:hAnsi="方正楷体_GBK" w:eastAsia="方正楷体_GBK" w:cs="方正楷体_GBK"/>
          <w:b w:val="0"/>
          <w:bCs/>
          <w:sz w:val="32"/>
          <w:szCs w:val="32"/>
          <w:shd w:val="clear" w:fill="FFFFFF"/>
        </w:rPr>
        <w:t>（三）重点绩效评价结果。</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kern w:val="0"/>
          <w:sz w:val="32"/>
          <w:szCs w:val="32"/>
          <w:shd w:val="clear" w:fill="FFFFFF"/>
        </w:rPr>
      </w:pPr>
      <w:r>
        <w:rPr>
          <w:rStyle w:val="15"/>
          <w:rFonts w:hint="eastAsia" w:ascii="方正仿宋_GBK" w:hAnsi="方正仿宋_GBK" w:eastAsia="方正仿宋_GBK" w:cs="方正仿宋_GBK"/>
          <w:b w:val="0"/>
          <w:bCs/>
          <w:sz w:val="32"/>
          <w:szCs w:val="32"/>
          <w:shd w:val="clear" w:fill="FFFFFF"/>
        </w:rPr>
        <w:t>2022年度本部门未委托第三方机构开展项目绩效自评。</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_GBK" w:hAnsi="方正黑体_GBK" w:eastAsia="方正黑体_GBK" w:cs="方正黑体_GBK"/>
          <w:b w:val="0"/>
          <w:bCs/>
          <w:kern w:val="0"/>
          <w:sz w:val="32"/>
          <w:szCs w:val="32"/>
        </w:rPr>
      </w:pPr>
      <w:r>
        <w:rPr>
          <w:rStyle w:val="15"/>
          <w:rFonts w:hint="eastAsia" w:ascii="方正黑体_GBK" w:hAnsi="方正黑体_GBK" w:eastAsia="方正黑体_GBK" w:cs="方正黑体_GBK"/>
          <w:b w:val="0"/>
          <w:bCs/>
          <w:sz w:val="32"/>
          <w:szCs w:val="32"/>
          <w:shd w:val="clear" w:fill="FFFFFF"/>
        </w:rPr>
        <w:t>六、专业名词解释</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15"/>
          <w:rFonts w:hint="eastAsia" w:ascii="方正仿宋_GBK" w:hAnsi="方正仿宋_GBK" w:eastAsia="方正仿宋_GBK" w:cs="方正仿宋_GBK"/>
          <w:b w:val="0"/>
          <w:bCs/>
          <w:sz w:val="32"/>
          <w:szCs w:val="32"/>
          <w:shd w:val="clear" w:fill="FFFFFF"/>
        </w:rPr>
      </w:pPr>
      <w:r>
        <w:rPr>
          <w:rStyle w:val="15"/>
          <w:rFonts w:hint="eastAsia" w:ascii="方正楷体_GBK" w:hAnsi="方正楷体_GBK" w:eastAsia="方正楷体_GBK" w:cs="方正楷体_GBK"/>
          <w:b w:val="0"/>
          <w:bCs/>
          <w:sz w:val="32"/>
          <w:szCs w:val="32"/>
          <w:shd w:val="clear" w:fill="FFFFFF"/>
        </w:rPr>
        <w:t>（一）财政拨款收入：</w:t>
      </w:r>
      <w:r>
        <w:rPr>
          <w:rStyle w:val="15"/>
          <w:rFonts w:hint="eastAsia" w:ascii="方正仿宋_GBK" w:hAnsi="方正仿宋_GBK" w:eastAsia="方正仿宋_GBK" w:cs="方正仿宋_GBK"/>
          <w:b w:val="0"/>
          <w:bCs/>
          <w:sz w:val="32"/>
          <w:szCs w:val="32"/>
          <w:shd w:val="clear" w:fill="FFFFFF"/>
        </w:rPr>
        <w:t>指本年度从本级财政部门取得的财政拨款，包括一般公共预算财政拨款和政府性基金预算财政拨款。</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15"/>
          <w:rFonts w:hint="eastAsia" w:ascii="方正仿宋_GBK" w:hAnsi="方正仿宋_GBK" w:eastAsia="方正仿宋_GBK" w:cs="方正仿宋_GBK"/>
          <w:b w:val="0"/>
          <w:bCs/>
          <w:sz w:val="32"/>
          <w:szCs w:val="32"/>
          <w:shd w:val="clear" w:fill="FFFFFF"/>
        </w:rPr>
      </w:pPr>
      <w:r>
        <w:rPr>
          <w:rStyle w:val="15"/>
          <w:rFonts w:hint="eastAsia" w:ascii="方正楷体_GBK" w:hAnsi="方正楷体_GBK" w:eastAsia="方正楷体_GBK" w:cs="方正楷体_GBK"/>
          <w:b w:val="0"/>
          <w:bCs/>
          <w:sz w:val="32"/>
          <w:szCs w:val="32"/>
          <w:shd w:val="clear" w:fill="FFFFFF"/>
        </w:rPr>
        <w:t>（二）事业收入：</w:t>
      </w:r>
      <w:r>
        <w:rPr>
          <w:rStyle w:val="15"/>
          <w:rFonts w:hint="eastAsia" w:ascii="方正仿宋_GBK" w:hAnsi="方正仿宋_GBK" w:eastAsia="方正仿宋_GBK" w:cs="方正仿宋_GBK"/>
          <w:b w:val="0"/>
          <w:bCs/>
          <w:sz w:val="32"/>
          <w:szCs w:val="32"/>
          <w:shd w:val="clear" w:fill="FFFFFF"/>
        </w:rPr>
        <w:t>指事业单位开展专业业务活动及其辅助活动取得的现金流入；事业单位收到的财政专户实际核拨的教育收费等资金在此反映。</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15"/>
          <w:rFonts w:hint="eastAsia" w:ascii="方正仿宋_GBK" w:hAnsi="方正仿宋_GBK" w:eastAsia="方正仿宋_GBK" w:cs="方正仿宋_GBK"/>
          <w:b w:val="0"/>
          <w:bCs/>
          <w:sz w:val="32"/>
          <w:szCs w:val="32"/>
          <w:shd w:val="clear" w:fill="FFFFFF"/>
        </w:rPr>
      </w:pPr>
      <w:r>
        <w:rPr>
          <w:rStyle w:val="15"/>
          <w:rFonts w:hint="eastAsia" w:ascii="方正楷体_GBK" w:hAnsi="方正楷体_GBK" w:eastAsia="方正楷体_GBK" w:cs="方正楷体_GBK"/>
          <w:b w:val="0"/>
          <w:bCs/>
          <w:sz w:val="32"/>
          <w:szCs w:val="32"/>
          <w:shd w:val="clear" w:fill="FFFFFF"/>
        </w:rPr>
        <w:t>（三）其他收入：</w:t>
      </w:r>
      <w:r>
        <w:rPr>
          <w:rStyle w:val="15"/>
          <w:rFonts w:hint="eastAsia" w:ascii="方正仿宋_GBK" w:hAnsi="方正仿宋_GBK" w:eastAsia="方正仿宋_GBK" w:cs="方正仿宋_GBK"/>
          <w:b w:val="0"/>
          <w:bCs/>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15"/>
          <w:rFonts w:hint="eastAsia" w:ascii="方正仿宋_GBK" w:hAnsi="方正仿宋_GBK" w:eastAsia="方正仿宋_GBK" w:cs="方正仿宋_GBK"/>
          <w:b w:val="0"/>
          <w:bCs/>
          <w:sz w:val="32"/>
          <w:szCs w:val="32"/>
          <w:shd w:val="clear" w:fill="FFFFFF"/>
        </w:rPr>
      </w:pPr>
      <w:r>
        <w:rPr>
          <w:rStyle w:val="15"/>
          <w:rFonts w:hint="eastAsia" w:ascii="方正楷体_GBK" w:hAnsi="方正楷体_GBK" w:eastAsia="方正楷体_GBK" w:cs="方正楷体_GBK"/>
          <w:b w:val="0"/>
          <w:bCs/>
          <w:sz w:val="32"/>
          <w:szCs w:val="32"/>
          <w:shd w:val="clear" w:fill="FFFFFF"/>
        </w:rPr>
        <w:t>（四）使用非财政拨款结余：</w:t>
      </w:r>
      <w:r>
        <w:rPr>
          <w:rStyle w:val="15"/>
          <w:rFonts w:hint="eastAsia" w:ascii="方正仿宋_GBK" w:hAnsi="方正仿宋_GBK" w:eastAsia="方正仿宋_GBK" w:cs="方正仿宋_GBK"/>
          <w:b w:val="0"/>
          <w:bCs/>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15"/>
          <w:rFonts w:hint="eastAsia" w:ascii="方正仿宋_GBK" w:hAnsi="方正仿宋_GBK" w:eastAsia="方正仿宋_GBK" w:cs="方正仿宋_GBK"/>
          <w:b w:val="0"/>
          <w:bCs/>
          <w:sz w:val="32"/>
          <w:szCs w:val="32"/>
          <w:shd w:val="clear" w:fill="FFFFFF"/>
        </w:rPr>
      </w:pPr>
      <w:r>
        <w:rPr>
          <w:rStyle w:val="15"/>
          <w:rFonts w:hint="eastAsia" w:ascii="方正楷体_GBK" w:hAnsi="方正楷体_GBK" w:eastAsia="方正楷体_GBK" w:cs="方正楷体_GBK"/>
          <w:b w:val="0"/>
          <w:bCs/>
          <w:sz w:val="32"/>
          <w:szCs w:val="32"/>
          <w:shd w:val="clear" w:fill="FFFFFF"/>
        </w:rPr>
        <w:t>（五）年初结转和结余：</w:t>
      </w:r>
      <w:r>
        <w:rPr>
          <w:rStyle w:val="15"/>
          <w:rFonts w:hint="eastAsia" w:ascii="方正仿宋_GBK" w:hAnsi="方正仿宋_GBK" w:eastAsia="方正仿宋_GBK" w:cs="方正仿宋_GBK"/>
          <w:b w:val="0"/>
          <w:bCs/>
          <w:sz w:val="32"/>
          <w:szCs w:val="32"/>
          <w:shd w:val="clear" w:fill="FFFFFF"/>
        </w:rPr>
        <w:t>指单位上年结转本年使用的基本支出结转、项目支出结转和结余、经营结余。</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15"/>
          <w:rFonts w:hint="eastAsia" w:ascii="方正仿宋_GBK" w:hAnsi="方正仿宋_GBK" w:eastAsia="方正仿宋_GBK" w:cs="方正仿宋_GBK"/>
          <w:b w:val="0"/>
          <w:bCs/>
          <w:sz w:val="32"/>
          <w:szCs w:val="32"/>
          <w:shd w:val="clear" w:fill="FFFFFF"/>
        </w:rPr>
      </w:pPr>
      <w:r>
        <w:rPr>
          <w:rStyle w:val="15"/>
          <w:rFonts w:hint="eastAsia" w:ascii="方正楷体_GBK" w:hAnsi="方正楷体_GBK" w:eastAsia="方正楷体_GBK" w:cs="方正楷体_GBK"/>
          <w:b w:val="0"/>
          <w:bCs/>
          <w:sz w:val="32"/>
          <w:szCs w:val="32"/>
          <w:shd w:val="clear" w:fill="FFFFFF"/>
        </w:rPr>
        <w:t>（六）结余分配：</w:t>
      </w:r>
      <w:r>
        <w:rPr>
          <w:rStyle w:val="15"/>
          <w:rFonts w:hint="eastAsia" w:ascii="方正仿宋_GBK" w:hAnsi="方正仿宋_GBK" w:eastAsia="方正仿宋_GBK" w:cs="方正仿宋_GBK"/>
          <w:b w:val="0"/>
          <w:bCs/>
          <w:sz w:val="32"/>
          <w:szCs w:val="32"/>
          <w:shd w:val="clear" w:fill="FFFFFF"/>
        </w:rPr>
        <w:t>指单位按照国家有关规定，缴纳所得税、提取专用基金、转入非财政拨款结余等当年结余的分配情况。</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15"/>
          <w:rFonts w:hint="eastAsia" w:ascii="方正仿宋_GBK" w:hAnsi="方正仿宋_GBK" w:eastAsia="方正仿宋_GBK" w:cs="方正仿宋_GBK"/>
          <w:b w:val="0"/>
          <w:bCs/>
          <w:sz w:val="32"/>
          <w:szCs w:val="32"/>
          <w:shd w:val="clear" w:fill="FFFFFF"/>
        </w:rPr>
      </w:pPr>
      <w:bookmarkStart w:id="0" w:name="_GoBack"/>
      <w:r>
        <w:rPr>
          <w:rStyle w:val="15"/>
          <w:rFonts w:hint="eastAsia" w:ascii="方正楷体_GBK" w:hAnsi="方正楷体_GBK" w:eastAsia="方正楷体_GBK" w:cs="方正楷体_GBK"/>
          <w:b w:val="0"/>
          <w:bCs/>
          <w:sz w:val="32"/>
          <w:szCs w:val="32"/>
          <w:shd w:val="clear" w:fill="FFFFFF"/>
        </w:rPr>
        <w:t>（七）年末结转和结余：</w:t>
      </w:r>
      <w:bookmarkEnd w:id="0"/>
      <w:r>
        <w:rPr>
          <w:rStyle w:val="15"/>
          <w:rFonts w:hint="eastAsia" w:ascii="方正仿宋_GBK" w:hAnsi="方正仿宋_GBK" w:eastAsia="方正仿宋_GBK" w:cs="方正仿宋_GBK"/>
          <w:b w:val="0"/>
          <w:bCs/>
          <w:sz w:val="32"/>
          <w:szCs w:val="32"/>
          <w:shd w:val="clear" w:fill="FFFFFF"/>
        </w:rPr>
        <w:t>指单位结转下年的基本支出结转、项目支出结转和结余、经营结余。</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15"/>
          <w:rFonts w:hint="eastAsia" w:ascii="方正仿宋_GBK" w:hAnsi="方正仿宋_GBK" w:eastAsia="方正仿宋_GBK" w:cs="方正仿宋_GBK"/>
          <w:b w:val="0"/>
          <w:bCs/>
          <w:sz w:val="32"/>
          <w:szCs w:val="32"/>
          <w:shd w:val="clear" w:fill="FFFFFF"/>
        </w:rPr>
      </w:pPr>
      <w:r>
        <w:rPr>
          <w:rStyle w:val="15"/>
          <w:rFonts w:hint="eastAsia" w:ascii="方正楷体_GBK" w:hAnsi="方正楷体_GBK" w:eastAsia="方正楷体_GBK" w:cs="方正楷体_GBK"/>
          <w:b w:val="0"/>
          <w:bCs/>
          <w:sz w:val="32"/>
          <w:szCs w:val="32"/>
          <w:shd w:val="clear" w:fill="FFFFFF"/>
        </w:rPr>
        <w:t>（八）基本支出：</w:t>
      </w:r>
      <w:r>
        <w:rPr>
          <w:rStyle w:val="15"/>
          <w:rFonts w:hint="eastAsia" w:ascii="方正仿宋_GBK" w:hAnsi="方正仿宋_GBK" w:eastAsia="方正仿宋_GBK" w:cs="方正仿宋_GBK"/>
          <w:b w:val="0"/>
          <w:bCs/>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15"/>
          <w:rFonts w:hint="eastAsia" w:ascii="方正仿宋_GBK" w:hAnsi="方正仿宋_GBK" w:eastAsia="方正仿宋_GBK" w:cs="方正仿宋_GBK"/>
          <w:b w:val="0"/>
          <w:bCs/>
          <w:sz w:val="32"/>
          <w:szCs w:val="32"/>
          <w:shd w:val="clear" w:fill="FFFFFF"/>
        </w:rPr>
      </w:pPr>
      <w:r>
        <w:rPr>
          <w:rStyle w:val="15"/>
          <w:rFonts w:hint="eastAsia" w:ascii="方正楷体_GBK" w:hAnsi="方正楷体_GBK" w:eastAsia="方正楷体_GBK" w:cs="方正楷体_GBK"/>
          <w:b w:val="0"/>
          <w:bCs/>
          <w:sz w:val="32"/>
          <w:szCs w:val="32"/>
          <w:shd w:val="clear" w:fill="FFFFFF"/>
        </w:rPr>
        <w:t>（九）项目支出：</w:t>
      </w:r>
      <w:r>
        <w:rPr>
          <w:rStyle w:val="15"/>
          <w:rFonts w:hint="eastAsia" w:ascii="方正仿宋_GBK" w:hAnsi="方正仿宋_GBK" w:eastAsia="方正仿宋_GBK" w:cs="方正仿宋_GBK"/>
          <w:b w:val="0"/>
          <w:bCs/>
          <w:sz w:val="32"/>
          <w:szCs w:val="32"/>
          <w:shd w:val="clear" w:fill="FFFFFF"/>
        </w:rPr>
        <w:t>指在基本支出之外为完成特定行政任务和事业发展目标所发生的支出。</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15"/>
          <w:rFonts w:hint="eastAsia" w:ascii="方正仿宋_GBK" w:hAnsi="方正仿宋_GBK" w:eastAsia="方正仿宋_GBK" w:cs="方正仿宋_GBK"/>
          <w:b w:val="0"/>
          <w:bCs/>
          <w:sz w:val="32"/>
          <w:szCs w:val="32"/>
          <w:shd w:val="clear" w:fill="FFFFFF"/>
        </w:rPr>
      </w:pPr>
      <w:r>
        <w:rPr>
          <w:rStyle w:val="15"/>
          <w:rFonts w:hint="eastAsia" w:ascii="方正楷体_GBK" w:hAnsi="方正楷体_GBK" w:eastAsia="方正楷体_GBK" w:cs="方正楷体_GBK"/>
          <w:b w:val="0"/>
          <w:bCs/>
          <w:sz w:val="32"/>
          <w:szCs w:val="32"/>
          <w:shd w:val="clear" w:fill="FFFFFF"/>
        </w:rPr>
        <w:t>（十）“三公”经费：</w:t>
      </w:r>
      <w:r>
        <w:rPr>
          <w:rStyle w:val="15"/>
          <w:rFonts w:hint="eastAsia" w:ascii="方正仿宋_GBK" w:hAnsi="方正仿宋_GBK" w:eastAsia="方正仿宋_GBK" w:cs="方正仿宋_GBK"/>
          <w:b w:val="0"/>
          <w:bCs/>
          <w:sz w:val="32"/>
          <w:szCs w:val="32"/>
          <w:shd w:val="clear"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15"/>
          <w:rFonts w:hint="eastAsia" w:ascii="方正仿宋_GBK" w:hAnsi="方正仿宋_GBK" w:eastAsia="方正仿宋_GBK" w:cs="方正仿宋_GBK"/>
          <w:b w:val="0"/>
          <w:bCs/>
          <w:sz w:val="32"/>
          <w:szCs w:val="32"/>
          <w:shd w:val="clear" w:fill="FFFFFF"/>
        </w:rPr>
      </w:pPr>
      <w:r>
        <w:rPr>
          <w:rStyle w:val="15"/>
          <w:rFonts w:hint="eastAsia" w:ascii="方正楷体_GBK" w:hAnsi="方正楷体_GBK" w:eastAsia="方正楷体_GBK" w:cs="方正楷体_GBK"/>
          <w:b w:val="0"/>
          <w:bCs/>
          <w:sz w:val="32"/>
          <w:szCs w:val="32"/>
          <w:shd w:val="clear" w:fill="FFFFFF"/>
        </w:rPr>
        <w:t>（十一）机关运行经费：</w:t>
      </w:r>
      <w:r>
        <w:rPr>
          <w:rStyle w:val="15"/>
          <w:rFonts w:hint="eastAsia" w:ascii="方正仿宋_GBK" w:hAnsi="方正仿宋_GBK" w:eastAsia="方正仿宋_GBK" w:cs="方正仿宋_GBK"/>
          <w:b w:val="0"/>
          <w:bCs/>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15"/>
          <w:rFonts w:hint="eastAsia" w:ascii="方正仿宋_GBK" w:hAnsi="方正仿宋_GBK" w:eastAsia="方正仿宋_GBK" w:cs="方正仿宋_GBK"/>
          <w:b w:val="0"/>
          <w:bCs/>
          <w:sz w:val="32"/>
          <w:szCs w:val="32"/>
          <w:shd w:val="clear" w:fill="FFFFFF"/>
        </w:rPr>
      </w:pPr>
      <w:r>
        <w:rPr>
          <w:rStyle w:val="15"/>
          <w:rFonts w:hint="eastAsia" w:ascii="方正楷体_GBK" w:hAnsi="方正楷体_GBK" w:eastAsia="方正楷体_GBK" w:cs="方正楷体_GBK"/>
          <w:b w:val="0"/>
          <w:bCs/>
          <w:sz w:val="32"/>
          <w:szCs w:val="32"/>
          <w:shd w:val="clear" w:fill="FFFFFF"/>
        </w:rPr>
        <w:t>（十二）工资福利支出（支出经济分类科目类级）：</w:t>
      </w:r>
      <w:r>
        <w:rPr>
          <w:rStyle w:val="15"/>
          <w:rFonts w:hint="eastAsia" w:ascii="方正仿宋_GBK" w:hAnsi="方正仿宋_GBK" w:eastAsia="方正仿宋_GBK" w:cs="方正仿宋_GBK"/>
          <w:b w:val="0"/>
          <w:bCs/>
          <w:sz w:val="32"/>
          <w:szCs w:val="32"/>
          <w:shd w:val="clear" w:fill="FFFFFF"/>
        </w:rPr>
        <w:t>反映单位开支的在职职工和编制外长期聘用人员的各类劳动报酬，以及为上述人员缴纳的各项社会保险费等。</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15"/>
          <w:rFonts w:hint="eastAsia" w:ascii="方正仿宋_GBK" w:hAnsi="方正仿宋_GBK" w:eastAsia="方正仿宋_GBK" w:cs="方正仿宋_GBK"/>
          <w:b w:val="0"/>
          <w:bCs/>
          <w:sz w:val="32"/>
          <w:szCs w:val="32"/>
          <w:shd w:val="clear" w:fill="FFFFFF"/>
        </w:rPr>
      </w:pPr>
      <w:r>
        <w:rPr>
          <w:rStyle w:val="15"/>
          <w:rFonts w:hint="eastAsia" w:ascii="方正楷体_GBK" w:hAnsi="方正楷体_GBK" w:eastAsia="方正楷体_GBK" w:cs="方正楷体_GBK"/>
          <w:b w:val="0"/>
          <w:bCs/>
          <w:sz w:val="32"/>
          <w:szCs w:val="32"/>
          <w:shd w:val="clear" w:fill="FFFFFF"/>
        </w:rPr>
        <w:t>（十三）商品和服务支出（支出经济分类科目类级）：</w:t>
      </w:r>
      <w:r>
        <w:rPr>
          <w:rStyle w:val="15"/>
          <w:rFonts w:hint="eastAsia" w:ascii="方正仿宋_GBK" w:hAnsi="方正仿宋_GBK" w:eastAsia="方正仿宋_GBK" w:cs="方正仿宋_GBK"/>
          <w:b w:val="0"/>
          <w:bCs/>
          <w:sz w:val="32"/>
          <w:szCs w:val="32"/>
          <w:shd w:val="clear" w:fill="FFFFFF"/>
        </w:rPr>
        <w:t>反映单位购买商品和服务的支出（不包括用于购置固定资产的支出、战略性和应急储备支出）。</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15"/>
          <w:rFonts w:hint="eastAsia" w:ascii="方正仿宋_GBK" w:hAnsi="方正仿宋_GBK" w:eastAsia="方正仿宋_GBK" w:cs="方正仿宋_GBK"/>
          <w:b w:val="0"/>
          <w:bCs/>
          <w:sz w:val="32"/>
          <w:szCs w:val="32"/>
          <w:shd w:val="clear" w:fill="FFFFFF"/>
        </w:rPr>
      </w:pPr>
      <w:r>
        <w:rPr>
          <w:rStyle w:val="15"/>
          <w:rFonts w:hint="eastAsia" w:ascii="方正楷体_GBK" w:hAnsi="方正楷体_GBK" w:eastAsia="方正楷体_GBK" w:cs="方正楷体_GBK"/>
          <w:b w:val="0"/>
          <w:bCs/>
          <w:sz w:val="32"/>
          <w:szCs w:val="32"/>
          <w:shd w:val="clear" w:fill="FFFFFF"/>
        </w:rPr>
        <w:t>（十四）对个人和家庭的补助（支出经济分类科目类级）：</w:t>
      </w:r>
      <w:r>
        <w:rPr>
          <w:rStyle w:val="15"/>
          <w:rFonts w:hint="eastAsia" w:ascii="方正仿宋_GBK" w:hAnsi="方正仿宋_GBK" w:eastAsia="方正仿宋_GBK" w:cs="方正仿宋_GBK"/>
          <w:b w:val="0"/>
          <w:bCs/>
          <w:sz w:val="32"/>
          <w:szCs w:val="32"/>
          <w:shd w:val="clear" w:fill="FFFFFF"/>
        </w:rPr>
        <w:t>反映用于对个人和家庭的补助支出。</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Style w:val="15"/>
          <w:rFonts w:hint="eastAsia" w:ascii="方正仿宋_GBK" w:hAnsi="方正仿宋_GBK" w:eastAsia="方正仿宋_GBK" w:cs="方正仿宋_GBK"/>
          <w:b w:val="0"/>
          <w:bCs/>
          <w:sz w:val="32"/>
          <w:szCs w:val="32"/>
          <w:shd w:val="clear" w:fill="FFFFFF"/>
        </w:rPr>
      </w:pPr>
      <w:r>
        <w:rPr>
          <w:rStyle w:val="15"/>
          <w:rFonts w:hint="eastAsia" w:ascii="方正楷体_GBK" w:hAnsi="方正楷体_GBK" w:eastAsia="方正楷体_GBK" w:cs="方正楷体_GBK"/>
          <w:b w:val="0"/>
          <w:bCs/>
          <w:sz w:val="32"/>
          <w:szCs w:val="32"/>
          <w:shd w:val="clear" w:fill="FFFFFF"/>
        </w:rPr>
        <w:t>（十五）其他资本性支出（支出经济分类科目类级）</w:t>
      </w:r>
      <w:r>
        <w:rPr>
          <w:rStyle w:val="15"/>
          <w:rFonts w:hint="eastAsia" w:ascii="方正仿宋_GBK" w:hAnsi="方正仿宋_GBK" w:eastAsia="方正仿宋_GBK" w:cs="方正仿宋_GBK"/>
          <w:b w:val="0"/>
          <w:bCs/>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_GBK" w:hAnsi="方正黑体_GBK" w:eastAsia="方正黑体_GBK" w:cs="方正黑体_GBK"/>
          <w:b w:val="0"/>
          <w:bCs/>
          <w:kern w:val="0"/>
          <w:sz w:val="32"/>
          <w:szCs w:val="32"/>
        </w:rPr>
      </w:pPr>
      <w:r>
        <w:rPr>
          <w:rStyle w:val="15"/>
          <w:rFonts w:hint="eastAsia" w:ascii="方正黑体_GBK" w:hAnsi="方正黑体_GBK" w:eastAsia="方正黑体_GBK" w:cs="方正黑体_GBK"/>
          <w:b w:val="0"/>
          <w:bCs/>
          <w:sz w:val="32"/>
          <w:szCs w:val="32"/>
          <w:shd w:val="clear" w:fill="FFFFFF"/>
        </w:rPr>
        <w:t>七、决算公开联系方式及信息反馈渠道</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shd w:val="clear" w:fill="FFFFFF"/>
        </w:rPr>
        <w:t>本单位决算公开信息反馈和联系方式：</w:t>
      </w:r>
      <w:r>
        <w:rPr>
          <w:rFonts w:hint="eastAsia" w:ascii="方正仿宋_GBK" w:hAnsi="方正仿宋_GBK" w:eastAsia="方正仿宋_GBK" w:cs="方正仿宋_GBK"/>
          <w:b w:val="0"/>
          <w:bCs/>
          <w:kern w:val="0"/>
          <w:sz w:val="32"/>
          <w:szCs w:val="32"/>
        </w:rPr>
        <w:t xml:space="preserve">吴宣利  </w:t>
      </w:r>
    </w:p>
    <w:p>
      <w:pPr>
        <w:pStyle w:val="22"/>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rPr>
        <w:t xml:space="preserve">  联系方式：023-46450526  </w:t>
      </w:r>
    </w:p>
    <w:p>
      <w:pPr>
        <w:pStyle w:val="1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shd w:val="clear" w:fill="FFFFFF"/>
        </w:rPr>
        <w:t>附件:1 重庆市荣昌区退役军人服务中心2022年度部门决算公开报表</w:t>
      </w:r>
    </w:p>
    <w:p>
      <w:pPr>
        <w:keepNext w:val="0"/>
        <w:keepLines w:val="0"/>
        <w:pageBreakBefore w:val="0"/>
        <w:widowControl/>
        <w:kinsoku/>
        <w:wordWrap/>
        <w:overflowPunct/>
        <w:topLinePunct w:val="0"/>
        <w:autoSpaceDN/>
        <w:bidi w:val="0"/>
        <w:adjustRightInd/>
        <w:snapToGrid/>
        <w:spacing w:before="0" w:after="0" w:afterAutospacing="0" w:line="600" w:lineRule="exact"/>
        <w:ind w:left="0" w:leftChars="0" w:right="0" w:rightChars="0"/>
        <w:textAlignment w:val="auto"/>
        <w:outlineLvl w:val="9"/>
        <w:rPr>
          <w:rFonts w:hint="eastAsia" w:ascii="方正仿宋_GBK" w:hAnsi="方正仿宋_GBK" w:eastAsia="方正仿宋_GBK" w:cs="方正仿宋_GBK"/>
          <w:b w:val="0"/>
          <w:bCs/>
          <w:i w:val="0"/>
          <w:color w:val="000000"/>
          <w:kern w:val="0"/>
          <w:sz w:val="32"/>
          <w:szCs w:val="32"/>
        </w:rPr>
        <w:sectPr>
          <w:pgSz w:w="11915" w:h="16851"/>
          <w:pgMar w:top="1440" w:right="1800" w:bottom="1440" w:left="1800" w:header="851" w:footer="992" w:gutter="0"/>
          <w:cols w:space="0" w:num="1"/>
          <w:docGrid w:type="lines" w:linePitch="312" w:charSpace="0"/>
        </w:sectPr>
      </w:pPr>
    </w:p>
    <w:tbl>
      <w:tblPr>
        <w:tblStyle w:val="12"/>
        <w:tblW w:w="9066" w:type="dxa"/>
        <w:tblInd w:w="186" w:type="dxa"/>
        <w:shd w:val="clear" w:color="auto" w:fill="auto"/>
        <w:tblLayout w:type="fixed"/>
        <w:tblCellMar>
          <w:top w:w="15" w:type="dxa"/>
          <w:left w:w="15" w:type="dxa"/>
          <w:bottom w:w="15" w:type="dxa"/>
          <w:right w:w="15" w:type="dxa"/>
        </w:tblCellMar>
      </w:tblPr>
      <w:tblGrid>
        <w:gridCol w:w="2034"/>
        <w:gridCol w:w="302"/>
        <w:gridCol w:w="787"/>
        <w:gridCol w:w="354"/>
        <w:gridCol w:w="1056"/>
        <w:gridCol w:w="2034"/>
        <w:gridCol w:w="303"/>
        <w:gridCol w:w="742"/>
        <w:gridCol w:w="407"/>
        <w:gridCol w:w="1047"/>
      </w:tblGrid>
      <w:tr>
        <w:tblPrEx>
          <w:shd w:val="clear" w:color="auto" w:fill="auto"/>
          <w:tblLayout w:type="fixed"/>
          <w:tblCellMar>
            <w:top w:w="15" w:type="dxa"/>
            <w:left w:w="15" w:type="dxa"/>
            <w:bottom w:w="15" w:type="dxa"/>
            <w:right w:w="15" w:type="dxa"/>
          </w:tblCellMar>
        </w:tblPrEx>
        <w:trPr>
          <w:trHeight w:val="375" w:hRule="atLeast"/>
        </w:trPr>
        <w:tc>
          <w:tcPr>
            <w:tcW w:w="9066" w:type="dxa"/>
            <w:gridSpan w:val="10"/>
            <w:tcBorders>
              <w:top w:val="nil"/>
              <w:left w:val="nil"/>
              <w:bottom w:val="nil"/>
              <w:right w:val="nil"/>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32"/>
                <w:szCs w:val="32"/>
              </w:rPr>
            </w:pPr>
            <w:r>
              <w:rPr>
                <w:rFonts w:hint="eastAsia" w:ascii="黑体" w:hAnsi="宋体" w:eastAsia="黑体" w:cs="黑体"/>
                <w:i w:val="0"/>
                <w:color w:val="000000"/>
                <w:kern w:val="0"/>
                <w:sz w:val="32"/>
                <w:szCs w:val="32"/>
              </w:rPr>
              <w:t>收入支出决算表</w:t>
            </w:r>
          </w:p>
        </w:tc>
      </w:tr>
      <w:tr>
        <w:tblPrEx>
          <w:tblLayout w:type="fixed"/>
          <w:tblCellMar>
            <w:top w:w="15" w:type="dxa"/>
            <w:left w:w="15" w:type="dxa"/>
            <w:bottom w:w="15" w:type="dxa"/>
            <w:right w:w="15" w:type="dxa"/>
          </w:tblCellMar>
        </w:tblPrEx>
        <w:trPr>
          <w:trHeight w:val="301" w:hRule="atLeast"/>
        </w:trPr>
        <w:tc>
          <w:tcPr>
            <w:tcW w:w="2034" w:type="dxa"/>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302" w:type="dxa"/>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2197" w:type="dxa"/>
            <w:gridSpan w:val="3"/>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2034" w:type="dxa"/>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303" w:type="dxa"/>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2196" w:type="dxa"/>
            <w:gridSpan w:val="3"/>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cs="宋体"/>
                <w:i w:val="0"/>
                <w:color w:val="000000"/>
                <w:kern w:val="0"/>
                <w:sz w:val="16"/>
                <w:szCs w:val="16"/>
                <w:lang w:eastAsia="zh-CN"/>
              </w:rPr>
              <w:t>公开</w:t>
            </w:r>
            <w:r>
              <w:rPr>
                <w:rFonts w:hint="eastAsia" w:ascii="宋体" w:hAnsi="宋体" w:eastAsia="宋体" w:cs="宋体"/>
                <w:i w:val="0"/>
                <w:color w:val="000000"/>
                <w:kern w:val="0"/>
                <w:sz w:val="16"/>
                <w:szCs w:val="16"/>
              </w:rPr>
              <w:t>01表</w:t>
            </w:r>
          </w:p>
        </w:tc>
      </w:tr>
      <w:tr>
        <w:tblPrEx>
          <w:tblLayout w:type="fixed"/>
          <w:tblCellMar>
            <w:top w:w="15" w:type="dxa"/>
            <w:left w:w="15" w:type="dxa"/>
            <w:bottom w:w="15" w:type="dxa"/>
            <w:right w:w="15" w:type="dxa"/>
          </w:tblCellMar>
        </w:tblPrEx>
        <w:trPr>
          <w:trHeight w:val="301" w:hRule="atLeast"/>
        </w:trPr>
        <w:tc>
          <w:tcPr>
            <w:tcW w:w="453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部门：重庆市荣昌区退役军人服务中心</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2022年度</w:t>
            </w:r>
          </w:p>
        </w:tc>
        <w:tc>
          <w:tcPr>
            <w:tcW w:w="30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219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金额单位：元</w:t>
            </w:r>
          </w:p>
        </w:tc>
      </w:tr>
      <w:tr>
        <w:tblPrEx>
          <w:tblLayout w:type="fixed"/>
          <w:tblCellMar>
            <w:top w:w="15" w:type="dxa"/>
            <w:left w:w="15" w:type="dxa"/>
            <w:bottom w:w="15" w:type="dxa"/>
            <w:right w:w="15" w:type="dxa"/>
          </w:tblCellMar>
        </w:tblPrEx>
        <w:trPr>
          <w:trHeight w:val="301" w:hRule="atLeast"/>
        </w:trPr>
        <w:tc>
          <w:tcPr>
            <w:tcW w:w="4533"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收入</w:t>
            </w:r>
          </w:p>
        </w:tc>
        <w:tc>
          <w:tcPr>
            <w:tcW w:w="4533" w:type="dxa"/>
            <w:gridSpan w:val="5"/>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支出</w:t>
            </w:r>
          </w:p>
        </w:tc>
      </w:tr>
      <w:tr>
        <w:tblPrEx>
          <w:tblLayout w:type="fixed"/>
          <w:tblCellMar>
            <w:top w:w="15" w:type="dxa"/>
            <w:left w:w="15" w:type="dxa"/>
            <w:bottom w:w="15" w:type="dxa"/>
            <w:right w:w="15" w:type="dxa"/>
          </w:tblCellMar>
        </w:tblPrEx>
        <w:trPr>
          <w:trHeight w:val="301" w:hRule="atLeast"/>
        </w:trPr>
        <w:tc>
          <w:tcPr>
            <w:tcW w:w="312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项目</w:t>
            </w:r>
          </w:p>
        </w:tc>
        <w:tc>
          <w:tcPr>
            <w:tcW w:w="3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行次</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金额</w:t>
            </w:r>
          </w:p>
        </w:tc>
        <w:tc>
          <w:tcPr>
            <w:tcW w:w="307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项目</w:t>
            </w:r>
          </w:p>
        </w:tc>
        <w:tc>
          <w:tcPr>
            <w:tcW w:w="4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行次</w:t>
            </w:r>
          </w:p>
        </w:tc>
        <w:tc>
          <w:tcPr>
            <w:tcW w:w="10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金额</w:t>
            </w:r>
          </w:p>
        </w:tc>
      </w:tr>
      <w:tr>
        <w:tblPrEx>
          <w:tblLayout w:type="fixed"/>
          <w:tblCellMar>
            <w:top w:w="15" w:type="dxa"/>
            <w:left w:w="15" w:type="dxa"/>
            <w:bottom w:w="15" w:type="dxa"/>
            <w:right w:w="15" w:type="dxa"/>
          </w:tblCellMar>
        </w:tblPrEx>
        <w:trPr>
          <w:trHeight w:val="320" w:hRule="atLeast"/>
        </w:trPr>
        <w:tc>
          <w:tcPr>
            <w:tcW w:w="312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栏次</w:t>
            </w:r>
          </w:p>
        </w:tc>
        <w:tc>
          <w:tcPr>
            <w:tcW w:w="3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6"/>
                <w:szCs w:val="16"/>
              </w:rPr>
            </w:pP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w:t>
            </w:r>
          </w:p>
        </w:tc>
        <w:tc>
          <w:tcPr>
            <w:tcW w:w="307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栏次</w:t>
            </w:r>
          </w:p>
        </w:tc>
        <w:tc>
          <w:tcPr>
            <w:tcW w:w="4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6"/>
                <w:szCs w:val="16"/>
              </w:rPr>
            </w:pPr>
          </w:p>
        </w:tc>
        <w:tc>
          <w:tcPr>
            <w:tcW w:w="10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w:t>
            </w:r>
          </w:p>
        </w:tc>
      </w:tr>
      <w:tr>
        <w:tblPrEx>
          <w:tblLayout w:type="fixed"/>
          <w:tblCellMar>
            <w:top w:w="15" w:type="dxa"/>
            <w:left w:w="15" w:type="dxa"/>
            <w:bottom w:w="15" w:type="dxa"/>
            <w:right w:w="15" w:type="dxa"/>
          </w:tblCellMar>
        </w:tblPrEx>
        <w:trPr>
          <w:trHeight w:val="301" w:hRule="atLeast"/>
        </w:trPr>
        <w:tc>
          <w:tcPr>
            <w:tcW w:w="312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一、一般公共预算财政拨款收入</w:t>
            </w:r>
          </w:p>
        </w:tc>
        <w:tc>
          <w:tcPr>
            <w:tcW w:w="3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1,736,627.20</w:t>
            </w:r>
          </w:p>
        </w:tc>
        <w:tc>
          <w:tcPr>
            <w:tcW w:w="307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一、一般公共服务支出</w:t>
            </w:r>
          </w:p>
        </w:tc>
        <w:tc>
          <w:tcPr>
            <w:tcW w:w="4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32</w:t>
            </w:r>
          </w:p>
        </w:tc>
        <w:tc>
          <w:tcPr>
            <w:tcW w:w="10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312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二、政府性基金预算财政拨款收入</w:t>
            </w:r>
          </w:p>
        </w:tc>
        <w:tc>
          <w:tcPr>
            <w:tcW w:w="3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7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二、外交支出</w:t>
            </w:r>
          </w:p>
        </w:tc>
        <w:tc>
          <w:tcPr>
            <w:tcW w:w="4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33</w:t>
            </w:r>
          </w:p>
        </w:tc>
        <w:tc>
          <w:tcPr>
            <w:tcW w:w="10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312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三、国有资本经营预算财政拨款收入</w:t>
            </w:r>
          </w:p>
        </w:tc>
        <w:tc>
          <w:tcPr>
            <w:tcW w:w="3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3</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7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三、国防支出</w:t>
            </w:r>
          </w:p>
        </w:tc>
        <w:tc>
          <w:tcPr>
            <w:tcW w:w="4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34</w:t>
            </w:r>
          </w:p>
        </w:tc>
        <w:tc>
          <w:tcPr>
            <w:tcW w:w="10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312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四、上级补助收入</w:t>
            </w:r>
          </w:p>
        </w:tc>
        <w:tc>
          <w:tcPr>
            <w:tcW w:w="3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4</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7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四、公共安全支出</w:t>
            </w:r>
          </w:p>
        </w:tc>
        <w:tc>
          <w:tcPr>
            <w:tcW w:w="4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35</w:t>
            </w:r>
          </w:p>
        </w:tc>
        <w:tc>
          <w:tcPr>
            <w:tcW w:w="10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312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五、事业收入</w:t>
            </w:r>
          </w:p>
        </w:tc>
        <w:tc>
          <w:tcPr>
            <w:tcW w:w="3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5</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7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五、教育支出</w:t>
            </w:r>
          </w:p>
        </w:tc>
        <w:tc>
          <w:tcPr>
            <w:tcW w:w="4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36</w:t>
            </w:r>
          </w:p>
        </w:tc>
        <w:tc>
          <w:tcPr>
            <w:tcW w:w="10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2,246.91</w:t>
            </w:r>
          </w:p>
        </w:tc>
      </w:tr>
      <w:tr>
        <w:tblPrEx>
          <w:tblLayout w:type="fixed"/>
          <w:tblCellMar>
            <w:top w:w="15" w:type="dxa"/>
            <w:left w:w="15" w:type="dxa"/>
            <w:bottom w:w="15" w:type="dxa"/>
            <w:right w:w="15" w:type="dxa"/>
          </w:tblCellMar>
        </w:tblPrEx>
        <w:trPr>
          <w:trHeight w:val="301" w:hRule="atLeast"/>
        </w:trPr>
        <w:tc>
          <w:tcPr>
            <w:tcW w:w="312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六、经营收入</w:t>
            </w:r>
          </w:p>
        </w:tc>
        <w:tc>
          <w:tcPr>
            <w:tcW w:w="3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6</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7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六、科学技术支出</w:t>
            </w:r>
          </w:p>
        </w:tc>
        <w:tc>
          <w:tcPr>
            <w:tcW w:w="4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37</w:t>
            </w:r>
          </w:p>
        </w:tc>
        <w:tc>
          <w:tcPr>
            <w:tcW w:w="10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312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七、附属单位上缴收入</w:t>
            </w:r>
          </w:p>
        </w:tc>
        <w:tc>
          <w:tcPr>
            <w:tcW w:w="3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7</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7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七、文化旅游体育与传媒支出</w:t>
            </w:r>
          </w:p>
        </w:tc>
        <w:tc>
          <w:tcPr>
            <w:tcW w:w="4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38</w:t>
            </w:r>
          </w:p>
        </w:tc>
        <w:tc>
          <w:tcPr>
            <w:tcW w:w="10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312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八、其他收入</w:t>
            </w:r>
          </w:p>
        </w:tc>
        <w:tc>
          <w:tcPr>
            <w:tcW w:w="3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8</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7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八、社会保障和就业支出</w:t>
            </w:r>
          </w:p>
        </w:tc>
        <w:tc>
          <w:tcPr>
            <w:tcW w:w="4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39</w:t>
            </w:r>
          </w:p>
        </w:tc>
        <w:tc>
          <w:tcPr>
            <w:tcW w:w="10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1,542,746.29</w:t>
            </w:r>
          </w:p>
        </w:tc>
      </w:tr>
      <w:tr>
        <w:tblPrEx>
          <w:tblLayout w:type="fixed"/>
          <w:tblCellMar>
            <w:top w:w="15" w:type="dxa"/>
            <w:left w:w="15" w:type="dxa"/>
            <w:bottom w:w="15" w:type="dxa"/>
            <w:right w:w="15" w:type="dxa"/>
          </w:tblCellMar>
        </w:tblPrEx>
        <w:trPr>
          <w:trHeight w:val="301" w:hRule="atLeast"/>
        </w:trPr>
        <w:tc>
          <w:tcPr>
            <w:tcW w:w="312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3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9</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7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九、卫生健康支出</w:t>
            </w:r>
          </w:p>
        </w:tc>
        <w:tc>
          <w:tcPr>
            <w:tcW w:w="4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40</w:t>
            </w:r>
          </w:p>
        </w:tc>
        <w:tc>
          <w:tcPr>
            <w:tcW w:w="10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69,308.00</w:t>
            </w:r>
          </w:p>
        </w:tc>
      </w:tr>
      <w:tr>
        <w:tblPrEx>
          <w:tblLayout w:type="fixed"/>
          <w:tblCellMar>
            <w:top w:w="15" w:type="dxa"/>
            <w:left w:w="15" w:type="dxa"/>
            <w:bottom w:w="15" w:type="dxa"/>
            <w:right w:w="15" w:type="dxa"/>
          </w:tblCellMar>
        </w:tblPrEx>
        <w:trPr>
          <w:trHeight w:val="301" w:hRule="atLeast"/>
        </w:trPr>
        <w:tc>
          <w:tcPr>
            <w:tcW w:w="312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3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10</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7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十、节能环保支出</w:t>
            </w:r>
          </w:p>
        </w:tc>
        <w:tc>
          <w:tcPr>
            <w:tcW w:w="4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41</w:t>
            </w:r>
          </w:p>
        </w:tc>
        <w:tc>
          <w:tcPr>
            <w:tcW w:w="10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312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3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11</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7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十一、城乡社区支出</w:t>
            </w:r>
          </w:p>
        </w:tc>
        <w:tc>
          <w:tcPr>
            <w:tcW w:w="4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42</w:t>
            </w:r>
          </w:p>
        </w:tc>
        <w:tc>
          <w:tcPr>
            <w:tcW w:w="10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312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3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12</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7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十二、农林水支出</w:t>
            </w:r>
          </w:p>
        </w:tc>
        <w:tc>
          <w:tcPr>
            <w:tcW w:w="4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43</w:t>
            </w:r>
          </w:p>
        </w:tc>
        <w:tc>
          <w:tcPr>
            <w:tcW w:w="10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312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3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13</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7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十三、交通运输支出</w:t>
            </w:r>
          </w:p>
        </w:tc>
        <w:tc>
          <w:tcPr>
            <w:tcW w:w="4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44</w:t>
            </w:r>
          </w:p>
        </w:tc>
        <w:tc>
          <w:tcPr>
            <w:tcW w:w="10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312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3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14</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7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十四、资源勘探工业信息等支出</w:t>
            </w:r>
          </w:p>
        </w:tc>
        <w:tc>
          <w:tcPr>
            <w:tcW w:w="4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45</w:t>
            </w:r>
          </w:p>
        </w:tc>
        <w:tc>
          <w:tcPr>
            <w:tcW w:w="10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312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3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15</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7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十五、商业服务业等支出</w:t>
            </w:r>
          </w:p>
        </w:tc>
        <w:tc>
          <w:tcPr>
            <w:tcW w:w="4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46</w:t>
            </w:r>
          </w:p>
        </w:tc>
        <w:tc>
          <w:tcPr>
            <w:tcW w:w="10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312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3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16</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7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十六、金融支出</w:t>
            </w:r>
          </w:p>
        </w:tc>
        <w:tc>
          <w:tcPr>
            <w:tcW w:w="4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47</w:t>
            </w:r>
          </w:p>
        </w:tc>
        <w:tc>
          <w:tcPr>
            <w:tcW w:w="10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312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3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17</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7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十七、援助其他地区支出</w:t>
            </w:r>
          </w:p>
        </w:tc>
        <w:tc>
          <w:tcPr>
            <w:tcW w:w="4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48</w:t>
            </w:r>
          </w:p>
        </w:tc>
        <w:tc>
          <w:tcPr>
            <w:tcW w:w="10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312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3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18</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7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十八、自然资源海洋气象等支出</w:t>
            </w:r>
          </w:p>
        </w:tc>
        <w:tc>
          <w:tcPr>
            <w:tcW w:w="4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49</w:t>
            </w:r>
          </w:p>
        </w:tc>
        <w:tc>
          <w:tcPr>
            <w:tcW w:w="10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312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3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19</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7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十九、住房保障支出</w:t>
            </w:r>
          </w:p>
        </w:tc>
        <w:tc>
          <w:tcPr>
            <w:tcW w:w="4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50</w:t>
            </w:r>
          </w:p>
        </w:tc>
        <w:tc>
          <w:tcPr>
            <w:tcW w:w="10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122,326.00</w:t>
            </w:r>
          </w:p>
        </w:tc>
      </w:tr>
      <w:tr>
        <w:tblPrEx>
          <w:tblLayout w:type="fixed"/>
          <w:tblCellMar>
            <w:top w:w="15" w:type="dxa"/>
            <w:left w:w="15" w:type="dxa"/>
            <w:bottom w:w="15" w:type="dxa"/>
            <w:right w:w="15" w:type="dxa"/>
          </w:tblCellMar>
        </w:tblPrEx>
        <w:trPr>
          <w:trHeight w:val="267" w:hRule="atLeast"/>
        </w:trPr>
        <w:tc>
          <w:tcPr>
            <w:tcW w:w="312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3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20</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7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二十、粮油物资储备支出</w:t>
            </w:r>
          </w:p>
        </w:tc>
        <w:tc>
          <w:tcPr>
            <w:tcW w:w="4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51</w:t>
            </w:r>
          </w:p>
        </w:tc>
        <w:tc>
          <w:tcPr>
            <w:tcW w:w="10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312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3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21</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7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二十一、国有资本经营预算支出</w:t>
            </w:r>
          </w:p>
        </w:tc>
        <w:tc>
          <w:tcPr>
            <w:tcW w:w="4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52</w:t>
            </w:r>
          </w:p>
        </w:tc>
        <w:tc>
          <w:tcPr>
            <w:tcW w:w="10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312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3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22</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7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二十二、灾害防治及应急管理支出</w:t>
            </w:r>
          </w:p>
        </w:tc>
        <w:tc>
          <w:tcPr>
            <w:tcW w:w="4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53</w:t>
            </w:r>
          </w:p>
        </w:tc>
        <w:tc>
          <w:tcPr>
            <w:tcW w:w="10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277" w:hRule="atLeast"/>
        </w:trPr>
        <w:tc>
          <w:tcPr>
            <w:tcW w:w="312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3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23</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7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二十三、其他支出</w:t>
            </w:r>
          </w:p>
        </w:tc>
        <w:tc>
          <w:tcPr>
            <w:tcW w:w="4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54</w:t>
            </w:r>
          </w:p>
        </w:tc>
        <w:tc>
          <w:tcPr>
            <w:tcW w:w="10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256" w:hRule="atLeast"/>
        </w:trPr>
        <w:tc>
          <w:tcPr>
            <w:tcW w:w="312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i w:val="0"/>
                <w:color w:val="000000"/>
                <w:kern w:val="0"/>
                <w:sz w:val="16"/>
                <w:szCs w:val="16"/>
              </w:rPr>
            </w:pPr>
          </w:p>
        </w:tc>
        <w:tc>
          <w:tcPr>
            <w:tcW w:w="3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24</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7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二十四、债务还本支出</w:t>
            </w:r>
          </w:p>
        </w:tc>
        <w:tc>
          <w:tcPr>
            <w:tcW w:w="4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55</w:t>
            </w:r>
          </w:p>
        </w:tc>
        <w:tc>
          <w:tcPr>
            <w:tcW w:w="10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235" w:hRule="atLeast"/>
        </w:trPr>
        <w:tc>
          <w:tcPr>
            <w:tcW w:w="312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3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25</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7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二十五、债务付息支出</w:t>
            </w:r>
          </w:p>
        </w:tc>
        <w:tc>
          <w:tcPr>
            <w:tcW w:w="4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56</w:t>
            </w:r>
          </w:p>
        </w:tc>
        <w:tc>
          <w:tcPr>
            <w:tcW w:w="10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256" w:hRule="atLeast"/>
        </w:trPr>
        <w:tc>
          <w:tcPr>
            <w:tcW w:w="312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3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26</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7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二十六、抗疫特别国债安排的支出</w:t>
            </w:r>
          </w:p>
        </w:tc>
        <w:tc>
          <w:tcPr>
            <w:tcW w:w="4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57</w:t>
            </w:r>
          </w:p>
        </w:tc>
        <w:tc>
          <w:tcPr>
            <w:tcW w:w="10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312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6"/>
                <w:szCs w:val="16"/>
              </w:rPr>
            </w:pPr>
            <w:r>
              <w:rPr>
                <w:rFonts w:hint="eastAsia" w:ascii="宋体" w:hAnsi="宋体" w:eastAsia="宋体" w:cs="宋体"/>
                <w:b/>
                <w:i w:val="0"/>
                <w:color w:val="000000"/>
                <w:kern w:val="0"/>
                <w:sz w:val="16"/>
                <w:szCs w:val="16"/>
              </w:rPr>
              <w:t>本年收入合计</w:t>
            </w:r>
          </w:p>
        </w:tc>
        <w:tc>
          <w:tcPr>
            <w:tcW w:w="3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27</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1,736,627.20</w:t>
            </w:r>
          </w:p>
        </w:tc>
        <w:tc>
          <w:tcPr>
            <w:tcW w:w="307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6"/>
                <w:szCs w:val="16"/>
              </w:rPr>
            </w:pPr>
            <w:r>
              <w:rPr>
                <w:rFonts w:hint="eastAsia" w:ascii="宋体" w:hAnsi="宋体" w:eastAsia="宋体" w:cs="宋体"/>
                <w:b/>
                <w:i w:val="0"/>
                <w:color w:val="000000"/>
                <w:kern w:val="0"/>
                <w:sz w:val="16"/>
                <w:szCs w:val="16"/>
              </w:rPr>
              <w:t>本年支出合计</w:t>
            </w:r>
          </w:p>
        </w:tc>
        <w:tc>
          <w:tcPr>
            <w:tcW w:w="4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58</w:t>
            </w:r>
          </w:p>
        </w:tc>
        <w:tc>
          <w:tcPr>
            <w:tcW w:w="10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1,736,627.20</w:t>
            </w:r>
          </w:p>
        </w:tc>
      </w:tr>
      <w:tr>
        <w:tblPrEx>
          <w:tblLayout w:type="fixed"/>
          <w:tblCellMar>
            <w:top w:w="15" w:type="dxa"/>
            <w:left w:w="15" w:type="dxa"/>
            <w:bottom w:w="15" w:type="dxa"/>
            <w:right w:w="15" w:type="dxa"/>
          </w:tblCellMar>
        </w:tblPrEx>
        <w:trPr>
          <w:trHeight w:val="288" w:hRule="atLeast"/>
        </w:trPr>
        <w:tc>
          <w:tcPr>
            <w:tcW w:w="312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使用非财政拨款结余</w:t>
            </w:r>
          </w:p>
        </w:tc>
        <w:tc>
          <w:tcPr>
            <w:tcW w:w="3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28</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7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结余分配</w:t>
            </w:r>
          </w:p>
        </w:tc>
        <w:tc>
          <w:tcPr>
            <w:tcW w:w="4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59</w:t>
            </w:r>
          </w:p>
        </w:tc>
        <w:tc>
          <w:tcPr>
            <w:tcW w:w="10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278" w:hRule="atLeast"/>
        </w:trPr>
        <w:tc>
          <w:tcPr>
            <w:tcW w:w="312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年初结转和结余</w:t>
            </w:r>
          </w:p>
        </w:tc>
        <w:tc>
          <w:tcPr>
            <w:tcW w:w="3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29</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7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年末结转和结余</w:t>
            </w:r>
          </w:p>
        </w:tc>
        <w:tc>
          <w:tcPr>
            <w:tcW w:w="4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60</w:t>
            </w:r>
          </w:p>
        </w:tc>
        <w:tc>
          <w:tcPr>
            <w:tcW w:w="10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213" w:hRule="atLeast"/>
        </w:trPr>
        <w:tc>
          <w:tcPr>
            <w:tcW w:w="312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3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30</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16"/>
                <w:szCs w:val="16"/>
              </w:rPr>
            </w:pPr>
          </w:p>
        </w:tc>
        <w:tc>
          <w:tcPr>
            <w:tcW w:w="307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c>
          <w:tcPr>
            <w:tcW w:w="4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61</w:t>
            </w:r>
          </w:p>
        </w:tc>
        <w:tc>
          <w:tcPr>
            <w:tcW w:w="10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6"/>
                <w:szCs w:val="16"/>
              </w:rPr>
            </w:pPr>
          </w:p>
        </w:tc>
      </w:tr>
      <w:tr>
        <w:tblPrEx>
          <w:tblLayout w:type="fixed"/>
          <w:tblCellMar>
            <w:top w:w="15" w:type="dxa"/>
            <w:left w:w="15" w:type="dxa"/>
            <w:bottom w:w="15" w:type="dxa"/>
            <w:right w:w="15" w:type="dxa"/>
          </w:tblCellMar>
        </w:tblPrEx>
        <w:trPr>
          <w:trHeight w:val="301" w:hRule="atLeast"/>
        </w:trPr>
        <w:tc>
          <w:tcPr>
            <w:tcW w:w="3123"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kern w:val="0"/>
                <w:sz w:val="16"/>
                <w:szCs w:val="16"/>
              </w:rPr>
            </w:pPr>
            <w:r>
              <w:rPr>
                <w:rFonts w:hint="eastAsia" w:ascii="宋体" w:hAnsi="宋体" w:eastAsia="宋体" w:cs="宋体"/>
                <w:b/>
                <w:i w:val="0"/>
                <w:color w:val="000000"/>
                <w:kern w:val="0"/>
                <w:sz w:val="16"/>
                <w:szCs w:val="16"/>
              </w:rPr>
              <w:t>总计</w:t>
            </w:r>
          </w:p>
        </w:tc>
        <w:tc>
          <w:tcPr>
            <w:tcW w:w="3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31</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1,736,627.20</w:t>
            </w:r>
          </w:p>
        </w:tc>
        <w:tc>
          <w:tcPr>
            <w:tcW w:w="3079"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kern w:val="0"/>
                <w:sz w:val="16"/>
                <w:szCs w:val="16"/>
              </w:rPr>
            </w:pPr>
            <w:r>
              <w:rPr>
                <w:rFonts w:hint="eastAsia" w:ascii="宋体" w:hAnsi="宋体" w:eastAsia="宋体" w:cs="宋体"/>
                <w:b/>
                <w:i w:val="0"/>
                <w:color w:val="000000"/>
                <w:kern w:val="0"/>
                <w:sz w:val="16"/>
                <w:szCs w:val="16"/>
              </w:rPr>
              <w:t>总计</w:t>
            </w:r>
          </w:p>
        </w:tc>
        <w:tc>
          <w:tcPr>
            <w:tcW w:w="40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62</w:t>
            </w:r>
          </w:p>
        </w:tc>
        <w:tc>
          <w:tcPr>
            <w:tcW w:w="10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1,736,627.20</w:t>
            </w:r>
          </w:p>
        </w:tc>
      </w:tr>
      <w:tr>
        <w:tblPrEx>
          <w:tblLayout w:type="fixed"/>
          <w:tblCellMar>
            <w:top w:w="15" w:type="dxa"/>
            <w:left w:w="15" w:type="dxa"/>
            <w:bottom w:w="15" w:type="dxa"/>
            <w:right w:w="15" w:type="dxa"/>
          </w:tblCellMar>
        </w:tblPrEx>
        <w:trPr>
          <w:trHeight w:val="301" w:hRule="atLeast"/>
        </w:trPr>
        <w:tc>
          <w:tcPr>
            <w:tcW w:w="9066"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注：1.本表依据《收入支出决算总表》（财决01表）进行批复。</w:t>
            </w:r>
          </w:p>
        </w:tc>
      </w:tr>
      <w:tr>
        <w:tblPrEx>
          <w:tblLayout w:type="fixed"/>
          <w:tblCellMar>
            <w:top w:w="15" w:type="dxa"/>
            <w:left w:w="15" w:type="dxa"/>
            <w:bottom w:w="15" w:type="dxa"/>
            <w:right w:w="15" w:type="dxa"/>
          </w:tblCellMar>
        </w:tblPrEx>
        <w:trPr>
          <w:trHeight w:val="301" w:hRule="atLeast"/>
        </w:trPr>
        <w:tc>
          <w:tcPr>
            <w:tcW w:w="9066"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 xml:space="preserve">    2.本表以“万元”为金额单位（保留两位小数）。</w:t>
            </w:r>
          </w:p>
        </w:tc>
      </w:tr>
      <w:tr>
        <w:tblPrEx>
          <w:tblLayout w:type="fixed"/>
          <w:tblCellMar>
            <w:top w:w="15" w:type="dxa"/>
            <w:left w:w="15" w:type="dxa"/>
            <w:bottom w:w="15" w:type="dxa"/>
            <w:right w:w="15" w:type="dxa"/>
          </w:tblCellMar>
        </w:tblPrEx>
        <w:trPr>
          <w:trHeight w:val="301" w:hRule="atLeast"/>
        </w:trPr>
        <w:tc>
          <w:tcPr>
            <w:tcW w:w="9066"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 xml:space="preserve">    3.本套报表金额单位转换时可能存在尾数误差。</w:t>
            </w:r>
          </w:p>
        </w:tc>
      </w:tr>
    </w:tbl>
    <w:p>
      <w:pPr>
        <w:rPr>
          <w:rFonts w:hint="eastAsia" w:ascii="黑体" w:hAnsi="宋体" w:eastAsia="黑体" w:cs="黑体"/>
          <w:i w:val="0"/>
          <w:color w:val="000000"/>
          <w:kern w:val="0"/>
          <w:sz w:val="30"/>
          <w:szCs w:val="30"/>
        </w:rPr>
        <w:sectPr>
          <w:pgSz w:w="11915" w:h="16851"/>
          <w:pgMar w:top="1440" w:right="1800" w:bottom="1440" w:left="1800" w:header="851" w:footer="992" w:gutter="0"/>
          <w:cols w:space="0" w:num="1"/>
          <w:docGrid w:type="lines" w:linePitch="312" w:charSpace="0"/>
        </w:sectPr>
      </w:pPr>
    </w:p>
    <w:tbl>
      <w:tblPr>
        <w:tblStyle w:val="12"/>
        <w:tblW w:w="14740" w:type="dxa"/>
        <w:tblInd w:w="186" w:type="dxa"/>
        <w:shd w:val="clear" w:color="auto" w:fill="auto"/>
        <w:tblLayout w:type="fixed"/>
        <w:tblCellMar>
          <w:top w:w="15" w:type="dxa"/>
          <w:left w:w="15" w:type="dxa"/>
          <w:bottom w:w="15" w:type="dxa"/>
          <w:right w:w="15" w:type="dxa"/>
        </w:tblCellMar>
      </w:tblPr>
      <w:tblGrid>
        <w:gridCol w:w="508"/>
        <w:gridCol w:w="985"/>
        <w:gridCol w:w="985"/>
        <w:gridCol w:w="3965"/>
        <w:gridCol w:w="1894"/>
        <w:gridCol w:w="1466"/>
        <w:gridCol w:w="986"/>
        <w:gridCol w:w="986"/>
        <w:gridCol w:w="986"/>
        <w:gridCol w:w="986"/>
        <w:gridCol w:w="993"/>
      </w:tblGrid>
      <w:tr>
        <w:tblPrEx>
          <w:shd w:val="clear" w:color="auto" w:fill="auto"/>
          <w:tblLayout w:type="fixed"/>
          <w:tblCellMar>
            <w:top w:w="15" w:type="dxa"/>
            <w:left w:w="15" w:type="dxa"/>
            <w:bottom w:w="15" w:type="dxa"/>
            <w:right w:w="15" w:type="dxa"/>
          </w:tblCellMar>
        </w:tblPrEx>
        <w:trPr>
          <w:trHeight w:val="375" w:hRule="atLeast"/>
        </w:trPr>
        <w:tc>
          <w:tcPr>
            <w:tcW w:w="14740" w:type="dxa"/>
            <w:gridSpan w:val="11"/>
            <w:tcBorders>
              <w:top w:val="nil"/>
              <w:left w:val="nil"/>
              <w:bottom w:val="nil"/>
              <w:right w:val="nil"/>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r>
              <w:rPr>
                <w:rFonts w:hint="eastAsia" w:ascii="黑体" w:hAnsi="宋体" w:eastAsia="黑体" w:cs="黑体"/>
                <w:i w:val="0"/>
                <w:color w:val="000000"/>
                <w:kern w:val="0"/>
                <w:sz w:val="30"/>
                <w:szCs w:val="30"/>
              </w:rPr>
              <w:t>收入决算表</w:t>
            </w:r>
          </w:p>
        </w:tc>
      </w:tr>
      <w:tr>
        <w:tblPrEx>
          <w:tblLayout w:type="fixed"/>
          <w:tblCellMar>
            <w:top w:w="15" w:type="dxa"/>
            <w:left w:w="15" w:type="dxa"/>
            <w:bottom w:w="15" w:type="dxa"/>
            <w:right w:w="15" w:type="dxa"/>
          </w:tblCellMar>
        </w:tblPrEx>
        <w:trPr>
          <w:trHeight w:val="301" w:hRule="atLeast"/>
        </w:trPr>
        <w:tc>
          <w:tcPr>
            <w:tcW w:w="508"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98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98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39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894"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466"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986"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986"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986"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979"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cs="宋体"/>
                <w:i w:val="0"/>
                <w:color w:val="000000"/>
                <w:kern w:val="0"/>
                <w:sz w:val="22"/>
                <w:szCs w:val="22"/>
                <w:lang w:eastAsia="zh-CN"/>
              </w:rPr>
              <w:t>公开</w:t>
            </w:r>
            <w:r>
              <w:rPr>
                <w:rFonts w:hint="eastAsia" w:ascii="宋体" w:hAnsi="宋体" w:eastAsia="宋体" w:cs="宋体"/>
                <w:i w:val="0"/>
                <w:color w:val="000000"/>
                <w:kern w:val="0"/>
                <w:sz w:val="22"/>
                <w:szCs w:val="22"/>
              </w:rPr>
              <w:t>02表</w:t>
            </w:r>
          </w:p>
        </w:tc>
      </w:tr>
      <w:tr>
        <w:tblPrEx>
          <w:tblLayout w:type="fixed"/>
          <w:tblCellMar>
            <w:top w:w="15" w:type="dxa"/>
            <w:left w:w="15" w:type="dxa"/>
            <w:bottom w:w="15" w:type="dxa"/>
            <w:right w:w="15" w:type="dxa"/>
          </w:tblCellMar>
        </w:tblPrEx>
        <w:trPr>
          <w:trHeight w:val="301" w:hRule="atLeast"/>
        </w:trPr>
        <w:tc>
          <w:tcPr>
            <w:tcW w:w="6443" w:type="dxa"/>
            <w:gridSpan w:val="4"/>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22"/>
                <w:szCs w:val="22"/>
              </w:rPr>
              <w:t>部门：重庆市荣昌区退役军人服务中心</w:t>
            </w:r>
          </w:p>
        </w:tc>
        <w:tc>
          <w:tcPr>
            <w:tcW w:w="1894" w:type="dxa"/>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466"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2022年度</w:t>
            </w:r>
          </w:p>
        </w:tc>
        <w:tc>
          <w:tcPr>
            <w:tcW w:w="986" w:type="dxa"/>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986" w:type="dxa"/>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986" w:type="dxa"/>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979" w:type="dxa"/>
            <w:gridSpan w:val="2"/>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金额单位：元</w:t>
            </w:r>
          </w:p>
        </w:tc>
      </w:tr>
      <w:tr>
        <w:tblPrEx>
          <w:tblLayout w:type="fixed"/>
          <w:tblCellMar>
            <w:top w:w="15" w:type="dxa"/>
            <w:left w:w="15" w:type="dxa"/>
            <w:bottom w:w="15" w:type="dxa"/>
            <w:right w:w="15" w:type="dxa"/>
          </w:tblCellMar>
        </w:tblPrEx>
        <w:trPr>
          <w:trHeight w:val="300" w:hRule="atLeast"/>
        </w:trPr>
        <w:tc>
          <w:tcPr>
            <w:tcW w:w="2478" w:type="dxa"/>
            <w:gridSpan w:val="3"/>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科目代码</w:t>
            </w:r>
          </w:p>
        </w:tc>
        <w:tc>
          <w:tcPr>
            <w:tcW w:w="3965"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科目名称</w:t>
            </w:r>
          </w:p>
        </w:tc>
        <w:tc>
          <w:tcPr>
            <w:tcW w:w="189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本年收入合计</w:t>
            </w:r>
          </w:p>
        </w:tc>
        <w:tc>
          <w:tcPr>
            <w:tcW w:w="1466"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财政拨款收入</w:t>
            </w:r>
          </w:p>
        </w:tc>
        <w:tc>
          <w:tcPr>
            <w:tcW w:w="986"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上级补助收入</w:t>
            </w:r>
          </w:p>
        </w:tc>
        <w:tc>
          <w:tcPr>
            <w:tcW w:w="986"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事业收入</w:t>
            </w:r>
          </w:p>
        </w:tc>
        <w:tc>
          <w:tcPr>
            <w:tcW w:w="986"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经营收入</w:t>
            </w:r>
          </w:p>
        </w:tc>
        <w:tc>
          <w:tcPr>
            <w:tcW w:w="986"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附属单位上缴收入</w:t>
            </w:r>
          </w:p>
        </w:tc>
        <w:tc>
          <w:tcPr>
            <w:tcW w:w="993"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其他收入</w:t>
            </w:r>
          </w:p>
        </w:tc>
      </w:tr>
      <w:tr>
        <w:tblPrEx>
          <w:tblLayout w:type="fixed"/>
          <w:tblCellMar>
            <w:top w:w="15" w:type="dxa"/>
            <w:left w:w="15" w:type="dxa"/>
            <w:bottom w:w="15" w:type="dxa"/>
            <w:right w:w="15" w:type="dxa"/>
          </w:tblCellMar>
        </w:tblPrEx>
        <w:trPr>
          <w:trHeight w:val="300" w:hRule="atLeast"/>
        </w:trPr>
        <w:tc>
          <w:tcPr>
            <w:tcW w:w="2478" w:type="dxa"/>
            <w:gridSpan w:val="3"/>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3965"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894"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466"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86"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86"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86"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86"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93"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r>
      <w:tr>
        <w:tblPrEx>
          <w:tblLayout w:type="fixed"/>
          <w:tblCellMar>
            <w:top w:w="15" w:type="dxa"/>
            <w:left w:w="15" w:type="dxa"/>
            <w:bottom w:w="15" w:type="dxa"/>
            <w:right w:w="15" w:type="dxa"/>
          </w:tblCellMar>
        </w:tblPrEx>
        <w:trPr>
          <w:trHeight w:val="300" w:hRule="atLeast"/>
        </w:trPr>
        <w:tc>
          <w:tcPr>
            <w:tcW w:w="2478" w:type="dxa"/>
            <w:gridSpan w:val="3"/>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3965"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894"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466"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86"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86"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86"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86"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93"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r>
      <w:tr>
        <w:tblPrEx>
          <w:tblLayout w:type="fixed"/>
          <w:tblCellMar>
            <w:top w:w="15" w:type="dxa"/>
            <w:left w:w="15" w:type="dxa"/>
            <w:bottom w:w="15" w:type="dxa"/>
            <w:right w:w="15" w:type="dxa"/>
          </w:tblCellMar>
        </w:tblPrEx>
        <w:trPr>
          <w:trHeight w:val="300" w:hRule="atLeast"/>
        </w:trPr>
        <w:tc>
          <w:tcPr>
            <w:tcW w:w="2478" w:type="dxa"/>
            <w:gridSpan w:val="3"/>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3965"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894"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466"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86"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86"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86"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86"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93"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r>
      <w:tr>
        <w:tblPrEx>
          <w:tblLayout w:type="fixed"/>
          <w:tblCellMar>
            <w:top w:w="15" w:type="dxa"/>
            <w:left w:w="15" w:type="dxa"/>
            <w:bottom w:w="15" w:type="dxa"/>
            <w:right w:w="15" w:type="dxa"/>
          </w:tblCellMar>
        </w:tblPrEx>
        <w:trPr>
          <w:trHeight w:val="301" w:hRule="atLeast"/>
        </w:trPr>
        <w:tc>
          <w:tcPr>
            <w:tcW w:w="5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类</w:t>
            </w:r>
          </w:p>
        </w:tc>
        <w:tc>
          <w:tcPr>
            <w:tcW w:w="98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款</w:t>
            </w:r>
          </w:p>
        </w:tc>
        <w:tc>
          <w:tcPr>
            <w:tcW w:w="98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项</w:t>
            </w:r>
          </w:p>
        </w:tc>
        <w:tc>
          <w:tcPr>
            <w:tcW w:w="3965"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栏次</w:t>
            </w:r>
          </w:p>
        </w:tc>
        <w:tc>
          <w:tcPr>
            <w:tcW w:w="1894"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w:t>
            </w:r>
          </w:p>
        </w:tc>
        <w:tc>
          <w:tcPr>
            <w:tcW w:w="1466"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w:t>
            </w:r>
          </w:p>
        </w:tc>
        <w:tc>
          <w:tcPr>
            <w:tcW w:w="986"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w:t>
            </w:r>
          </w:p>
        </w:tc>
        <w:tc>
          <w:tcPr>
            <w:tcW w:w="986"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4</w:t>
            </w:r>
          </w:p>
        </w:tc>
        <w:tc>
          <w:tcPr>
            <w:tcW w:w="986"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5</w:t>
            </w:r>
          </w:p>
        </w:tc>
        <w:tc>
          <w:tcPr>
            <w:tcW w:w="986"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6</w:t>
            </w:r>
          </w:p>
        </w:tc>
        <w:tc>
          <w:tcPr>
            <w:tcW w:w="993"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7</w:t>
            </w:r>
          </w:p>
        </w:tc>
      </w:tr>
      <w:tr>
        <w:tblPrEx>
          <w:tblLayout w:type="fixed"/>
          <w:tblCellMar>
            <w:top w:w="15" w:type="dxa"/>
            <w:left w:w="15" w:type="dxa"/>
            <w:bottom w:w="15" w:type="dxa"/>
            <w:right w:w="15" w:type="dxa"/>
          </w:tblCellMar>
        </w:tblPrEx>
        <w:trPr>
          <w:trHeight w:val="301" w:hRule="atLeast"/>
        </w:trPr>
        <w:tc>
          <w:tcPr>
            <w:tcW w:w="50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85"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85"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3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合计</w:t>
            </w:r>
          </w:p>
        </w:tc>
        <w:tc>
          <w:tcPr>
            <w:tcW w:w="18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1,736,627.20</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1,736,627.20</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47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205</w:t>
            </w:r>
          </w:p>
        </w:tc>
        <w:tc>
          <w:tcPr>
            <w:tcW w:w="3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教育支出</w:t>
            </w:r>
          </w:p>
        </w:tc>
        <w:tc>
          <w:tcPr>
            <w:tcW w:w="18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2,246.91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2,246.91</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47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20508</w:t>
            </w:r>
          </w:p>
        </w:tc>
        <w:tc>
          <w:tcPr>
            <w:tcW w:w="3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进修及培训</w:t>
            </w:r>
          </w:p>
        </w:tc>
        <w:tc>
          <w:tcPr>
            <w:tcW w:w="18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2,246.91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2,246.91</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47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2050803</w:t>
            </w:r>
          </w:p>
        </w:tc>
        <w:tc>
          <w:tcPr>
            <w:tcW w:w="3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培训支出</w:t>
            </w:r>
          </w:p>
        </w:tc>
        <w:tc>
          <w:tcPr>
            <w:tcW w:w="18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2,246.91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2,246.91</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47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208</w:t>
            </w:r>
          </w:p>
        </w:tc>
        <w:tc>
          <w:tcPr>
            <w:tcW w:w="3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社会保障和就业支出</w:t>
            </w:r>
          </w:p>
        </w:tc>
        <w:tc>
          <w:tcPr>
            <w:tcW w:w="18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1,542,746.29</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1,542,746.29</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47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20805</w:t>
            </w:r>
          </w:p>
        </w:tc>
        <w:tc>
          <w:tcPr>
            <w:tcW w:w="3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行政事业单位养老支出</w:t>
            </w:r>
          </w:p>
        </w:tc>
        <w:tc>
          <w:tcPr>
            <w:tcW w:w="18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135,619.20</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135,619.20</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47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2080505</w:t>
            </w:r>
          </w:p>
        </w:tc>
        <w:tc>
          <w:tcPr>
            <w:tcW w:w="3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机关事业单位基本养老保险缴费支出</w:t>
            </w:r>
          </w:p>
        </w:tc>
        <w:tc>
          <w:tcPr>
            <w:tcW w:w="18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90,412.80</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90,412.80</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47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2080506</w:t>
            </w:r>
          </w:p>
        </w:tc>
        <w:tc>
          <w:tcPr>
            <w:tcW w:w="3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机关事业单位职业年金缴费支出</w:t>
            </w:r>
          </w:p>
        </w:tc>
        <w:tc>
          <w:tcPr>
            <w:tcW w:w="18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45,206.40</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45,206.40</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47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20828</w:t>
            </w:r>
          </w:p>
        </w:tc>
        <w:tc>
          <w:tcPr>
            <w:tcW w:w="3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退役军人管理事务</w:t>
            </w:r>
          </w:p>
        </w:tc>
        <w:tc>
          <w:tcPr>
            <w:tcW w:w="18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1,407,127.09</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1,407,127.09</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47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2082850</w:t>
            </w:r>
          </w:p>
        </w:tc>
        <w:tc>
          <w:tcPr>
            <w:tcW w:w="3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事业运行</w:t>
            </w:r>
          </w:p>
        </w:tc>
        <w:tc>
          <w:tcPr>
            <w:tcW w:w="18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1,407,127.09</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1,407,127.09</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47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210</w:t>
            </w:r>
          </w:p>
        </w:tc>
        <w:tc>
          <w:tcPr>
            <w:tcW w:w="3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卫生健康支出</w:t>
            </w:r>
          </w:p>
        </w:tc>
        <w:tc>
          <w:tcPr>
            <w:tcW w:w="18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69,308.00</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69,308.00</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47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21011</w:t>
            </w:r>
          </w:p>
        </w:tc>
        <w:tc>
          <w:tcPr>
            <w:tcW w:w="3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行政事业单位医疗</w:t>
            </w:r>
          </w:p>
        </w:tc>
        <w:tc>
          <w:tcPr>
            <w:tcW w:w="18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69,308.00</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69,308.00</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47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2101102</w:t>
            </w:r>
          </w:p>
        </w:tc>
        <w:tc>
          <w:tcPr>
            <w:tcW w:w="3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事业单位医疗</w:t>
            </w:r>
          </w:p>
        </w:tc>
        <w:tc>
          <w:tcPr>
            <w:tcW w:w="18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48,031.80</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48,031.80</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47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2101199</w:t>
            </w:r>
          </w:p>
        </w:tc>
        <w:tc>
          <w:tcPr>
            <w:tcW w:w="3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其他行政事业单位医疗支出</w:t>
            </w:r>
          </w:p>
        </w:tc>
        <w:tc>
          <w:tcPr>
            <w:tcW w:w="18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21,276.20</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21,276.20</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47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221</w:t>
            </w:r>
          </w:p>
        </w:tc>
        <w:tc>
          <w:tcPr>
            <w:tcW w:w="3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住房保障支出</w:t>
            </w:r>
          </w:p>
        </w:tc>
        <w:tc>
          <w:tcPr>
            <w:tcW w:w="18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122,326.00</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122,326.00</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47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22102</w:t>
            </w:r>
          </w:p>
        </w:tc>
        <w:tc>
          <w:tcPr>
            <w:tcW w:w="3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住房改革支出</w:t>
            </w:r>
          </w:p>
        </w:tc>
        <w:tc>
          <w:tcPr>
            <w:tcW w:w="18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122,326.00</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122,326.00</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247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2210201</w:t>
            </w:r>
          </w:p>
        </w:tc>
        <w:tc>
          <w:tcPr>
            <w:tcW w:w="39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住房公积金</w:t>
            </w:r>
          </w:p>
        </w:tc>
        <w:tc>
          <w:tcPr>
            <w:tcW w:w="18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122,326.00</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122,326.00</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4740"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注：1.本表依据《收入决算表》（财决03表）进行批复。</w:t>
            </w:r>
          </w:p>
        </w:tc>
      </w:tr>
      <w:tr>
        <w:tblPrEx>
          <w:tblLayout w:type="fixed"/>
          <w:tblCellMar>
            <w:top w:w="15" w:type="dxa"/>
            <w:left w:w="15" w:type="dxa"/>
            <w:bottom w:w="15" w:type="dxa"/>
            <w:right w:w="15" w:type="dxa"/>
          </w:tblCellMar>
        </w:tblPrEx>
        <w:trPr>
          <w:trHeight w:val="301" w:hRule="atLeast"/>
        </w:trPr>
        <w:tc>
          <w:tcPr>
            <w:tcW w:w="14740"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2.本表含一般公共预算财政拨款、政府性基金预算财政拨款和国有资本经营预算财政拨款。</w:t>
            </w:r>
          </w:p>
        </w:tc>
      </w:tr>
      <w:tr>
        <w:tblPrEx>
          <w:tblLayout w:type="fixed"/>
          <w:tblCellMar>
            <w:top w:w="15" w:type="dxa"/>
            <w:left w:w="15" w:type="dxa"/>
            <w:bottom w:w="15" w:type="dxa"/>
            <w:right w:w="15" w:type="dxa"/>
          </w:tblCellMar>
        </w:tblPrEx>
        <w:trPr>
          <w:trHeight w:val="301" w:hRule="atLeast"/>
        </w:trPr>
        <w:tc>
          <w:tcPr>
            <w:tcW w:w="14740"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3.本表批复到项级科目。</w:t>
            </w:r>
          </w:p>
        </w:tc>
      </w:tr>
      <w:tr>
        <w:tblPrEx>
          <w:tblLayout w:type="fixed"/>
          <w:tblCellMar>
            <w:top w:w="15" w:type="dxa"/>
            <w:left w:w="15" w:type="dxa"/>
            <w:bottom w:w="15" w:type="dxa"/>
            <w:right w:w="15" w:type="dxa"/>
          </w:tblCellMar>
        </w:tblPrEx>
        <w:trPr>
          <w:trHeight w:val="301" w:hRule="atLeast"/>
        </w:trPr>
        <w:tc>
          <w:tcPr>
            <w:tcW w:w="14740"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4.本表以“万元”为金额单位（保留两位小数）。</w:t>
            </w:r>
          </w:p>
        </w:tc>
      </w:tr>
      <w:tr>
        <w:tblPrEx>
          <w:tblLayout w:type="fixed"/>
          <w:tblCellMar>
            <w:top w:w="15" w:type="dxa"/>
            <w:left w:w="15" w:type="dxa"/>
            <w:bottom w:w="15" w:type="dxa"/>
            <w:right w:w="15" w:type="dxa"/>
          </w:tblCellMar>
        </w:tblPrEx>
        <w:trPr>
          <w:trHeight w:val="301" w:hRule="atLeast"/>
        </w:trPr>
        <w:tc>
          <w:tcPr>
            <w:tcW w:w="14740"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5.本套报表金额单位转换时可能存在尾数误差。</w:t>
            </w:r>
          </w:p>
        </w:tc>
      </w:tr>
    </w:tbl>
    <w:p>
      <w:pPr>
        <w:rPr>
          <w:rFonts w:hint="eastAsia" w:ascii="黑体" w:hAnsi="宋体" w:eastAsia="黑体" w:cs="黑体"/>
          <w:i w:val="0"/>
          <w:color w:val="000000"/>
          <w:kern w:val="0"/>
          <w:sz w:val="32"/>
          <w:szCs w:val="32"/>
        </w:rPr>
        <w:sectPr>
          <w:pgSz w:w="16851" w:h="11915" w:orient="landscape"/>
          <w:pgMar w:top="1800" w:right="1440" w:bottom="1800" w:left="1440" w:header="851" w:footer="992" w:gutter="0"/>
          <w:cols w:space="0" w:num="1"/>
          <w:docGrid w:type="lines" w:linePitch="312" w:charSpace="0"/>
        </w:sectPr>
      </w:pPr>
    </w:p>
    <w:tbl>
      <w:tblPr>
        <w:tblStyle w:val="12"/>
        <w:tblW w:w="14740" w:type="dxa"/>
        <w:tblInd w:w="186" w:type="dxa"/>
        <w:shd w:val="clear" w:color="auto" w:fill="auto"/>
        <w:tblLayout w:type="fixed"/>
        <w:tblCellMar>
          <w:top w:w="15" w:type="dxa"/>
          <w:left w:w="15" w:type="dxa"/>
          <w:bottom w:w="15" w:type="dxa"/>
          <w:right w:w="15" w:type="dxa"/>
        </w:tblCellMar>
      </w:tblPr>
      <w:tblGrid>
        <w:gridCol w:w="546"/>
        <w:gridCol w:w="1055"/>
        <w:gridCol w:w="1054"/>
        <w:gridCol w:w="4241"/>
        <w:gridCol w:w="2034"/>
        <w:gridCol w:w="1576"/>
        <w:gridCol w:w="1056"/>
        <w:gridCol w:w="1055"/>
        <w:gridCol w:w="1056"/>
        <w:gridCol w:w="1067"/>
      </w:tblGrid>
      <w:tr>
        <w:tblPrEx>
          <w:shd w:val="clear" w:color="auto" w:fill="auto"/>
          <w:tblLayout w:type="fixed"/>
          <w:tblCellMar>
            <w:top w:w="15" w:type="dxa"/>
            <w:left w:w="15" w:type="dxa"/>
            <w:bottom w:w="15" w:type="dxa"/>
            <w:right w:w="15" w:type="dxa"/>
          </w:tblCellMar>
        </w:tblPrEx>
        <w:trPr>
          <w:trHeight w:val="375" w:hRule="atLeast"/>
        </w:trPr>
        <w:tc>
          <w:tcPr>
            <w:tcW w:w="14740" w:type="dxa"/>
            <w:gridSpan w:val="10"/>
            <w:tcBorders>
              <w:top w:val="nil"/>
              <w:left w:val="nil"/>
              <w:bottom w:val="nil"/>
              <w:right w:val="nil"/>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24"/>
                <w:szCs w:val="24"/>
              </w:rPr>
            </w:pPr>
            <w:r>
              <w:rPr>
                <w:rFonts w:hint="eastAsia" w:ascii="黑体" w:hAnsi="宋体" w:eastAsia="黑体" w:cs="黑体"/>
                <w:i w:val="0"/>
                <w:color w:val="000000"/>
                <w:kern w:val="0"/>
                <w:sz w:val="32"/>
                <w:szCs w:val="32"/>
              </w:rPr>
              <w:t>支出决算表</w:t>
            </w:r>
          </w:p>
        </w:tc>
      </w:tr>
      <w:tr>
        <w:tblPrEx>
          <w:tblLayout w:type="fixed"/>
          <w:tblCellMar>
            <w:top w:w="15" w:type="dxa"/>
            <w:left w:w="15" w:type="dxa"/>
            <w:bottom w:w="15" w:type="dxa"/>
            <w:right w:w="15" w:type="dxa"/>
          </w:tblCellMar>
        </w:tblPrEx>
        <w:trPr>
          <w:trHeight w:val="301" w:hRule="atLeast"/>
        </w:trPr>
        <w:tc>
          <w:tcPr>
            <w:tcW w:w="546"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4"/>
                <w:szCs w:val="24"/>
              </w:rPr>
            </w:pPr>
          </w:p>
        </w:tc>
        <w:tc>
          <w:tcPr>
            <w:tcW w:w="105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4"/>
                <w:szCs w:val="24"/>
              </w:rPr>
            </w:pPr>
          </w:p>
        </w:tc>
        <w:tc>
          <w:tcPr>
            <w:tcW w:w="1054"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4"/>
                <w:szCs w:val="24"/>
              </w:rPr>
            </w:pPr>
          </w:p>
        </w:tc>
        <w:tc>
          <w:tcPr>
            <w:tcW w:w="4241"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4"/>
                <w:szCs w:val="24"/>
              </w:rPr>
            </w:pPr>
          </w:p>
        </w:tc>
        <w:tc>
          <w:tcPr>
            <w:tcW w:w="2034"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4"/>
                <w:szCs w:val="24"/>
              </w:rPr>
            </w:pPr>
          </w:p>
        </w:tc>
        <w:tc>
          <w:tcPr>
            <w:tcW w:w="1576"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4"/>
                <w:szCs w:val="24"/>
              </w:rPr>
            </w:pPr>
          </w:p>
        </w:tc>
        <w:tc>
          <w:tcPr>
            <w:tcW w:w="1056"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4"/>
                <w:szCs w:val="24"/>
              </w:rPr>
            </w:pPr>
          </w:p>
        </w:tc>
        <w:tc>
          <w:tcPr>
            <w:tcW w:w="105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4"/>
                <w:szCs w:val="24"/>
              </w:rPr>
            </w:pPr>
          </w:p>
        </w:tc>
        <w:tc>
          <w:tcPr>
            <w:tcW w:w="2123"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cs="宋体"/>
                <w:i w:val="0"/>
                <w:color w:val="000000"/>
                <w:kern w:val="0"/>
                <w:sz w:val="24"/>
                <w:szCs w:val="24"/>
                <w:lang w:eastAsia="zh-CN"/>
              </w:rPr>
              <w:t>公开</w:t>
            </w:r>
            <w:r>
              <w:rPr>
                <w:rFonts w:hint="eastAsia" w:ascii="宋体" w:hAnsi="宋体" w:eastAsia="宋体" w:cs="宋体"/>
                <w:i w:val="0"/>
                <w:color w:val="000000"/>
                <w:kern w:val="0"/>
                <w:sz w:val="24"/>
                <w:szCs w:val="24"/>
              </w:rPr>
              <w:t>03表</w:t>
            </w:r>
          </w:p>
        </w:tc>
      </w:tr>
      <w:tr>
        <w:tblPrEx>
          <w:tblLayout w:type="fixed"/>
          <w:tblCellMar>
            <w:top w:w="15" w:type="dxa"/>
            <w:left w:w="15" w:type="dxa"/>
            <w:bottom w:w="15" w:type="dxa"/>
            <w:right w:w="15" w:type="dxa"/>
          </w:tblCellMar>
        </w:tblPrEx>
        <w:trPr>
          <w:trHeight w:val="301" w:hRule="atLeast"/>
        </w:trPr>
        <w:tc>
          <w:tcPr>
            <w:tcW w:w="6896" w:type="dxa"/>
            <w:gridSpan w:val="4"/>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部门：重庆市荣昌区退役军人服务中心</w:t>
            </w:r>
          </w:p>
        </w:tc>
        <w:tc>
          <w:tcPr>
            <w:tcW w:w="2034"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2022年度</w:t>
            </w:r>
          </w:p>
        </w:tc>
        <w:tc>
          <w:tcPr>
            <w:tcW w:w="1576" w:type="dxa"/>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4"/>
                <w:szCs w:val="24"/>
              </w:rPr>
            </w:pPr>
          </w:p>
        </w:tc>
        <w:tc>
          <w:tcPr>
            <w:tcW w:w="1056" w:type="dxa"/>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4"/>
                <w:szCs w:val="24"/>
              </w:rPr>
            </w:pPr>
          </w:p>
        </w:tc>
        <w:tc>
          <w:tcPr>
            <w:tcW w:w="1055" w:type="dxa"/>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4"/>
                <w:szCs w:val="24"/>
              </w:rPr>
            </w:pPr>
          </w:p>
        </w:tc>
        <w:tc>
          <w:tcPr>
            <w:tcW w:w="2123" w:type="dxa"/>
            <w:gridSpan w:val="2"/>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金额单位：元</w:t>
            </w:r>
          </w:p>
        </w:tc>
      </w:tr>
      <w:tr>
        <w:tblPrEx>
          <w:tblLayout w:type="fixed"/>
          <w:tblCellMar>
            <w:top w:w="15" w:type="dxa"/>
            <w:left w:w="15" w:type="dxa"/>
            <w:bottom w:w="15" w:type="dxa"/>
            <w:right w:w="15" w:type="dxa"/>
          </w:tblCellMar>
        </w:tblPrEx>
        <w:trPr>
          <w:trHeight w:val="300" w:hRule="atLeast"/>
        </w:trPr>
        <w:tc>
          <w:tcPr>
            <w:tcW w:w="2655" w:type="dxa"/>
            <w:gridSpan w:val="3"/>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科目代码</w:t>
            </w:r>
          </w:p>
        </w:tc>
        <w:tc>
          <w:tcPr>
            <w:tcW w:w="4241"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科目名称</w:t>
            </w:r>
          </w:p>
        </w:tc>
        <w:tc>
          <w:tcPr>
            <w:tcW w:w="203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本年支出合计</w:t>
            </w:r>
          </w:p>
        </w:tc>
        <w:tc>
          <w:tcPr>
            <w:tcW w:w="1576"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基本支出</w:t>
            </w:r>
          </w:p>
        </w:tc>
        <w:tc>
          <w:tcPr>
            <w:tcW w:w="1056"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项目支出</w:t>
            </w:r>
          </w:p>
        </w:tc>
        <w:tc>
          <w:tcPr>
            <w:tcW w:w="1055"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上缴上级支出</w:t>
            </w:r>
          </w:p>
        </w:tc>
        <w:tc>
          <w:tcPr>
            <w:tcW w:w="1056"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经营支出</w:t>
            </w:r>
          </w:p>
        </w:tc>
        <w:tc>
          <w:tcPr>
            <w:tcW w:w="1067"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对附属单位补助支出</w:t>
            </w:r>
          </w:p>
        </w:tc>
      </w:tr>
      <w:tr>
        <w:tblPrEx>
          <w:tblLayout w:type="fixed"/>
          <w:tblCellMar>
            <w:top w:w="15" w:type="dxa"/>
            <w:left w:w="15" w:type="dxa"/>
            <w:bottom w:w="15" w:type="dxa"/>
            <w:right w:w="15" w:type="dxa"/>
          </w:tblCellMar>
        </w:tblPrEx>
        <w:trPr>
          <w:trHeight w:val="300" w:hRule="atLeast"/>
        </w:trPr>
        <w:tc>
          <w:tcPr>
            <w:tcW w:w="2655" w:type="dxa"/>
            <w:gridSpan w:val="3"/>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241"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2034"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576"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056"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055"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056"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067"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r>
      <w:tr>
        <w:tblPrEx>
          <w:tblLayout w:type="fixed"/>
          <w:tblCellMar>
            <w:top w:w="15" w:type="dxa"/>
            <w:left w:w="15" w:type="dxa"/>
            <w:bottom w:w="15" w:type="dxa"/>
            <w:right w:w="15" w:type="dxa"/>
          </w:tblCellMar>
        </w:tblPrEx>
        <w:trPr>
          <w:trHeight w:val="300" w:hRule="atLeast"/>
        </w:trPr>
        <w:tc>
          <w:tcPr>
            <w:tcW w:w="2655" w:type="dxa"/>
            <w:gridSpan w:val="3"/>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241"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2034"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576"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056"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055"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056"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067"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r>
      <w:tr>
        <w:tblPrEx>
          <w:tblLayout w:type="fixed"/>
          <w:tblCellMar>
            <w:top w:w="15" w:type="dxa"/>
            <w:left w:w="15" w:type="dxa"/>
            <w:bottom w:w="15" w:type="dxa"/>
            <w:right w:w="15" w:type="dxa"/>
          </w:tblCellMar>
        </w:tblPrEx>
        <w:trPr>
          <w:trHeight w:val="300" w:hRule="atLeast"/>
        </w:trPr>
        <w:tc>
          <w:tcPr>
            <w:tcW w:w="2655" w:type="dxa"/>
            <w:gridSpan w:val="3"/>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241"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2034"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576"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056"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055"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056"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067"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r>
      <w:tr>
        <w:tblPrEx>
          <w:tblLayout w:type="fixed"/>
          <w:tblCellMar>
            <w:top w:w="15" w:type="dxa"/>
            <w:left w:w="15" w:type="dxa"/>
            <w:bottom w:w="15" w:type="dxa"/>
            <w:right w:w="15" w:type="dxa"/>
          </w:tblCellMar>
        </w:tblPrEx>
        <w:trPr>
          <w:trHeight w:val="301" w:hRule="atLeast"/>
        </w:trPr>
        <w:tc>
          <w:tcPr>
            <w:tcW w:w="54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类</w:t>
            </w:r>
          </w:p>
        </w:tc>
        <w:tc>
          <w:tcPr>
            <w:tcW w:w="105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款</w:t>
            </w:r>
          </w:p>
        </w:tc>
        <w:tc>
          <w:tcPr>
            <w:tcW w:w="105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项</w:t>
            </w:r>
          </w:p>
        </w:tc>
        <w:tc>
          <w:tcPr>
            <w:tcW w:w="4241"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栏次</w:t>
            </w:r>
          </w:p>
        </w:tc>
        <w:tc>
          <w:tcPr>
            <w:tcW w:w="2034"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1</w:t>
            </w:r>
          </w:p>
        </w:tc>
        <w:tc>
          <w:tcPr>
            <w:tcW w:w="1576"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2</w:t>
            </w:r>
          </w:p>
        </w:tc>
        <w:tc>
          <w:tcPr>
            <w:tcW w:w="1056"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3</w:t>
            </w:r>
          </w:p>
        </w:tc>
        <w:tc>
          <w:tcPr>
            <w:tcW w:w="1055"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4</w:t>
            </w:r>
          </w:p>
        </w:tc>
        <w:tc>
          <w:tcPr>
            <w:tcW w:w="1056"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5</w:t>
            </w:r>
          </w:p>
        </w:tc>
        <w:tc>
          <w:tcPr>
            <w:tcW w:w="1067"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6</w:t>
            </w:r>
          </w:p>
        </w:tc>
      </w:tr>
      <w:tr>
        <w:tblPrEx>
          <w:tblLayout w:type="fixed"/>
          <w:tblCellMar>
            <w:top w:w="15" w:type="dxa"/>
            <w:left w:w="15" w:type="dxa"/>
            <w:bottom w:w="15" w:type="dxa"/>
            <w:right w:w="15" w:type="dxa"/>
          </w:tblCellMar>
        </w:tblPrEx>
        <w:trPr>
          <w:trHeight w:val="301" w:hRule="atLeast"/>
        </w:trPr>
        <w:tc>
          <w:tcPr>
            <w:tcW w:w="54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055"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054"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2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合计</w:t>
            </w:r>
          </w:p>
        </w:tc>
        <w:tc>
          <w:tcPr>
            <w:tcW w:w="2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rPr>
              <w:t>1,736,627.20</w:t>
            </w:r>
          </w:p>
        </w:tc>
        <w:tc>
          <w:tcPr>
            <w:tcW w:w="15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rPr>
              <w:t>1,736,627.20</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c>
          <w:tcPr>
            <w:tcW w:w="10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c>
          <w:tcPr>
            <w:tcW w:w="10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r>
      <w:tr>
        <w:tblPrEx>
          <w:tblLayout w:type="fixed"/>
          <w:tblCellMar>
            <w:top w:w="15" w:type="dxa"/>
            <w:left w:w="15" w:type="dxa"/>
            <w:bottom w:w="15" w:type="dxa"/>
            <w:right w:w="15" w:type="dxa"/>
          </w:tblCellMar>
        </w:tblPrEx>
        <w:trPr>
          <w:trHeight w:val="301" w:hRule="atLeast"/>
        </w:trPr>
        <w:tc>
          <w:tcPr>
            <w:tcW w:w="265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rPr>
              <w:t>205</w:t>
            </w:r>
          </w:p>
        </w:tc>
        <w:tc>
          <w:tcPr>
            <w:tcW w:w="42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rPr>
              <w:t>教育支出</w:t>
            </w:r>
          </w:p>
        </w:tc>
        <w:tc>
          <w:tcPr>
            <w:tcW w:w="2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rPr>
              <w:t>2,246.91</w:t>
            </w:r>
          </w:p>
        </w:tc>
        <w:tc>
          <w:tcPr>
            <w:tcW w:w="15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rPr>
              <w:t>2,246.91</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c>
          <w:tcPr>
            <w:tcW w:w="10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c>
          <w:tcPr>
            <w:tcW w:w="10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r>
      <w:tr>
        <w:tblPrEx>
          <w:tblLayout w:type="fixed"/>
          <w:tblCellMar>
            <w:top w:w="15" w:type="dxa"/>
            <w:left w:w="15" w:type="dxa"/>
            <w:bottom w:w="15" w:type="dxa"/>
            <w:right w:w="15" w:type="dxa"/>
          </w:tblCellMar>
        </w:tblPrEx>
        <w:trPr>
          <w:trHeight w:val="301" w:hRule="atLeast"/>
        </w:trPr>
        <w:tc>
          <w:tcPr>
            <w:tcW w:w="265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rPr>
              <w:t>20508</w:t>
            </w:r>
          </w:p>
        </w:tc>
        <w:tc>
          <w:tcPr>
            <w:tcW w:w="42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rPr>
              <w:t>进修及培训</w:t>
            </w:r>
          </w:p>
        </w:tc>
        <w:tc>
          <w:tcPr>
            <w:tcW w:w="2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rPr>
              <w:t>2,246.91</w:t>
            </w:r>
          </w:p>
        </w:tc>
        <w:tc>
          <w:tcPr>
            <w:tcW w:w="15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rPr>
              <w:t>2,246.91</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c>
          <w:tcPr>
            <w:tcW w:w="10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c>
          <w:tcPr>
            <w:tcW w:w="10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r>
      <w:tr>
        <w:tblPrEx>
          <w:tblLayout w:type="fixed"/>
          <w:tblCellMar>
            <w:top w:w="15" w:type="dxa"/>
            <w:left w:w="15" w:type="dxa"/>
            <w:bottom w:w="15" w:type="dxa"/>
            <w:right w:w="15" w:type="dxa"/>
          </w:tblCellMar>
        </w:tblPrEx>
        <w:trPr>
          <w:trHeight w:val="301" w:hRule="atLeast"/>
        </w:trPr>
        <w:tc>
          <w:tcPr>
            <w:tcW w:w="265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2050803</w:t>
            </w:r>
          </w:p>
        </w:tc>
        <w:tc>
          <w:tcPr>
            <w:tcW w:w="42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 xml:space="preserve">  培训支出</w:t>
            </w:r>
          </w:p>
        </w:tc>
        <w:tc>
          <w:tcPr>
            <w:tcW w:w="2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2,246.91</w:t>
            </w:r>
          </w:p>
        </w:tc>
        <w:tc>
          <w:tcPr>
            <w:tcW w:w="15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2,246.91</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4"/>
                <w:szCs w:val="24"/>
              </w:rPr>
            </w:pPr>
          </w:p>
        </w:tc>
        <w:tc>
          <w:tcPr>
            <w:tcW w:w="10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4"/>
                <w:szCs w:val="24"/>
              </w:rPr>
            </w:pP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4"/>
                <w:szCs w:val="24"/>
              </w:rPr>
            </w:pPr>
          </w:p>
        </w:tc>
        <w:tc>
          <w:tcPr>
            <w:tcW w:w="10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4"/>
                <w:szCs w:val="24"/>
              </w:rPr>
            </w:pPr>
          </w:p>
        </w:tc>
      </w:tr>
      <w:tr>
        <w:tblPrEx>
          <w:tblLayout w:type="fixed"/>
          <w:tblCellMar>
            <w:top w:w="15" w:type="dxa"/>
            <w:left w:w="15" w:type="dxa"/>
            <w:bottom w:w="15" w:type="dxa"/>
            <w:right w:w="15" w:type="dxa"/>
          </w:tblCellMar>
        </w:tblPrEx>
        <w:trPr>
          <w:trHeight w:val="301" w:hRule="atLeast"/>
        </w:trPr>
        <w:tc>
          <w:tcPr>
            <w:tcW w:w="265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rPr>
              <w:t>208</w:t>
            </w:r>
          </w:p>
        </w:tc>
        <w:tc>
          <w:tcPr>
            <w:tcW w:w="42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rPr>
              <w:t>社会保障和就业支出</w:t>
            </w:r>
          </w:p>
        </w:tc>
        <w:tc>
          <w:tcPr>
            <w:tcW w:w="2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rPr>
              <w:t>1,542,746.29</w:t>
            </w:r>
          </w:p>
        </w:tc>
        <w:tc>
          <w:tcPr>
            <w:tcW w:w="15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rPr>
              <w:t>1,542,746.29</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c>
          <w:tcPr>
            <w:tcW w:w="10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c>
          <w:tcPr>
            <w:tcW w:w="10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r>
      <w:tr>
        <w:tblPrEx>
          <w:tblLayout w:type="fixed"/>
          <w:tblCellMar>
            <w:top w:w="15" w:type="dxa"/>
            <w:left w:w="15" w:type="dxa"/>
            <w:bottom w:w="15" w:type="dxa"/>
            <w:right w:w="15" w:type="dxa"/>
          </w:tblCellMar>
        </w:tblPrEx>
        <w:trPr>
          <w:trHeight w:val="301" w:hRule="atLeast"/>
        </w:trPr>
        <w:tc>
          <w:tcPr>
            <w:tcW w:w="265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rPr>
              <w:t>20805</w:t>
            </w:r>
          </w:p>
        </w:tc>
        <w:tc>
          <w:tcPr>
            <w:tcW w:w="42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rPr>
              <w:t>行政事业单位养老支出</w:t>
            </w:r>
          </w:p>
        </w:tc>
        <w:tc>
          <w:tcPr>
            <w:tcW w:w="2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rPr>
              <w:t>135,619.20</w:t>
            </w:r>
          </w:p>
        </w:tc>
        <w:tc>
          <w:tcPr>
            <w:tcW w:w="15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rPr>
              <w:t>135,619.20</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c>
          <w:tcPr>
            <w:tcW w:w="10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c>
          <w:tcPr>
            <w:tcW w:w="10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r>
      <w:tr>
        <w:tblPrEx>
          <w:tblLayout w:type="fixed"/>
          <w:tblCellMar>
            <w:top w:w="15" w:type="dxa"/>
            <w:left w:w="15" w:type="dxa"/>
            <w:bottom w:w="15" w:type="dxa"/>
            <w:right w:w="15" w:type="dxa"/>
          </w:tblCellMar>
        </w:tblPrEx>
        <w:trPr>
          <w:trHeight w:val="301" w:hRule="atLeast"/>
        </w:trPr>
        <w:tc>
          <w:tcPr>
            <w:tcW w:w="265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2080505</w:t>
            </w:r>
          </w:p>
        </w:tc>
        <w:tc>
          <w:tcPr>
            <w:tcW w:w="42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 xml:space="preserve">  机关事业单位基本养老保险缴费支出</w:t>
            </w:r>
          </w:p>
        </w:tc>
        <w:tc>
          <w:tcPr>
            <w:tcW w:w="2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90,412.80</w:t>
            </w:r>
          </w:p>
        </w:tc>
        <w:tc>
          <w:tcPr>
            <w:tcW w:w="15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90,412.80</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4"/>
                <w:szCs w:val="24"/>
              </w:rPr>
            </w:pPr>
          </w:p>
        </w:tc>
        <w:tc>
          <w:tcPr>
            <w:tcW w:w="10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4"/>
                <w:szCs w:val="24"/>
              </w:rPr>
            </w:pP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4"/>
                <w:szCs w:val="24"/>
              </w:rPr>
            </w:pPr>
          </w:p>
        </w:tc>
        <w:tc>
          <w:tcPr>
            <w:tcW w:w="10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4"/>
                <w:szCs w:val="24"/>
              </w:rPr>
            </w:pPr>
          </w:p>
        </w:tc>
      </w:tr>
      <w:tr>
        <w:tblPrEx>
          <w:tblLayout w:type="fixed"/>
          <w:tblCellMar>
            <w:top w:w="15" w:type="dxa"/>
            <w:left w:w="15" w:type="dxa"/>
            <w:bottom w:w="15" w:type="dxa"/>
            <w:right w:w="15" w:type="dxa"/>
          </w:tblCellMar>
        </w:tblPrEx>
        <w:trPr>
          <w:trHeight w:val="301" w:hRule="atLeast"/>
        </w:trPr>
        <w:tc>
          <w:tcPr>
            <w:tcW w:w="265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2080506</w:t>
            </w:r>
          </w:p>
        </w:tc>
        <w:tc>
          <w:tcPr>
            <w:tcW w:w="42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 xml:space="preserve">  机关事业单位职业年金缴费支出</w:t>
            </w:r>
          </w:p>
        </w:tc>
        <w:tc>
          <w:tcPr>
            <w:tcW w:w="2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45,206.40</w:t>
            </w:r>
          </w:p>
        </w:tc>
        <w:tc>
          <w:tcPr>
            <w:tcW w:w="15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45,206.40</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4"/>
                <w:szCs w:val="24"/>
              </w:rPr>
            </w:pPr>
          </w:p>
        </w:tc>
        <w:tc>
          <w:tcPr>
            <w:tcW w:w="10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4"/>
                <w:szCs w:val="24"/>
              </w:rPr>
            </w:pP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4"/>
                <w:szCs w:val="24"/>
              </w:rPr>
            </w:pPr>
          </w:p>
        </w:tc>
        <w:tc>
          <w:tcPr>
            <w:tcW w:w="10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4"/>
                <w:szCs w:val="24"/>
              </w:rPr>
            </w:pPr>
          </w:p>
        </w:tc>
      </w:tr>
      <w:tr>
        <w:tblPrEx>
          <w:tblLayout w:type="fixed"/>
          <w:tblCellMar>
            <w:top w:w="15" w:type="dxa"/>
            <w:left w:w="15" w:type="dxa"/>
            <w:bottom w:w="15" w:type="dxa"/>
            <w:right w:w="15" w:type="dxa"/>
          </w:tblCellMar>
        </w:tblPrEx>
        <w:trPr>
          <w:trHeight w:val="301" w:hRule="atLeast"/>
        </w:trPr>
        <w:tc>
          <w:tcPr>
            <w:tcW w:w="265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rPr>
              <w:t>20828</w:t>
            </w:r>
          </w:p>
        </w:tc>
        <w:tc>
          <w:tcPr>
            <w:tcW w:w="42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rPr>
              <w:t>退役军人管理事务</w:t>
            </w:r>
          </w:p>
        </w:tc>
        <w:tc>
          <w:tcPr>
            <w:tcW w:w="2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rPr>
              <w:t>1,407,127.09</w:t>
            </w:r>
          </w:p>
        </w:tc>
        <w:tc>
          <w:tcPr>
            <w:tcW w:w="15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rPr>
              <w:t>1,407,127.09</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c>
          <w:tcPr>
            <w:tcW w:w="10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c>
          <w:tcPr>
            <w:tcW w:w="10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r>
      <w:tr>
        <w:tblPrEx>
          <w:tblLayout w:type="fixed"/>
          <w:tblCellMar>
            <w:top w:w="15" w:type="dxa"/>
            <w:left w:w="15" w:type="dxa"/>
            <w:bottom w:w="15" w:type="dxa"/>
            <w:right w:w="15" w:type="dxa"/>
          </w:tblCellMar>
        </w:tblPrEx>
        <w:trPr>
          <w:trHeight w:val="301" w:hRule="atLeast"/>
        </w:trPr>
        <w:tc>
          <w:tcPr>
            <w:tcW w:w="265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2082850</w:t>
            </w:r>
          </w:p>
        </w:tc>
        <w:tc>
          <w:tcPr>
            <w:tcW w:w="42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 xml:space="preserve">  事业运行</w:t>
            </w:r>
          </w:p>
        </w:tc>
        <w:tc>
          <w:tcPr>
            <w:tcW w:w="2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1,407,127.09</w:t>
            </w:r>
          </w:p>
        </w:tc>
        <w:tc>
          <w:tcPr>
            <w:tcW w:w="15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1,407,127.09</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4"/>
                <w:szCs w:val="24"/>
              </w:rPr>
            </w:pPr>
          </w:p>
        </w:tc>
        <w:tc>
          <w:tcPr>
            <w:tcW w:w="10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4"/>
                <w:szCs w:val="24"/>
              </w:rPr>
            </w:pP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4"/>
                <w:szCs w:val="24"/>
              </w:rPr>
            </w:pPr>
          </w:p>
        </w:tc>
        <w:tc>
          <w:tcPr>
            <w:tcW w:w="10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4"/>
                <w:szCs w:val="24"/>
              </w:rPr>
            </w:pPr>
          </w:p>
        </w:tc>
      </w:tr>
      <w:tr>
        <w:tblPrEx>
          <w:tblLayout w:type="fixed"/>
          <w:tblCellMar>
            <w:top w:w="15" w:type="dxa"/>
            <w:left w:w="15" w:type="dxa"/>
            <w:bottom w:w="15" w:type="dxa"/>
            <w:right w:w="15" w:type="dxa"/>
          </w:tblCellMar>
        </w:tblPrEx>
        <w:trPr>
          <w:trHeight w:val="301" w:hRule="atLeast"/>
        </w:trPr>
        <w:tc>
          <w:tcPr>
            <w:tcW w:w="265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rPr>
              <w:t>210</w:t>
            </w:r>
          </w:p>
        </w:tc>
        <w:tc>
          <w:tcPr>
            <w:tcW w:w="42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rPr>
              <w:t>卫生健康支出</w:t>
            </w:r>
          </w:p>
        </w:tc>
        <w:tc>
          <w:tcPr>
            <w:tcW w:w="2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rPr>
              <w:t>69,308.00</w:t>
            </w:r>
          </w:p>
        </w:tc>
        <w:tc>
          <w:tcPr>
            <w:tcW w:w="15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rPr>
              <w:t>69,308.00</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c>
          <w:tcPr>
            <w:tcW w:w="10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c>
          <w:tcPr>
            <w:tcW w:w="10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r>
      <w:tr>
        <w:tblPrEx>
          <w:tblLayout w:type="fixed"/>
          <w:tblCellMar>
            <w:top w:w="15" w:type="dxa"/>
            <w:left w:w="15" w:type="dxa"/>
            <w:bottom w:w="15" w:type="dxa"/>
            <w:right w:w="15" w:type="dxa"/>
          </w:tblCellMar>
        </w:tblPrEx>
        <w:trPr>
          <w:trHeight w:val="301" w:hRule="atLeast"/>
        </w:trPr>
        <w:tc>
          <w:tcPr>
            <w:tcW w:w="265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rPr>
              <w:t>21011</w:t>
            </w:r>
          </w:p>
        </w:tc>
        <w:tc>
          <w:tcPr>
            <w:tcW w:w="42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rPr>
              <w:t>行政事业单位医疗</w:t>
            </w:r>
          </w:p>
        </w:tc>
        <w:tc>
          <w:tcPr>
            <w:tcW w:w="2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rPr>
              <w:t>69,308.00</w:t>
            </w:r>
          </w:p>
        </w:tc>
        <w:tc>
          <w:tcPr>
            <w:tcW w:w="15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rPr>
              <w:t>69,308.00</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c>
          <w:tcPr>
            <w:tcW w:w="10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c>
          <w:tcPr>
            <w:tcW w:w="10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r>
      <w:tr>
        <w:tblPrEx>
          <w:tblLayout w:type="fixed"/>
          <w:tblCellMar>
            <w:top w:w="15" w:type="dxa"/>
            <w:left w:w="15" w:type="dxa"/>
            <w:bottom w:w="15" w:type="dxa"/>
            <w:right w:w="15" w:type="dxa"/>
          </w:tblCellMar>
        </w:tblPrEx>
        <w:trPr>
          <w:trHeight w:val="301" w:hRule="atLeast"/>
        </w:trPr>
        <w:tc>
          <w:tcPr>
            <w:tcW w:w="265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2101102</w:t>
            </w:r>
          </w:p>
        </w:tc>
        <w:tc>
          <w:tcPr>
            <w:tcW w:w="42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 xml:space="preserve">  事业单位医疗</w:t>
            </w:r>
          </w:p>
        </w:tc>
        <w:tc>
          <w:tcPr>
            <w:tcW w:w="2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48,031.80</w:t>
            </w:r>
          </w:p>
        </w:tc>
        <w:tc>
          <w:tcPr>
            <w:tcW w:w="15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48,031.80</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4"/>
                <w:szCs w:val="24"/>
              </w:rPr>
            </w:pPr>
          </w:p>
        </w:tc>
        <w:tc>
          <w:tcPr>
            <w:tcW w:w="10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4"/>
                <w:szCs w:val="24"/>
              </w:rPr>
            </w:pP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4"/>
                <w:szCs w:val="24"/>
              </w:rPr>
            </w:pPr>
          </w:p>
        </w:tc>
        <w:tc>
          <w:tcPr>
            <w:tcW w:w="10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4"/>
                <w:szCs w:val="24"/>
              </w:rPr>
            </w:pPr>
          </w:p>
        </w:tc>
      </w:tr>
      <w:tr>
        <w:tblPrEx>
          <w:tblLayout w:type="fixed"/>
          <w:tblCellMar>
            <w:top w:w="15" w:type="dxa"/>
            <w:left w:w="15" w:type="dxa"/>
            <w:bottom w:w="15" w:type="dxa"/>
            <w:right w:w="15" w:type="dxa"/>
          </w:tblCellMar>
        </w:tblPrEx>
        <w:trPr>
          <w:trHeight w:val="301" w:hRule="atLeast"/>
        </w:trPr>
        <w:tc>
          <w:tcPr>
            <w:tcW w:w="265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2101199</w:t>
            </w:r>
          </w:p>
        </w:tc>
        <w:tc>
          <w:tcPr>
            <w:tcW w:w="42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 xml:space="preserve">  其他行政事业单位医疗支出</w:t>
            </w:r>
          </w:p>
        </w:tc>
        <w:tc>
          <w:tcPr>
            <w:tcW w:w="2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21,276.20</w:t>
            </w:r>
          </w:p>
        </w:tc>
        <w:tc>
          <w:tcPr>
            <w:tcW w:w="15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21,276.20</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4"/>
                <w:szCs w:val="24"/>
              </w:rPr>
            </w:pPr>
          </w:p>
        </w:tc>
        <w:tc>
          <w:tcPr>
            <w:tcW w:w="10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4"/>
                <w:szCs w:val="24"/>
              </w:rPr>
            </w:pP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4"/>
                <w:szCs w:val="24"/>
              </w:rPr>
            </w:pPr>
          </w:p>
        </w:tc>
        <w:tc>
          <w:tcPr>
            <w:tcW w:w="10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4"/>
                <w:szCs w:val="24"/>
              </w:rPr>
            </w:pPr>
          </w:p>
        </w:tc>
      </w:tr>
      <w:tr>
        <w:tblPrEx>
          <w:tblLayout w:type="fixed"/>
          <w:tblCellMar>
            <w:top w:w="15" w:type="dxa"/>
            <w:left w:w="15" w:type="dxa"/>
            <w:bottom w:w="15" w:type="dxa"/>
            <w:right w:w="15" w:type="dxa"/>
          </w:tblCellMar>
        </w:tblPrEx>
        <w:trPr>
          <w:trHeight w:val="301" w:hRule="atLeast"/>
        </w:trPr>
        <w:tc>
          <w:tcPr>
            <w:tcW w:w="265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rPr>
              <w:t>221</w:t>
            </w:r>
          </w:p>
        </w:tc>
        <w:tc>
          <w:tcPr>
            <w:tcW w:w="42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rPr>
              <w:t>住房保障支出</w:t>
            </w:r>
          </w:p>
        </w:tc>
        <w:tc>
          <w:tcPr>
            <w:tcW w:w="2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rPr>
              <w:t>122,326.00</w:t>
            </w:r>
          </w:p>
        </w:tc>
        <w:tc>
          <w:tcPr>
            <w:tcW w:w="15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rPr>
              <w:t>122,326.00</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c>
          <w:tcPr>
            <w:tcW w:w="10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c>
          <w:tcPr>
            <w:tcW w:w="10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r>
      <w:tr>
        <w:tblPrEx>
          <w:tblLayout w:type="fixed"/>
          <w:tblCellMar>
            <w:top w:w="15" w:type="dxa"/>
            <w:left w:w="15" w:type="dxa"/>
            <w:bottom w:w="15" w:type="dxa"/>
            <w:right w:w="15" w:type="dxa"/>
          </w:tblCellMar>
        </w:tblPrEx>
        <w:trPr>
          <w:trHeight w:val="301" w:hRule="atLeast"/>
        </w:trPr>
        <w:tc>
          <w:tcPr>
            <w:tcW w:w="265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rPr>
              <w:t>22102</w:t>
            </w:r>
          </w:p>
        </w:tc>
        <w:tc>
          <w:tcPr>
            <w:tcW w:w="42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rPr>
              <w:t>住房改革支出</w:t>
            </w:r>
          </w:p>
        </w:tc>
        <w:tc>
          <w:tcPr>
            <w:tcW w:w="2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rPr>
              <w:t>122,326.00</w:t>
            </w:r>
          </w:p>
        </w:tc>
        <w:tc>
          <w:tcPr>
            <w:tcW w:w="15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4"/>
                <w:szCs w:val="24"/>
              </w:rPr>
            </w:pPr>
            <w:r>
              <w:rPr>
                <w:rFonts w:hint="eastAsia" w:ascii="宋体" w:hAnsi="宋体" w:eastAsia="宋体" w:cs="宋体"/>
                <w:b/>
                <w:i w:val="0"/>
                <w:color w:val="000000"/>
                <w:kern w:val="0"/>
                <w:sz w:val="24"/>
                <w:szCs w:val="24"/>
              </w:rPr>
              <w:t>122,326.00</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c>
          <w:tcPr>
            <w:tcW w:w="10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c>
          <w:tcPr>
            <w:tcW w:w="10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4"/>
                <w:szCs w:val="24"/>
              </w:rPr>
            </w:pPr>
          </w:p>
        </w:tc>
      </w:tr>
      <w:tr>
        <w:tblPrEx>
          <w:tblLayout w:type="fixed"/>
          <w:tblCellMar>
            <w:top w:w="15" w:type="dxa"/>
            <w:left w:w="15" w:type="dxa"/>
            <w:bottom w:w="15" w:type="dxa"/>
            <w:right w:w="15" w:type="dxa"/>
          </w:tblCellMar>
        </w:tblPrEx>
        <w:trPr>
          <w:trHeight w:val="301" w:hRule="atLeast"/>
        </w:trPr>
        <w:tc>
          <w:tcPr>
            <w:tcW w:w="265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2210201</w:t>
            </w:r>
          </w:p>
        </w:tc>
        <w:tc>
          <w:tcPr>
            <w:tcW w:w="42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 xml:space="preserve">  住房公积金</w:t>
            </w:r>
          </w:p>
        </w:tc>
        <w:tc>
          <w:tcPr>
            <w:tcW w:w="2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122,326.00</w:t>
            </w:r>
          </w:p>
        </w:tc>
        <w:tc>
          <w:tcPr>
            <w:tcW w:w="157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122,326.00</w:t>
            </w: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4"/>
                <w:szCs w:val="24"/>
              </w:rPr>
            </w:pPr>
          </w:p>
        </w:tc>
        <w:tc>
          <w:tcPr>
            <w:tcW w:w="10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4"/>
                <w:szCs w:val="24"/>
              </w:rPr>
            </w:pPr>
          </w:p>
        </w:tc>
        <w:tc>
          <w:tcPr>
            <w:tcW w:w="10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4"/>
                <w:szCs w:val="24"/>
              </w:rPr>
            </w:pPr>
          </w:p>
        </w:tc>
        <w:tc>
          <w:tcPr>
            <w:tcW w:w="10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4"/>
                <w:szCs w:val="24"/>
              </w:rPr>
            </w:pPr>
          </w:p>
        </w:tc>
      </w:tr>
      <w:tr>
        <w:tblPrEx>
          <w:tblLayout w:type="fixed"/>
          <w:tblCellMar>
            <w:top w:w="15" w:type="dxa"/>
            <w:left w:w="15" w:type="dxa"/>
            <w:bottom w:w="15" w:type="dxa"/>
            <w:right w:w="15" w:type="dxa"/>
          </w:tblCellMar>
        </w:tblPrEx>
        <w:trPr>
          <w:trHeight w:val="301" w:hRule="atLeast"/>
        </w:trPr>
        <w:tc>
          <w:tcPr>
            <w:tcW w:w="14740"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注：1.本表依据《支出决算表》（财决04表）进行批复。</w:t>
            </w:r>
          </w:p>
        </w:tc>
      </w:tr>
      <w:tr>
        <w:tblPrEx>
          <w:tblLayout w:type="fixed"/>
          <w:tblCellMar>
            <w:top w:w="15" w:type="dxa"/>
            <w:left w:w="15" w:type="dxa"/>
            <w:bottom w:w="15" w:type="dxa"/>
            <w:right w:w="15" w:type="dxa"/>
          </w:tblCellMar>
        </w:tblPrEx>
        <w:trPr>
          <w:trHeight w:val="301" w:hRule="atLeast"/>
        </w:trPr>
        <w:tc>
          <w:tcPr>
            <w:tcW w:w="14740"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 xml:space="preserve">    2.本表含一般公共预算财政拨款、政府性基金预算财政拨款和国有资本经营预算财政拨款。</w:t>
            </w:r>
          </w:p>
        </w:tc>
      </w:tr>
      <w:tr>
        <w:tblPrEx>
          <w:tblLayout w:type="fixed"/>
          <w:tblCellMar>
            <w:top w:w="15" w:type="dxa"/>
            <w:left w:w="15" w:type="dxa"/>
            <w:bottom w:w="15" w:type="dxa"/>
            <w:right w:w="15" w:type="dxa"/>
          </w:tblCellMar>
        </w:tblPrEx>
        <w:trPr>
          <w:trHeight w:val="301" w:hRule="atLeast"/>
        </w:trPr>
        <w:tc>
          <w:tcPr>
            <w:tcW w:w="14740"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 xml:space="preserve">    3.本表批复到项级科目。</w:t>
            </w:r>
          </w:p>
        </w:tc>
      </w:tr>
      <w:tr>
        <w:tblPrEx>
          <w:tblLayout w:type="fixed"/>
          <w:tblCellMar>
            <w:top w:w="15" w:type="dxa"/>
            <w:left w:w="15" w:type="dxa"/>
            <w:bottom w:w="15" w:type="dxa"/>
            <w:right w:w="15" w:type="dxa"/>
          </w:tblCellMar>
        </w:tblPrEx>
        <w:trPr>
          <w:trHeight w:val="301" w:hRule="atLeast"/>
        </w:trPr>
        <w:tc>
          <w:tcPr>
            <w:tcW w:w="14740"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 xml:space="preserve">    4.本表以“万元”为金额单位（保留两位小数）。</w:t>
            </w:r>
          </w:p>
        </w:tc>
      </w:tr>
      <w:tr>
        <w:tblPrEx>
          <w:tblLayout w:type="fixed"/>
          <w:tblCellMar>
            <w:top w:w="15" w:type="dxa"/>
            <w:left w:w="15" w:type="dxa"/>
            <w:bottom w:w="15" w:type="dxa"/>
            <w:right w:w="15" w:type="dxa"/>
          </w:tblCellMar>
        </w:tblPrEx>
        <w:trPr>
          <w:trHeight w:val="301" w:hRule="atLeast"/>
        </w:trPr>
        <w:tc>
          <w:tcPr>
            <w:tcW w:w="14740"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rPr>
            </w:pPr>
            <w:r>
              <w:rPr>
                <w:rFonts w:hint="eastAsia" w:ascii="宋体" w:hAnsi="宋体" w:eastAsia="宋体" w:cs="宋体"/>
                <w:i w:val="0"/>
                <w:color w:val="000000"/>
                <w:kern w:val="0"/>
                <w:sz w:val="24"/>
                <w:szCs w:val="24"/>
              </w:rPr>
              <w:t xml:space="preserve">    5.本套报表金额单位转换时可能存在尾数误差。</w:t>
            </w:r>
          </w:p>
        </w:tc>
      </w:tr>
    </w:tbl>
    <w:p>
      <w:pPr>
        <w:rPr>
          <w:rFonts w:hint="eastAsia" w:ascii="黑体" w:hAnsi="宋体" w:eastAsia="黑体" w:cs="黑体"/>
          <w:i w:val="0"/>
          <w:color w:val="000000"/>
          <w:kern w:val="0"/>
          <w:sz w:val="30"/>
          <w:szCs w:val="30"/>
        </w:rPr>
        <w:sectPr>
          <w:pgSz w:w="16851" w:h="11915" w:orient="landscape"/>
          <w:pgMar w:top="1800" w:right="1440" w:bottom="1800" w:left="1440" w:header="851" w:footer="992" w:gutter="0"/>
          <w:cols w:space="0" w:num="1"/>
          <w:docGrid w:type="lines" w:linePitch="312" w:charSpace="0"/>
        </w:sectPr>
      </w:pPr>
    </w:p>
    <w:tbl>
      <w:tblPr>
        <w:tblStyle w:val="12"/>
        <w:tblW w:w="14740" w:type="dxa"/>
        <w:tblInd w:w="186" w:type="dxa"/>
        <w:shd w:val="clear" w:color="auto" w:fill="auto"/>
        <w:tblLayout w:type="fixed"/>
        <w:tblCellMar>
          <w:top w:w="15" w:type="dxa"/>
          <w:left w:w="15" w:type="dxa"/>
          <w:bottom w:w="15" w:type="dxa"/>
          <w:right w:w="15" w:type="dxa"/>
        </w:tblCellMar>
      </w:tblPr>
      <w:tblGrid>
        <w:gridCol w:w="2374"/>
        <w:gridCol w:w="423"/>
        <w:gridCol w:w="2439"/>
        <w:gridCol w:w="2655"/>
        <w:gridCol w:w="472"/>
        <w:gridCol w:w="1352"/>
        <w:gridCol w:w="1352"/>
        <w:gridCol w:w="2355"/>
        <w:gridCol w:w="1318"/>
      </w:tblGrid>
      <w:tr>
        <w:tblPrEx>
          <w:shd w:val="clear" w:color="auto" w:fill="auto"/>
          <w:tblLayout w:type="fixed"/>
          <w:tblCellMar>
            <w:top w:w="15" w:type="dxa"/>
            <w:left w:w="15" w:type="dxa"/>
            <w:bottom w:w="15" w:type="dxa"/>
            <w:right w:w="15" w:type="dxa"/>
          </w:tblCellMar>
        </w:tblPrEx>
        <w:trPr>
          <w:trHeight w:val="375" w:hRule="atLeast"/>
        </w:trPr>
        <w:tc>
          <w:tcPr>
            <w:tcW w:w="14740" w:type="dxa"/>
            <w:gridSpan w:val="9"/>
            <w:tcBorders>
              <w:top w:val="nil"/>
              <w:left w:val="nil"/>
              <w:bottom w:val="nil"/>
              <w:right w:val="nil"/>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20"/>
                <w:szCs w:val="20"/>
              </w:rPr>
            </w:pPr>
            <w:r>
              <w:rPr>
                <w:rFonts w:hint="eastAsia" w:ascii="黑体" w:hAnsi="宋体" w:eastAsia="黑体" w:cs="黑体"/>
                <w:i w:val="0"/>
                <w:color w:val="000000"/>
                <w:kern w:val="0"/>
                <w:sz w:val="32"/>
                <w:szCs w:val="32"/>
              </w:rPr>
              <w:t>财政拨款收入支出决算表</w:t>
            </w:r>
          </w:p>
        </w:tc>
      </w:tr>
      <w:tr>
        <w:tblPrEx>
          <w:tblLayout w:type="fixed"/>
          <w:tblCellMar>
            <w:top w:w="15" w:type="dxa"/>
            <w:left w:w="15" w:type="dxa"/>
            <w:bottom w:w="15" w:type="dxa"/>
            <w:right w:w="15" w:type="dxa"/>
          </w:tblCellMar>
        </w:tblPrEx>
        <w:trPr>
          <w:trHeight w:val="301" w:hRule="atLeast"/>
        </w:trPr>
        <w:tc>
          <w:tcPr>
            <w:tcW w:w="2374"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423"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2439"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265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472"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352"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1352"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3673"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cs="宋体"/>
                <w:i w:val="0"/>
                <w:color w:val="000000"/>
                <w:kern w:val="0"/>
                <w:sz w:val="20"/>
                <w:szCs w:val="20"/>
                <w:lang w:eastAsia="zh-CN"/>
              </w:rPr>
              <w:t>公开</w:t>
            </w:r>
            <w:r>
              <w:rPr>
                <w:rFonts w:hint="eastAsia" w:ascii="宋体" w:hAnsi="宋体" w:eastAsia="宋体" w:cs="宋体"/>
                <w:i w:val="0"/>
                <w:color w:val="000000"/>
                <w:kern w:val="0"/>
                <w:sz w:val="20"/>
                <w:szCs w:val="20"/>
              </w:rPr>
              <w:t>04表</w:t>
            </w:r>
          </w:p>
        </w:tc>
      </w:tr>
      <w:tr>
        <w:tblPrEx>
          <w:tblLayout w:type="fixed"/>
          <w:tblCellMar>
            <w:top w:w="15" w:type="dxa"/>
            <w:left w:w="15" w:type="dxa"/>
            <w:bottom w:w="15" w:type="dxa"/>
            <w:right w:w="15" w:type="dxa"/>
          </w:tblCellMar>
        </w:tblPrEx>
        <w:trPr>
          <w:trHeight w:val="301" w:hRule="atLeast"/>
        </w:trPr>
        <w:tc>
          <w:tcPr>
            <w:tcW w:w="7891" w:type="dxa"/>
            <w:gridSpan w:val="4"/>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部门：重庆市荣昌区退役军人服务中心</w:t>
            </w:r>
          </w:p>
        </w:tc>
        <w:tc>
          <w:tcPr>
            <w:tcW w:w="1824" w:type="dxa"/>
            <w:gridSpan w:val="2"/>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2022年度</w:t>
            </w:r>
          </w:p>
        </w:tc>
        <w:tc>
          <w:tcPr>
            <w:tcW w:w="1352" w:type="dxa"/>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3673" w:type="dxa"/>
            <w:gridSpan w:val="2"/>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金额单位：元</w:t>
            </w:r>
          </w:p>
        </w:tc>
      </w:tr>
      <w:tr>
        <w:tblPrEx>
          <w:tblLayout w:type="fixed"/>
          <w:tblCellMar>
            <w:top w:w="15" w:type="dxa"/>
            <w:left w:w="15" w:type="dxa"/>
            <w:bottom w:w="15" w:type="dxa"/>
            <w:right w:w="15" w:type="dxa"/>
          </w:tblCellMar>
        </w:tblPrEx>
        <w:trPr>
          <w:trHeight w:val="301" w:hRule="atLeast"/>
        </w:trPr>
        <w:tc>
          <w:tcPr>
            <w:tcW w:w="52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收     入</w:t>
            </w:r>
          </w:p>
        </w:tc>
        <w:tc>
          <w:tcPr>
            <w:tcW w:w="9504"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支     出</w:t>
            </w:r>
          </w:p>
        </w:tc>
      </w:tr>
      <w:tr>
        <w:tblPrEx>
          <w:tblLayout w:type="fixed"/>
          <w:tblCellMar>
            <w:top w:w="15" w:type="dxa"/>
            <w:left w:w="15" w:type="dxa"/>
            <w:bottom w:w="15" w:type="dxa"/>
            <w:right w:w="15" w:type="dxa"/>
          </w:tblCellMar>
        </w:tblPrEx>
        <w:trPr>
          <w:trHeight w:val="285" w:hRule="atLeast"/>
        </w:trPr>
        <w:tc>
          <w:tcPr>
            <w:tcW w:w="2374" w:type="dxa"/>
            <w:vMerge w:val="restart"/>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项目</w:t>
            </w:r>
          </w:p>
        </w:tc>
        <w:tc>
          <w:tcPr>
            <w:tcW w:w="423" w:type="dxa"/>
            <w:vMerge w:val="restar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行次</w:t>
            </w:r>
          </w:p>
        </w:tc>
        <w:tc>
          <w:tcPr>
            <w:tcW w:w="2439" w:type="dxa"/>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金额</w:t>
            </w:r>
          </w:p>
        </w:tc>
        <w:tc>
          <w:tcPr>
            <w:tcW w:w="2655" w:type="dxa"/>
            <w:vMerge w:val="restart"/>
            <w:tcBorders>
              <w:top w:val="single" w:color="auto" w:sz="4" w:space="0"/>
              <w:left w:val="nil"/>
              <w:bottom w:val="single" w:color="auto"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项目</w:t>
            </w:r>
          </w:p>
        </w:tc>
        <w:tc>
          <w:tcPr>
            <w:tcW w:w="472" w:type="dxa"/>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行次</w:t>
            </w:r>
          </w:p>
        </w:tc>
        <w:tc>
          <w:tcPr>
            <w:tcW w:w="1352" w:type="dxa"/>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合计</w:t>
            </w:r>
          </w:p>
        </w:tc>
        <w:tc>
          <w:tcPr>
            <w:tcW w:w="1352" w:type="dxa"/>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一般公共预算财政拨款</w:t>
            </w:r>
          </w:p>
        </w:tc>
        <w:tc>
          <w:tcPr>
            <w:tcW w:w="2355" w:type="dxa"/>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政府性基金预算财政拨款</w:t>
            </w:r>
          </w:p>
        </w:tc>
        <w:tc>
          <w:tcPr>
            <w:tcW w:w="1318" w:type="dxa"/>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国有资本经营预算财政拨款</w:t>
            </w:r>
          </w:p>
        </w:tc>
      </w:tr>
      <w:tr>
        <w:tblPrEx>
          <w:tblLayout w:type="fixed"/>
          <w:tblCellMar>
            <w:top w:w="15" w:type="dxa"/>
            <w:left w:w="15" w:type="dxa"/>
            <w:bottom w:w="15" w:type="dxa"/>
            <w:right w:w="15" w:type="dxa"/>
          </w:tblCellMar>
        </w:tblPrEx>
        <w:trPr>
          <w:trHeight w:val="330" w:hRule="atLeast"/>
        </w:trPr>
        <w:tc>
          <w:tcPr>
            <w:tcW w:w="2374" w:type="dxa"/>
            <w:vMerge w:val="continue"/>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423" w:type="dxa"/>
            <w:vMerge w:val="continue"/>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2439"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2655" w:type="dxa"/>
            <w:vMerge w:val="continue"/>
            <w:tcBorders>
              <w:top w:val="single" w:color="auto" w:sz="4" w:space="0"/>
              <w:left w:val="nil"/>
              <w:bottom w:val="single" w:color="auto" w:sz="4" w:space="0"/>
              <w:right w:val="single" w:color="000000" w:sz="4" w:space="0"/>
            </w:tcBorders>
            <w:shd w:val="clear" w:color="auto" w:fill="auto"/>
            <w:vAlign w:val="bottom"/>
          </w:tcPr>
          <w:p>
            <w:pPr>
              <w:keepNext w:val="0"/>
              <w:keepLines w:val="0"/>
              <w:widowControl/>
              <w:suppressLineNumbers w:val="0"/>
              <w:rPr>
                <w:rFonts w:hint="default" w:ascii="Times New Roman" w:hAnsi="Times New Roman" w:cs="Times New Roman"/>
                <w:sz w:val="20"/>
                <w:szCs w:val="20"/>
              </w:rPr>
            </w:pPr>
          </w:p>
        </w:tc>
        <w:tc>
          <w:tcPr>
            <w:tcW w:w="472"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352"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352"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2355"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318"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r>
      <w:tr>
        <w:tblPrEx>
          <w:tblLayout w:type="fixed"/>
          <w:tblCellMar>
            <w:top w:w="15" w:type="dxa"/>
            <w:left w:w="15" w:type="dxa"/>
            <w:bottom w:w="15" w:type="dxa"/>
            <w:right w:w="15" w:type="dxa"/>
          </w:tblCellMar>
        </w:tblPrEx>
        <w:trPr>
          <w:trHeight w:val="278" w:hRule="atLeast"/>
        </w:trPr>
        <w:tc>
          <w:tcPr>
            <w:tcW w:w="237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栏次</w:t>
            </w:r>
          </w:p>
        </w:tc>
        <w:tc>
          <w:tcPr>
            <w:tcW w:w="423"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20"/>
                <w:szCs w:val="20"/>
              </w:rPr>
            </w:pPr>
          </w:p>
        </w:tc>
        <w:tc>
          <w:tcPr>
            <w:tcW w:w="2439"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w:t>
            </w:r>
          </w:p>
        </w:tc>
        <w:tc>
          <w:tcPr>
            <w:tcW w:w="2655" w:type="dxa"/>
            <w:tcBorders>
              <w:top w:val="single" w:color="auto" w:sz="4" w:space="0"/>
              <w:left w:val="nil"/>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栏次</w:t>
            </w:r>
          </w:p>
        </w:tc>
        <w:tc>
          <w:tcPr>
            <w:tcW w:w="472"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20"/>
                <w:szCs w:val="20"/>
              </w:rPr>
            </w:pPr>
          </w:p>
        </w:tc>
        <w:tc>
          <w:tcPr>
            <w:tcW w:w="1352"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w:t>
            </w:r>
          </w:p>
        </w:tc>
        <w:tc>
          <w:tcPr>
            <w:tcW w:w="1352"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w:t>
            </w:r>
          </w:p>
        </w:tc>
        <w:tc>
          <w:tcPr>
            <w:tcW w:w="2355"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w:t>
            </w:r>
          </w:p>
        </w:tc>
        <w:tc>
          <w:tcPr>
            <w:tcW w:w="1318"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w:t>
            </w: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一、一般公共预算财政拨款</w:t>
            </w: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1,736,627.20</w:t>
            </w: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一、一般公共服务支出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33</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二、政府性基金预算财政拨款</w:t>
            </w: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二、外交支出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34</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三、国有资本经营预算财政拨款</w:t>
            </w: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三、国防支出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35</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四、公共安全支出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36</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五、教育支出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37</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2,246.91</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2,246.91</w:t>
            </w: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6</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六、科学技术支出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38</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7</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七、文化旅游体育与传媒支出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39</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8</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八、社会保障和就业支出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40</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1,542,746.29</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1,542,746.29</w:t>
            </w: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9</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九、卫生健康支出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41</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69,308.00</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69,308.00</w:t>
            </w: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10</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十、节能环保支出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42</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11</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十一、城乡社区支出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43</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12</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十二、农林水支出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44</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13</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十三、交通运输支出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45</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14</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十四、资源勘探工业信息等支出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46</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15</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十五、商业服务业等支出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47</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16</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十六、金融支出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48</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17</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十七、援助其他地区支出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49</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18</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十八、自然资源海洋气象等支出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50</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19</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十九、住房保障支出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51</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122,326.00</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122,326.00</w:t>
            </w: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20</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二十、粮油物资储备支出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52</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21</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二十一、国有资本经营预算支出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53</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22</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二十二、灾害防治及应急管理支出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54</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23</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二十三、其他支出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55</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i w:val="0"/>
                <w:color w:val="000000"/>
                <w:kern w:val="0"/>
                <w:sz w:val="20"/>
                <w:szCs w:val="20"/>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24</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二十四、债务还本支出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56</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25</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二十五、债务付息支出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57</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26</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16"/>
                <w:szCs w:val="16"/>
              </w:rPr>
              <w:t>二十六、抗疫特别国债安排的支出</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58</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本年收入合计</w:t>
            </w: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27</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1,736,627.20</w:t>
            </w: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本年支出合计</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59</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1,736,627.20</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1,736,627.20</w:t>
            </w: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267"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年初结转和结余</w:t>
            </w: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28</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年末结转和结余</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60</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246"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 xml:space="preserve">  一般公共预算财政拨款</w:t>
            </w: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29</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61</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245"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 xml:space="preserve">  政府性基金预算财政拨款</w:t>
            </w: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30</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62</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256"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6"/>
                <w:szCs w:val="16"/>
              </w:rPr>
            </w:pPr>
            <w:r>
              <w:rPr>
                <w:rFonts w:hint="eastAsia" w:ascii="宋体" w:hAnsi="宋体" w:eastAsia="宋体" w:cs="宋体"/>
                <w:i w:val="0"/>
                <w:color w:val="000000"/>
                <w:kern w:val="0"/>
                <w:sz w:val="16"/>
                <w:szCs w:val="16"/>
              </w:rPr>
              <w:t xml:space="preserve">  国有资本经营预算财政拨款</w:t>
            </w: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31</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63</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23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总计</w:t>
            </w:r>
          </w:p>
        </w:tc>
        <w:tc>
          <w:tcPr>
            <w:tcW w:w="42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32</w:t>
            </w:r>
          </w:p>
        </w:tc>
        <w:tc>
          <w:tcPr>
            <w:tcW w:w="243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1,736,627.20</w:t>
            </w:r>
          </w:p>
        </w:tc>
        <w:tc>
          <w:tcPr>
            <w:tcW w:w="2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总计</w:t>
            </w:r>
          </w:p>
        </w:tc>
        <w:tc>
          <w:tcPr>
            <w:tcW w:w="47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64</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1,736,627.20</w:t>
            </w:r>
          </w:p>
        </w:tc>
        <w:tc>
          <w:tcPr>
            <w:tcW w:w="13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1,736,627.20</w:t>
            </w:r>
          </w:p>
        </w:tc>
        <w:tc>
          <w:tcPr>
            <w:tcW w:w="23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c>
          <w:tcPr>
            <w:tcW w:w="13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13422"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注：1.本表依据《财政拨款收入支出决算总表》（财决01-1表）进行批复。</w:t>
            </w:r>
          </w:p>
        </w:tc>
        <w:tc>
          <w:tcPr>
            <w:tcW w:w="1318"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13422"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2.本表以“万元”为金额单位（保留两位小数）。</w:t>
            </w:r>
          </w:p>
        </w:tc>
        <w:tc>
          <w:tcPr>
            <w:tcW w:w="1318"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r>
      <w:tr>
        <w:tblPrEx>
          <w:tblLayout w:type="fixed"/>
          <w:tblCellMar>
            <w:top w:w="15" w:type="dxa"/>
            <w:left w:w="15" w:type="dxa"/>
            <w:bottom w:w="15" w:type="dxa"/>
            <w:right w:w="15" w:type="dxa"/>
          </w:tblCellMar>
        </w:tblPrEx>
        <w:trPr>
          <w:trHeight w:val="301" w:hRule="atLeast"/>
        </w:trPr>
        <w:tc>
          <w:tcPr>
            <w:tcW w:w="13422"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rPr>
            </w:pPr>
            <w:r>
              <w:rPr>
                <w:rFonts w:hint="eastAsia" w:ascii="宋体" w:hAnsi="宋体" w:eastAsia="宋体" w:cs="宋体"/>
                <w:i w:val="0"/>
                <w:color w:val="000000"/>
                <w:kern w:val="0"/>
                <w:sz w:val="20"/>
                <w:szCs w:val="20"/>
              </w:rPr>
              <w:t xml:space="preserve">    3.本套报表金额单位转换时可能存在尾数误差。          </w:t>
            </w:r>
          </w:p>
        </w:tc>
        <w:tc>
          <w:tcPr>
            <w:tcW w:w="1318"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20"/>
                <w:szCs w:val="20"/>
              </w:rPr>
            </w:pPr>
          </w:p>
        </w:tc>
      </w:tr>
    </w:tbl>
    <w:p>
      <w:pPr>
        <w:rPr>
          <w:rFonts w:hint="eastAsia" w:ascii="黑体" w:hAnsi="宋体" w:eastAsia="黑体" w:cs="黑体"/>
          <w:i w:val="0"/>
          <w:color w:val="000000"/>
          <w:kern w:val="0"/>
          <w:sz w:val="30"/>
          <w:szCs w:val="30"/>
        </w:rPr>
        <w:sectPr>
          <w:pgSz w:w="16851" w:h="11915" w:orient="landscape"/>
          <w:pgMar w:top="1800" w:right="1440" w:bottom="1800" w:left="1440" w:header="851" w:footer="992" w:gutter="0"/>
          <w:cols w:space="0" w:num="1"/>
          <w:docGrid w:type="lines" w:linePitch="312" w:charSpace="0"/>
        </w:sectPr>
      </w:pPr>
    </w:p>
    <w:tbl>
      <w:tblPr>
        <w:tblStyle w:val="12"/>
        <w:tblW w:w="14740" w:type="dxa"/>
        <w:tblInd w:w="186" w:type="dxa"/>
        <w:shd w:val="clear" w:color="auto" w:fill="auto"/>
        <w:tblLayout w:type="fixed"/>
        <w:tblCellMar>
          <w:top w:w="15" w:type="dxa"/>
          <w:left w:w="15" w:type="dxa"/>
          <w:bottom w:w="15" w:type="dxa"/>
          <w:right w:w="15" w:type="dxa"/>
        </w:tblCellMar>
      </w:tblPr>
      <w:tblGrid>
        <w:gridCol w:w="472"/>
        <w:gridCol w:w="549"/>
        <w:gridCol w:w="549"/>
        <w:gridCol w:w="1655"/>
        <w:gridCol w:w="908"/>
        <w:gridCol w:w="549"/>
        <w:gridCol w:w="908"/>
        <w:gridCol w:w="1362"/>
        <w:gridCol w:w="1362"/>
        <w:gridCol w:w="550"/>
        <w:gridCol w:w="1362"/>
        <w:gridCol w:w="1362"/>
        <w:gridCol w:w="908"/>
        <w:gridCol w:w="550"/>
        <w:gridCol w:w="550"/>
        <w:gridCol w:w="550"/>
        <w:gridCol w:w="594"/>
      </w:tblGrid>
      <w:tr>
        <w:tblPrEx>
          <w:shd w:val="clear" w:color="auto" w:fill="auto"/>
          <w:tblLayout w:type="fixed"/>
          <w:tblCellMar>
            <w:top w:w="15" w:type="dxa"/>
            <w:left w:w="15" w:type="dxa"/>
            <w:bottom w:w="15" w:type="dxa"/>
            <w:right w:w="15" w:type="dxa"/>
          </w:tblCellMar>
        </w:tblPrEx>
        <w:trPr>
          <w:trHeight w:val="375" w:hRule="atLeast"/>
        </w:trPr>
        <w:tc>
          <w:tcPr>
            <w:tcW w:w="14740" w:type="dxa"/>
            <w:gridSpan w:val="17"/>
            <w:tcBorders>
              <w:top w:val="nil"/>
              <w:left w:val="nil"/>
              <w:bottom w:val="nil"/>
              <w:right w:val="nil"/>
            </w:tcBorders>
            <w:shd w:val="clear" w:color="auto" w:fill="auto"/>
            <w:vAlign w:val="center"/>
          </w:tcPr>
          <w:p>
            <w:pPr>
              <w:keepNext w:val="0"/>
              <w:keepLines w:val="0"/>
              <w:widowControl/>
              <w:suppressLineNumbers w:val="0"/>
              <w:jc w:val="center"/>
              <w:rPr>
                <w:rFonts w:hint="eastAsia" w:ascii="宋体" w:hAnsi="宋体" w:eastAsia="宋体" w:cs="宋体"/>
                <w:i w:val="0"/>
                <w:color w:val="000000"/>
                <w:kern w:val="0"/>
                <w:sz w:val="18"/>
                <w:szCs w:val="18"/>
              </w:rPr>
            </w:pPr>
            <w:r>
              <w:rPr>
                <w:rFonts w:hint="eastAsia" w:ascii="黑体" w:hAnsi="宋体" w:eastAsia="黑体" w:cs="黑体"/>
                <w:i w:val="0"/>
                <w:color w:val="000000"/>
                <w:kern w:val="0"/>
                <w:sz w:val="30"/>
                <w:szCs w:val="30"/>
              </w:rPr>
              <w:t>一般公共预算财政拨款收入支出决算表</w:t>
            </w:r>
          </w:p>
        </w:tc>
      </w:tr>
      <w:tr>
        <w:tblPrEx>
          <w:tblLayout w:type="fixed"/>
          <w:tblCellMar>
            <w:top w:w="15" w:type="dxa"/>
            <w:left w:w="15" w:type="dxa"/>
            <w:bottom w:w="15" w:type="dxa"/>
            <w:right w:w="15" w:type="dxa"/>
          </w:tblCellMar>
        </w:tblPrEx>
        <w:trPr>
          <w:trHeight w:val="301" w:hRule="atLeast"/>
        </w:trPr>
        <w:tc>
          <w:tcPr>
            <w:tcW w:w="472"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549"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549"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65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908"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549"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908"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362"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362"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550"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362"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362"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908"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2244" w:type="dxa"/>
            <w:gridSpan w:val="4"/>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cs="宋体"/>
                <w:i w:val="0"/>
                <w:color w:val="000000"/>
                <w:kern w:val="0"/>
                <w:sz w:val="22"/>
                <w:szCs w:val="22"/>
                <w:lang w:eastAsia="zh-CN"/>
              </w:rPr>
              <w:t>公开</w:t>
            </w:r>
            <w:r>
              <w:rPr>
                <w:rFonts w:hint="eastAsia" w:ascii="宋体" w:hAnsi="宋体" w:eastAsia="宋体" w:cs="宋体"/>
                <w:i w:val="0"/>
                <w:color w:val="000000"/>
                <w:kern w:val="0"/>
                <w:sz w:val="22"/>
                <w:szCs w:val="22"/>
              </w:rPr>
              <w:t>05表</w:t>
            </w:r>
          </w:p>
        </w:tc>
      </w:tr>
      <w:tr>
        <w:tblPrEx>
          <w:tblLayout w:type="fixed"/>
          <w:tblCellMar>
            <w:top w:w="15" w:type="dxa"/>
            <w:left w:w="15" w:type="dxa"/>
            <w:bottom w:w="15" w:type="dxa"/>
            <w:right w:w="15" w:type="dxa"/>
          </w:tblCellMar>
        </w:tblPrEx>
        <w:trPr>
          <w:trHeight w:val="301" w:hRule="atLeast"/>
        </w:trPr>
        <w:tc>
          <w:tcPr>
            <w:tcW w:w="5590" w:type="dxa"/>
            <w:gridSpan w:val="7"/>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r>
              <w:rPr>
                <w:rFonts w:hint="eastAsia" w:ascii="宋体" w:hAnsi="宋体" w:eastAsia="宋体" w:cs="宋体"/>
                <w:i w:val="0"/>
                <w:color w:val="000000"/>
                <w:kern w:val="0"/>
                <w:sz w:val="22"/>
                <w:szCs w:val="22"/>
              </w:rPr>
              <w:t>部门：重庆市荣昌区退役军人服务中心</w:t>
            </w:r>
          </w:p>
        </w:tc>
        <w:tc>
          <w:tcPr>
            <w:tcW w:w="1362" w:type="dxa"/>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362"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2022年度</w:t>
            </w:r>
          </w:p>
        </w:tc>
        <w:tc>
          <w:tcPr>
            <w:tcW w:w="550" w:type="dxa"/>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362" w:type="dxa"/>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362" w:type="dxa"/>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908" w:type="dxa"/>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550" w:type="dxa"/>
            <w:tcBorders>
              <w:top w:val="nil"/>
              <w:left w:val="nil"/>
              <w:bottom w:val="single" w:color="auto" w:sz="4" w:space="0"/>
              <w:right w:val="nil"/>
            </w:tcBorders>
            <w:shd w:val="clear" w:color="auto" w:fill="auto"/>
            <w:vAlign w:val="center"/>
          </w:tcPr>
          <w:p>
            <w:pPr>
              <w:keepNext w:val="0"/>
              <w:keepLines w:val="0"/>
              <w:widowControl/>
              <w:suppressLineNumbers w:val="0"/>
              <w:jc w:val="left"/>
              <w:rPr>
                <w:rFonts w:hint="eastAsia" w:ascii="宋体" w:hAnsi="宋体" w:eastAsia="宋体" w:cs="宋体"/>
                <w:i w:val="0"/>
                <w:color w:val="000000"/>
                <w:kern w:val="0"/>
                <w:sz w:val="18"/>
                <w:szCs w:val="18"/>
              </w:rPr>
            </w:pPr>
          </w:p>
        </w:tc>
        <w:tc>
          <w:tcPr>
            <w:tcW w:w="1694" w:type="dxa"/>
            <w:gridSpan w:val="3"/>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金额单位：元</w:t>
            </w:r>
          </w:p>
        </w:tc>
      </w:tr>
      <w:tr>
        <w:tblPrEx>
          <w:tblLayout w:type="fixed"/>
          <w:tblCellMar>
            <w:top w:w="15" w:type="dxa"/>
            <w:left w:w="15" w:type="dxa"/>
            <w:bottom w:w="15" w:type="dxa"/>
            <w:right w:w="15" w:type="dxa"/>
          </w:tblCellMar>
        </w:tblPrEx>
        <w:trPr>
          <w:trHeight w:val="301" w:hRule="atLeast"/>
        </w:trPr>
        <w:tc>
          <w:tcPr>
            <w:tcW w:w="1570" w:type="dxa"/>
            <w:gridSpan w:val="3"/>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科目代码</w:t>
            </w:r>
          </w:p>
        </w:tc>
        <w:tc>
          <w:tcPr>
            <w:tcW w:w="1655"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科目名称</w:t>
            </w:r>
          </w:p>
        </w:tc>
        <w:tc>
          <w:tcPr>
            <w:tcW w:w="2365"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年初结转和结余</w:t>
            </w:r>
          </w:p>
        </w:tc>
        <w:tc>
          <w:tcPr>
            <w:tcW w:w="32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本年收入</w:t>
            </w:r>
          </w:p>
        </w:tc>
        <w:tc>
          <w:tcPr>
            <w:tcW w:w="363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本年支出</w:t>
            </w:r>
          </w:p>
        </w:tc>
        <w:tc>
          <w:tcPr>
            <w:tcW w:w="224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年末结转和结余</w:t>
            </w:r>
          </w:p>
        </w:tc>
      </w:tr>
      <w:tr>
        <w:tblPrEx>
          <w:tblLayout w:type="fixed"/>
          <w:tblCellMar>
            <w:top w:w="15" w:type="dxa"/>
            <w:left w:w="15" w:type="dxa"/>
            <w:bottom w:w="15" w:type="dxa"/>
            <w:right w:w="15" w:type="dxa"/>
          </w:tblCellMar>
        </w:tblPrEx>
        <w:trPr>
          <w:trHeight w:val="301" w:hRule="atLeast"/>
        </w:trPr>
        <w:tc>
          <w:tcPr>
            <w:tcW w:w="1570" w:type="dxa"/>
            <w:gridSpan w:val="3"/>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655"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08"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合计</w:t>
            </w:r>
          </w:p>
        </w:tc>
        <w:tc>
          <w:tcPr>
            <w:tcW w:w="549"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基本支出结转</w:t>
            </w:r>
          </w:p>
        </w:tc>
        <w:tc>
          <w:tcPr>
            <w:tcW w:w="908"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项目支出结转和结余</w:t>
            </w:r>
          </w:p>
        </w:tc>
        <w:tc>
          <w:tcPr>
            <w:tcW w:w="136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合计</w:t>
            </w:r>
          </w:p>
        </w:tc>
        <w:tc>
          <w:tcPr>
            <w:tcW w:w="1362"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基本支出</w:t>
            </w:r>
          </w:p>
        </w:tc>
        <w:tc>
          <w:tcPr>
            <w:tcW w:w="55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项目支出</w:t>
            </w:r>
          </w:p>
        </w:tc>
        <w:tc>
          <w:tcPr>
            <w:tcW w:w="1362"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合计</w:t>
            </w:r>
          </w:p>
        </w:tc>
        <w:tc>
          <w:tcPr>
            <w:tcW w:w="1362"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基本支出</w:t>
            </w:r>
          </w:p>
        </w:tc>
        <w:tc>
          <w:tcPr>
            <w:tcW w:w="908"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项目支出</w:t>
            </w:r>
          </w:p>
        </w:tc>
        <w:tc>
          <w:tcPr>
            <w:tcW w:w="55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合计</w:t>
            </w:r>
          </w:p>
        </w:tc>
        <w:tc>
          <w:tcPr>
            <w:tcW w:w="55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基本支出结转</w:t>
            </w:r>
          </w:p>
        </w:tc>
        <w:tc>
          <w:tcPr>
            <w:tcW w:w="11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项目支出结转和结余</w:t>
            </w:r>
          </w:p>
        </w:tc>
      </w:tr>
      <w:tr>
        <w:tblPrEx>
          <w:tblLayout w:type="fixed"/>
          <w:tblCellMar>
            <w:top w:w="15" w:type="dxa"/>
            <w:left w:w="15" w:type="dxa"/>
            <w:bottom w:w="15" w:type="dxa"/>
            <w:right w:w="15" w:type="dxa"/>
          </w:tblCellMar>
        </w:tblPrEx>
        <w:trPr>
          <w:trHeight w:val="270" w:hRule="atLeast"/>
        </w:trPr>
        <w:tc>
          <w:tcPr>
            <w:tcW w:w="1570" w:type="dxa"/>
            <w:gridSpan w:val="3"/>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655"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08"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549"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08"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362"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362"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55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362"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362"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08"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55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55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550" w:type="dxa"/>
            <w:vMerge w:val="restart"/>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项目支出结转</w:t>
            </w:r>
          </w:p>
        </w:tc>
        <w:tc>
          <w:tcPr>
            <w:tcW w:w="594" w:type="dxa"/>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项目支出结余</w:t>
            </w:r>
          </w:p>
        </w:tc>
      </w:tr>
      <w:tr>
        <w:tblPrEx>
          <w:tblLayout w:type="fixed"/>
          <w:tblCellMar>
            <w:top w:w="15" w:type="dxa"/>
            <w:left w:w="15" w:type="dxa"/>
            <w:bottom w:w="15" w:type="dxa"/>
            <w:right w:w="15" w:type="dxa"/>
          </w:tblCellMar>
        </w:tblPrEx>
        <w:trPr>
          <w:trHeight w:val="600" w:hRule="atLeast"/>
        </w:trPr>
        <w:tc>
          <w:tcPr>
            <w:tcW w:w="1570" w:type="dxa"/>
            <w:gridSpan w:val="3"/>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655"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08"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549"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08"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362" w:type="dxa"/>
            <w:vMerge w:val="continue"/>
            <w:tcBorders>
              <w:top w:val="nil"/>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362"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55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362"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362"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908"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55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55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550" w:type="dxa"/>
            <w:vMerge w:val="continue"/>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594" w:type="dxa"/>
            <w:vMerge w:val="continue"/>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r>
      <w:tr>
        <w:tblPrEx>
          <w:tblLayout w:type="fixed"/>
          <w:tblCellMar>
            <w:top w:w="15" w:type="dxa"/>
            <w:left w:w="15" w:type="dxa"/>
            <w:bottom w:w="15" w:type="dxa"/>
            <w:right w:w="15" w:type="dxa"/>
          </w:tblCellMar>
        </w:tblPrEx>
        <w:trPr>
          <w:trHeight w:val="301" w:hRule="atLeast"/>
        </w:trPr>
        <w:tc>
          <w:tcPr>
            <w:tcW w:w="47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类</w:t>
            </w:r>
          </w:p>
        </w:tc>
        <w:tc>
          <w:tcPr>
            <w:tcW w:w="54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款</w:t>
            </w:r>
          </w:p>
        </w:tc>
        <w:tc>
          <w:tcPr>
            <w:tcW w:w="54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项</w:t>
            </w:r>
          </w:p>
        </w:tc>
        <w:tc>
          <w:tcPr>
            <w:tcW w:w="1655"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栏次</w:t>
            </w:r>
          </w:p>
        </w:tc>
        <w:tc>
          <w:tcPr>
            <w:tcW w:w="908"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w:t>
            </w:r>
          </w:p>
        </w:tc>
        <w:tc>
          <w:tcPr>
            <w:tcW w:w="549"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w:t>
            </w:r>
          </w:p>
        </w:tc>
        <w:tc>
          <w:tcPr>
            <w:tcW w:w="908"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3</w:t>
            </w:r>
          </w:p>
        </w:tc>
        <w:tc>
          <w:tcPr>
            <w:tcW w:w="1362"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4</w:t>
            </w:r>
          </w:p>
        </w:tc>
        <w:tc>
          <w:tcPr>
            <w:tcW w:w="1362"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5</w:t>
            </w:r>
          </w:p>
        </w:tc>
        <w:tc>
          <w:tcPr>
            <w:tcW w:w="550"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6</w:t>
            </w:r>
          </w:p>
        </w:tc>
        <w:tc>
          <w:tcPr>
            <w:tcW w:w="1362"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7</w:t>
            </w:r>
          </w:p>
        </w:tc>
        <w:tc>
          <w:tcPr>
            <w:tcW w:w="1362"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8</w:t>
            </w:r>
          </w:p>
        </w:tc>
        <w:tc>
          <w:tcPr>
            <w:tcW w:w="908"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9</w:t>
            </w:r>
          </w:p>
        </w:tc>
        <w:tc>
          <w:tcPr>
            <w:tcW w:w="550"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10</w:t>
            </w:r>
          </w:p>
        </w:tc>
        <w:tc>
          <w:tcPr>
            <w:tcW w:w="550"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11</w:t>
            </w:r>
          </w:p>
        </w:tc>
        <w:tc>
          <w:tcPr>
            <w:tcW w:w="550"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12</w:t>
            </w:r>
          </w:p>
        </w:tc>
        <w:tc>
          <w:tcPr>
            <w:tcW w:w="594"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13</w:t>
            </w:r>
          </w:p>
        </w:tc>
      </w:tr>
      <w:tr>
        <w:tblPrEx>
          <w:tblLayout w:type="fixed"/>
          <w:tblCellMar>
            <w:top w:w="15" w:type="dxa"/>
            <w:left w:w="15" w:type="dxa"/>
            <w:bottom w:w="15" w:type="dxa"/>
            <w:right w:w="15" w:type="dxa"/>
          </w:tblCellMar>
        </w:tblPrEx>
        <w:trPr>
          <w:trHeight w:val="301" w:hRule="atLeast"/>
        </w:trPr>
        <w:tc>
          <w:tcPr>
            <w:tcW w:w="47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549"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549" w:type="dxa"/>
            <w:vMerge w:val="continue"/>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rPr>
                <w:rFonts w:hint="default" w:ascii="Times New Roman" w:hAnsi="Times New Roman" w:cs="Times New Roman"/>
                <w:sz w:val="20"/>
                <w:szCs w:val="20"/>
              </w:rPr>
            </w:pPr>
          </w:p>
        </w:tc>
        <w:tc>
          <w:tcPr>
            <w:tcW w:w="1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合计</w:t>
            </w: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4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1,736,627.20</w:t>
            </w: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1,736,627.20</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1,736,627.20</w:t>
            </w: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1,736,627.20</w:t>
            </w: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57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205</w:t>
            </w:r>
          </w:p>
        </w:tc>
        <w:tc>
          <w:tcPr>
            <w:tcW w:w="1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教育支出</w:t>
            </w: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4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2,246.91</w:t>
            </w: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2,246.91</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2,246.91</w:t>
            </w: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2,246.91</w:t>
            </w: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57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20508</w:t>
            </w:r>
          </w:p>
        </w:tc>
        <w:tc>
          <w:tcPr>
            <w:tcW w:w="1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进修及培训</w:t>
            </w: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4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2,246.91</w:t>
            </w: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2,246.91</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2,246.91</w:t>
            </w: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2,246.91</w:t>
            </w: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57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2050803</w:t>
            </w:r>
          </w:p>
        </w:tc>
        <w:tc>
          <w:tcPr>
            <w:tcW w:w="1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培训支出</w:t>
            </w: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4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2,246.91</w:t>
            </w: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2,246.91</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2,246.91</w:t>
            </w: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2,246.91</w:t>
            </w: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57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208</w:t>
            </w:r>
          </w:p>
        </w:tc>
        <w:tc>
          <w:tcPr>
            <w:tcW w:w="1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社会保障和就业支出</w:t>
            </w: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4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1,542,746.29</w:t>
            </w: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1,542,746.29</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1,542,746.29</w:t>
            </w: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1,542,746.29</w:t>
            </w: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57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20805</w:t>
            </w:r>
          </w:p>
        </w:tc>
        <w:tc>
          <w:tcPr>
            <w:tcW w:w="1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行政事业单位养老支出</w:t>
            </w: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4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135,619.20</w:t>
            </w: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135,619.20</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135,619.20</w:t>
            </w: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135,619.20</w:t>
            </w: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57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2080505</w:t>
            </w:r>
          </w:p>
        </w:tc>
        <w:tc>
          <w:tcPr>
            <w:tcW w:w="1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机关事业单位基本养老保险缴费支出</w:t>
            </w: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4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90,412.80</w:t>
            </w: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90,412.80</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90,412.80</w:t>
            </w: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90,412.80</w:t>
            </w: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57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2080506</w:t>
            </w:r>
          </w:p>
        </w:tc>
        <w:tc>
          <w:tcPr>
            <w:tcW w:w="1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机关事业单位职业年金缴费支出</w:t>
            </w: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4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45,206.40</w:t>
            </w: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45,206.40</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45,206.40</w:t>
            </w: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45,206.40</w:t>
            </w: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57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20828</w:t>
            </w:r>
          </w:p>
        </w:tc>
        <w:tc>
          <w:tcPr>
            <w:tcW w:w="1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退役军人管理事务</w:t>
            </w: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4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1,407,127.09</w:t>
            </w: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1,407,127.09</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1,407,127.09</w:t>
            </w: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rPr>
            </w:pPr>
            <w:r>
              <w:rPr>
                <w:rFonts w:hint="eastAsia" w:ascii="宋体" w:hAnsi="宋体" w:eastAsia="宋体" w:cs="宋体"/>
                <w:b/>
                <w:i w:val="0"/>
                <w:color w:val="000000"/>
                <w:kern w:val="0"/>
                <w:sz w:val="20"/>
                <w:szCs w:val="20"/>
              </w:rPr>
              <w:t>1,407,127.09</w:t>
            </w: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57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2082850</w:t>
            </w:r>
          </w:p>
        </w:tc>
        <w:tc>
          <w:tcPr>
            <w:tcW w:w="1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事业运行</w:t>
            </w: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4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1,407,127.09</w:t>
            </w: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1,407,127.09</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1,407,127.09</w:t>
            </w: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1,407,127.09</w:t>
            </w: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57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210</w:t>
            </w:r>
          </w:p>
        </w:tc>
        <w:tc>
          <w:tcPr>
            <w:tcW w:w="1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卫生健康支出</w:t>
            </w: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4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69,308.00</w:t>
            </w: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69,308.00</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69,308.00</w:t>
            </w: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69,308.00</w:t>
            </w: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57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21011</w:t>
            </w:r>
          </w:p>
        </w:tc>
        <w:tc>
          <w:tcPr>
            <w:tcW w:w="1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行政事业单位医疗</w:t>
            </w: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4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69,308.00</w:t>
            </w: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69,308.00</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69,308.00</w:t>
            </w: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69,308.00</w:t>
            </w: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57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2101102</w:t>
            </w:r>
          </w:p>
        </w:tc>
        <w:tc>
          <w:tcPr>
            <w:tcW w:w="1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事业单位医疗</w:t>
            </w: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4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48,031.80</w:t>
            </w: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48,031.80</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48,031.80</w:t>
            </w: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48,031.80</w:t>
            </w: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57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2101199</w:t>
            </w:r>
          </w:p>
        </w:tc>
        <w:tc>
          <w:tcPr>
            <w:tcW w:w="1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其他行政事业单位医疗支出</w:t>
            </w: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4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21,276.20</w:t>
            </w: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21,276.20</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21,276.20</w:t>
            </w: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21,276.20</w:t>
            </w: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57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221</w:t>
            </w:r>
          </w:p>
        </w:tc>
        <w:tc>
          <w:tcPr>
            <w:tcW w:w="1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住房保障支出</w:t>
            </w: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4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122,326.00</w:t>
            </w: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122,326.00</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122,326.00</w:t>
            </w: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122,326.00</w:t>
            </w: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57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22102</w:t>
            </w:r>
          </w:p>
        </w:tc>
        <w:tc>
          <w:tcPr>
            <w:tcW w:w="1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住房改革支出</w:t>
            </w: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4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122,326.00</w:t>
            </w: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122,326.00</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122,326.00</w:t>
            </w: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22"/>
                <w:szCs w:val="22"/>
              </w:rPr>
            </w:pPr>
            <w:r>
              <w:rPr>
                <w:rFonts w:hint="eastAsia" w:ascii="宋体" w:hAnsi="宋体" w:eastAsia="宋体" w:cs="宋体"/>
                <w:b/>
                <w:i w:val="0"/>
                <w:color w:val="000000"/>
                <w:kern w:val="0"/>
                <w:sz w:val="22"/>
                <w:szCs w:val="22"/>
              </w:rPr>
              <w:t>122,326.00</w:t>
            </w: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c>
          <w:tcPr>
            <w:tcW w:w="5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57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2210201</w:t>
            </w:r>
          </w:p>
        </w:tc>
        <w:tc>
          <w:tcPr>
            <w:tcW w:w="16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住房公积金</w:t>
            </w: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4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122,326.00</w:t>
            </w: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122,326.00</w:t>
            </w: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122,326.00</w:t>
            </w:r>
          </w:p>
        </w:tc>
        <w:tc>
          <w:tcPr>
            <w:tcW w:w="136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122,326.00</w:t>
            </w:r>
          </w:p>
        </w:tc>
        <w:tc>
          <w:tcPr>
            <w:tcW w:w="9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c>
          <w:tcPr>
            <w:tcW w:w="5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kern w:val="0"/>
                <w:sz w:val="22"/>
                <w:szCs w:val="22"/>
              </w:rPr>
            </w:pPr>
          </w:p>
        </w:tc>
      </w:tr>
      <w:tr>
        <w:tblPrEx>
          <w:tblLayout w:type="fixed"/>
          <w:tblCellMar>
            <w:top w:w="15" w:type="dxa"/>
            <w:left w:w="15" w:type="dxa"/>
            <w:bottom w:w="15" w:type="dxa"/>
            <w:right w:w="15" w:type="dxa"/>
          </w:tblCellMar>
        </w:tblPrEx>
        <w:trPr>
          <w:trHeight w:val="301" w:hRule="atLeast"/>
        </w:trPr>
        <w:tc>
          <w:tcPr>
            <w:tcW w:w="1474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注：1.本表依据《一般公共预算财政拨款收入支出决算表》（财决07表）进行批复。</w:t>
            </w:r>
          </w:p>
        </w:tc>
      </w:tr>
      <w:tr>
        <w:tblPrEx>
          <w:tblLayout w:type="fixed"/>
          <w:tblCellMar>
            <w:top w:w="15" w:type="dxa"/>
            <w:left w:w="15" w:type="dxa"/>
            <w:bottom w:w="15" w:type="dxa"/>
            <w:right w:w="15" w:type="dxa"/>
          </w:tblCellMar>
        </w:tblPrEx>
        <w:trPr>
          <w:trHeight w:val="301" w:hRule="atLeast"/>
        </w:trPr>
        <w:tc>
          <w:tcPr>
            <w:tcW w:w="1474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2.本表批复到项级科目。</w:t>
            </w:r>
          </w:p>
        </w:tc>
      </w:tr>
      <w:tr>
        <w:tblPrEx>
          <w:tblLayout w:type="fixed"/>
          <w:tblCellMar>
            <w:top w:w="15" w:type="dxa"/>
            <w:left w:w="15" w:type="dxa"/>
            <w:bottom w:w="15" w:type="dxa"/>
            <w:right w:w="15" w:type="dxa"/>
          </w:tblCellMar>
        </w:tblPrEx>
        <w:trPr>
          <w:trHeight w:val="301" w:hRule="atLeast"/>
        </w:trPr>
        <w:tc>
          <w:tcPr>
            <w:tcW w:w="1474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3.本表以“万元”为金额单位（保留两位小数）。</w:t>
            </w:r>
          </w:p>
        </w:tc>
      </w:tr>
      <w:tr>
        <w:tblPrEx>
          <w:tblLayout w:type="fixed"/>
          <w:tblCellMar>
            <w:top w:w="15" w:type="dxa"/>
            <w:left w:w="15" w:type="dxa"/>
            <w:bottom w:w="15" w:type="dxa"/>
            <w:right w:w="15" w:type="dxa"/>
          </w:tblCellMar>
        </w:tblPrEx>
        <w:trPr>
          <w:trHeight w:val="301" w:hRule="atLeast"/>
        </w:trPr>
        <w:tc>
          <w:tcPr>
            <w:tcW w:w="1474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rPr>
            </w:pPr>
            <w:r>
              <w:rPr>
                <w:rFonts w:hint="eastAsia" w:ascii="宋体" w:hAnsi="宋体" w:eastAsia="宋体" w:cs="宋体"/>
                <w:i w:val="0"/>
                <w:color w:val="000000"/>
                <w:kern w:val="0"/>
                <w:sz w:val="22"/>
                <w:szCs w:val="22"/>
              </w:rPr>
              <w:t xml:space="preserve">    4.本套报表金额单位转换时可能存在尾数误差。          </w:t>
            </w:r>
          </w:p>
        </w:tc>
      </w:tr>
    </w:tbl>
    <w:p>
      <w:pPr>
        <w:pStyle w:val="22"/>
        <w:keepNext w:val="0"/>
        <w:keepLines w:val="0"/>
        <w:widowControl/>
        <w:suppressLineNumbers w:val="0"/>
        <w:spacing w:before="0" w:beforeAutospacing="0"/>
        <w:jc w:val="left"/>
        <w:rPr>
          <w:rFonts w:hint="eastAsia" w:ascii="方正仿宋_GBK" w:hAnsi="方正仿宋_GBK" w:eastAsia="方正仿宋_GBK" w:cs="方正仿宋_GBK"/>
          <w:kern w:val="0"/>
          <w:sz w:val="30"/>
          <w:szCs w:val="30"/>
          <w:shd w:val="clear" w:fill="FFFFFF"/>
        </w:rPr>
        <w:sectPr>
          <w:pgSz w:w="16851" w:h="11915" w:orient="landscape"/>
          <w:pgMar w:top="1800" w:right="1440" w:bottom="1800" w:left="1440" w:header="851" w:footer="992" w:gutter="0"/>
          <w:cols w:space="0" w:num="1"/>
          <w:docGrid w:type="lines" w:linePitch="312" w:charSpace="0"/>
        </w:sectPr>
      </w:pPr>
    </w:p>
    <w:tbl>
      <w:tblPr>
        <w:tblStyle w:val="12"/>
        <w:tblW w:w="14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2"/>
        <w:gridCol w:w="2847"/>
        <w:gridCol w:w="1437"/>
        <w:gridCol w:w="582"/>
        <w:gridCol w:w="2220"/>
        <w:gridCol w:w="1438"/>
        <w:gridCol w:w="582"/>
        <w:gridCol w:w="3618"/>
        <w:gridCol w:w="14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4740" w:type="dxa"/>
            <w:gridSpan w:val="9"/>
            <w:tcBorders>
              <w:right w:val="nil"/>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2" w:type="dxa"/>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2847" w:type="dxa"/>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1437" w:type="dxa"/>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582" w:type="dxa"/>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2220" w:type="dxa"/>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1438" w:type="dxa"/>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582" w:type="dxa"/>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5052" w:type="dxa"/>
            <w:gridSpan w:val="2"/>
            <w:tcBorders>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公开</w:t>
            </w:r>
            <w:r>
              <w:rPr>
                <w:rFonts w:hint="eastAsia" w:ascii="宋体" w:hAnsi="宋体" w:eastAsia="宋体" w:cs="宋体"/>
                <w:i w:val="0"/>
                <w:color w:val="000000"/>
                <w:kern w:val="0"/>
                <w:sz w:val="22"/>
                <w:szCs w:val="22"/>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866" w:type="dxa"/>
            <w:gridSpan w:val="3"/>
            <w:tcBorders>
              <w:bottom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部门：重庆市荣昌区退役军人服务中心</w:t>
            </w:r>
          </w:p>
        </w:tc>
        <w:tc>
          <w:tcPr>
            <w:tcW w:w="582" w:type="dxa"/>
            <w:tcBorders>
              <w:bottom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2220" w:type="dxa"/>
            <w:tcBorders>
              <w:bottom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1438" w:type="dxa"/>
            <w:tcBorders>
              <w:bottom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582" w:type="dxa"/>
            <w:tcBorders>
              <w:bottom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3618" w:type="dxa"/>
            <w:tcBorders>
              <w:bottom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1434" w:type="dxa"/>
            <w:tcBorders>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8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987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8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2847" w:type="dxa"/>
            <w:vMerge w:val="restart"/>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37" w:type="dxa"/>
            <w:vMerge w:val="restart"/>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582" w:type="dxa"/>
            <w:vMerge w:val="restart"/>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2220" w:type="dxa"/>
            <w:vMerge w:val="restart"/>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38" w:type="dxa"/>
            <w:vMerge w:val="restart"/>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582" w:type="dxa"/>
            <w:vMerge w:val="restart"/>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3618" w:type="dxa"/>
            <w:vMerge w:val="restart"/>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34" w:type="dxa"/>
            <w:vMerge w:val="restart"/>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8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2847"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1437"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582"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2220"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1438"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582"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3618"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1434"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2847"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1437"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1,426,744.93</w:t>
            </w:r>
          </w:p>
        </w:tc>
        <w:tc>
          <w:tcPr>
            <w:tcW w:w="582"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220"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1438"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309,702.27</w:t>
            </w:r>
          </w:p>
        </w:tc>
        <w:tc>
          <w:tcPr>
            <w:tcW w:w="582"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3618"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1434"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284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143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332,163.00</w:t>
            </w: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22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1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46,265.10</w:t>
            </w: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361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284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143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17,184.00</w:t>
            </w: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22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1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361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284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143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22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1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361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284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143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22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1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361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284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143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738,448.00</w:t>
            </w: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22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1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361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284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43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90,412.80</w:t>
            </w: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22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1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361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284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143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45,206.40</w:t>
            </w: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22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1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11,262.00</w:t>
            </w: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361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284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43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48,031.80</w:t>
            </w: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22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1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361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284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143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22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1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361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284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43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20,172.93</w:t>
            </w: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22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1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81,911.44</w:t>
            </w: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361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284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43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122,326.00</w:t>
            </w: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22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1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361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284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143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12,800.00</w:t>
            </w: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22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1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361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284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43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22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1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361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284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143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w:t>
            </w: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22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1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361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284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143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22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1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2,246.91</w:t>
            </w: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361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284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143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22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1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2,097.00</w:t>
            </w: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361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284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143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22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1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361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284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143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22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1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361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284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143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22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1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361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284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143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22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1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361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284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143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22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1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361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284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143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22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1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50,780.96</w:t>
            </w: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361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284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143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w:t>
            </w: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22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1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23,278.96</w:t>
            </w: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361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284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143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22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361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284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143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22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1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3618"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284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143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22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1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22"/>
                <w:szCs w:val="22"/>
                <w:u w:val="none"/>
              </w:rPr>
            </w:pPr>
          </w:p>
        </w:tc>
        <w:tc>
          <w:tcPr>
            <w:tcW w:w="3618" w:type="dxa"/>
            <w:tcBorders>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22"/>
                <w:szCs w:val="22"/>
                <w:u w:val="none"/>
              </w:rPr>
            </w:pP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22"/>
                <w:szCs w:val="22"/>
                <w:u w:val="none"/>
              </w:rPr>
            </w:pPr>
          </w:p>
        </w:tc>
        <w:tc>
          <w:tcPr>
            <w:tcW w:w="2847" w:type="dxa"/>
            <w:tcBorders>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22"/>
                <w:szCs w:val="22"/>
                <w:u w:val="none"/>
              </w:rPr>
            </w:pPr>
          </w:p>
        </w:tc>
        <w:tc>
          <w:tcPr>
            <w:tcW w:w="143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22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4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91,859.90</w:t>
            </w:r>
          </w:p>
        </w:tc>
        <w:tc>
          <w:tcPr>
            <w:tcW w:w="5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22"/>
                <w:szCs w:val="22"/>
                <w:u w:val="none"/>
              </w:rPr>
            </w:pPr>
          </w:p>
        </w:tc>
        <w:tc>
          <w:tcPr>
            <w:tcW w:w="3618" w:type="dxa"/>
            <w:tcBorders>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22"/>
                <w:szCs w:val="22"/>
                <w:u w:val="none"/>
              </w:rPr>
            </w:pP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42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143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1,426,924.93</w:t>
            </w:r>
          </w:p>
        </w:tc>
        <w:tc>
          <w:tcPr>
            <w:tcW w:w="8440"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143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309,702.27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740" w:type="dxa"/>
            <w:gridSpan w:val="9"/>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注：1.本表依据《一般公共预算财政拨款基本支出决算明细表》（财决08-1表）进行批复。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740" w:type="dxa"/>
            <w:gridSpan w:val="9"/>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2.本表以“万元”为金额单位（保留两位小数）。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740" w:type="dxa"/>
            <w:gridSpan w:val="9"/>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3.本套报表金额单位转换时可能存在尾数误差。          </w:t>
            </w:r>
          </w:p>
        </w:tc>
      </w:tr>
    </w:tbl>
    <w:p>
      <w:pPr>
        <w:pStyle w:val="22"/>
        <w:keepNext w:val="0"/>
        <w:keepLines w:val="0"/>
        <w:widowControl/>
        <w:suppressLineNumbers w:val="0"/>
        <w:spacing w:before="0" w:beforeAutospacing="0"/>
        <w:jc w:val="left"/>
        <w:rPr>
          <w:rFonts w:hint="eastAsia" w:ascii="方正仿宋_GBK" w:hAnsi="方正仿宋_GBK" w:eastAsia="方正仿宋_GBK" w:cs="方正仿宋_GBK"/>
          <w:kern w:val="0"/>
          <w:sz w:val="30"/>
          <w:szCs w:val="30"/>
          <w:shd w:val="clear" w:fill="FFFFFF"/>
        </w:rPr>
        <w:sectPr>
          <w:pgSz w:w="16851" w:h="11915" w:orient="landscape"/>
          <w:pgMar w:top="1800" w:right="1440" w:bottom="1800" w:left="1440" w:header="851" w:footer="992" w:gutter="0"/>
          <w:cols w:space="0" w:num="1"/>
          <w:docGrid w:type="lines" w:linePitch="312" w:charSpace="0"/>
        </w:sectPr>
      </w:pPr>
    </w:p>
    <w:tbl>
      <w:tblPr>
        <w:tblStyle w:val="12"/>
        <w:tblW w:w="14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2"/>
        <w:gridCol w:w="625"/>
        <w:gridCol w:w="625"/>
        <w:gridCol w:w="2528"/>
        <w:gridCol w:w="1081"/>
        <w:gridCol w:w="626"/>
        <w:gridCol w:w="1080"/>
        <w:gridCol w:w="626"/>
        <w:gridCol w:w="1163"/>
        <w:gridCol w:w="627"/>
        <w:gridCol w:w="1081"/>
        <w:gridCol w:w="626"/>
        <w:gridCol w:w="1080"/>
        <w:gridCol w:w="626"/>
        <w:gridCol w:w="626"/>
        <w:gridCol w:w="626"/>
        <w:gridCol w:w="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4740" w:type="dxa"/>
            <w:gridSpan w:val="17"/>
            <w:tcBorders>
              <w:right w:val="nil"/>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72" w:type="dxa"/>
            <w:shd w:val="clear" w:color="auto" w:fill="auto"/>
            <w:vAlign w:val="center"/>
          </w:tcPr>
          <w:p>
            <w:pPr>
              <w:keepNext w:val="0"/>
              <w:keepLines w:val="0"/>
              <w:widowControl/>
              <w:suppressLineNumbers w:val="0"/>
              <w:jc w:val="left"/>
              <w:rPr>
                <w:rFonts w:hint="eastAsia" w:ascii="Tahoma" w:hAnsi="Tahoma" w:eastAsia="Tahoma" w:cs="Tahoma"/>
                <w:i w:val="0"/>
                <w:color w:val="000000"/>
                <w:sz w:val="16"/>
                <w:szCs w:val="16"/>
                <w:u w:val="none"/>
              </w:rPr>
            </w:pPr>
          </w:p>
        </w:tc>
        <w:tc>
          <w:tcPr>
            <w:tcW w:w="625" w:type="dxa"/>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625" w:type="dxa"/>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2528" w:type="dxa"/>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1081" w:type="dxa"/>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626" w:type="dxa"/>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1080" w:type="dxa"/>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626" w:type="dxa"/>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1163" w:type="dxa"/>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627" w:type="dxa"/>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1081" w:type="dxa"/>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626" w:type="dxa"/>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1080" w:type="dxa"/>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626" w:type="dxa"/>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1874" w:type="dxa"/>
            <w:gridSpan w:val="3"/>
            <w:tcBorders>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公开</w:t>
            </w:r>
            <w:r>
              <w:rPr>
                <w:rFonts w:hint="eastAsia" w:ascii="宋体" w:hAnsi="宋体" w:eastAsia="宋体" w:cs="宋体"/>
                <w:i w:val="0"/>
                <w:color w:val="000000"/>
                <w:kern w:val="0"/>
                <w:sz w:val="22"/>
                <w:szCs w:val="22"/>
                <w:u w:val="none"/>
                <w:lang w:val="en-US" w:eastAsia="zh-CN" w:bidi="ar"/>
              </w:rPr>
              <w:t>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331" w:type="dxa"/>
            <w:gridSpan w:val="5"/>
            <w:tcBorders>
              <w:bottom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部门：重庆市荣昌区退役军人服务中心</w:t>
            </w:r>
          </w:p>
        </w:tc>
        <w:tc>
          <w:tcPr>
            <w:tcW w:w="626" w:type="dxa"/>
            <w:tcBorders>
              <w:bottom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1080" w:type="dxa"/>
            <w:tcBorders>
              <w:bottom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626" w:type="dxa"/>
            <w:tcBorders>
              <w:bottom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1163" w:type="dxa"/>
            <w:tcBorders>
              <w:bottom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2022年度</w:t>
            </w:r>
          </w:p>
        </w:tc>
        <w:tc>
          <w:tcPr>
            <w:tcW w:w="627" w:type="dxa"/>
            <w:tcBorders>
              <w:bottom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1081" w:type="dxa"/>
            <w:tcBorders>
              <w:bottom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626" w:type="dxa"/>
            <w:tcBorders>
              <w:bottom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1080" w:type="dxa"/>
            <w:tcBorders>
              <w:bottom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626" w:type="dxa"/>
            <w:tcBorders>
              <w:bottom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1874" w:type="dxa"/>
            <w:gridSpan w:val="3"/>
            <w:tcBorders>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22"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25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7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24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27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25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22"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25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10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6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基本支出结转</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项目支出结转和结余</w:t>
            </w:r>
          </w:p>
        </w:tc>
        <w:tc>
          <w:tcPr>
            <w:tcW w:w="6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0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6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6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6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基本支出结转</w:t>
            </w:r>
          </w:p>
        </w:tc>
        <w:tc>
          <w:tcPr>
            <w:tcW w:w="1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722" w:type="dxa"/>
            <w:gridSpan w:val="3"/>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2528"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1081"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626"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1080"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626"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1163"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627"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1081"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626"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1080"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626"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626"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626" w:type="dxa"/>
            <w:vMerge w:val="restart"/>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项目支出结转</w:t>
            </w:r>
          </w:p>
        </w:tc>
        <w:tc>
          <w:tcPr>
            <w:tcW w:w="622" w:type="dxa"/>
            <w:vMerge w:val="restart"/>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722" w:type="dxa"/>
            <w:gridSpan w:val="3"/>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2528"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1081"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626"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1080"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626"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1163"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627"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1081"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626"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1080"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626"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626"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626"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622"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72"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625" w:type="dxa"/>
            <w:vMerge w:val="restart"/>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625" w:type="dxa"/>
            <w:vMerge w:val="restart"/>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2528"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081"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26"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80"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26"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63"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27"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81"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26"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80"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626"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26"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626"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22"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7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625" w:type="dxa"/>
            <w:vMerge w:val="continue"/>
            <w:tcBorders>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625" w:type="dxa"/>
            <w:vMerge w:val="continue"/>
            <w:tcBorders>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2528" w:type="dxa"/>
            <w:tcBorders>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8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sz w:val="22"/>
                <w:szCs w:val="22"/>
                <w:u w:val="none"/>
              </w:rPr>
            </w:pPr>
          </w:p>
        </w:tc>
        <w:tc>
          <w:tcPr>
            <w:tcW w:w="6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sz w:val="22"/>
                <w:szCs w:val="22"/>
                <w:u w:val="none"/>
              </w:rPr>
            </w:pPr>
          </w:p>
        </w:tc>
        <w:tc>
          <w:tcPr>
            <w:tcW w:w="10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sz w:val="22"/>
                <w:szCs w:val="22"/>
                <w:u w:val="none"/>
              </w:rPr>
            </w:pPr>
          </w:p>
        </w:tc>
        <w:tc>
          <w:tcPr>
            <w:tcW w:w="6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sz w:val="22"/>
                <w:szCs w:val="22"/>
                <w:u w:val="none"/>
              </w:rPr>
            </w:pPr>
          </w:p>
        </w:tc>
        <w:tc>
          <w:tcPr>
            <w:tcW w:w="11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sz w:val="22"/>
                <w:szCs w:val="22"/>
                <w:u w:val="none"/>
              </w:rPr>
            </w:pPr>
          </w:p>
        </w:tc>
        <w:tc>
          <w:tcPr>
            <w:tcW w:w="6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sz w:val="22"/>
                <w:szCs w:val="22"/>
                <w:u w:val="none"/>
              </w:rPr>
            </w:pPr>
          </w:p>
        </w:tc>
        <w:tc>
          <w:tcPr>
            <w:tcW w:w="108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sz w:val="22"/>
                <w:szCs w:val="22"/>
                <w:u w:val="none"/>
              </w:rPr>
            </w:pPr>
          </w:p>
        </w:tc>
        <w:tc>
          <w:tcPr>
            <w:tcW w:w="6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sz w:val="22"/>
                <w:szCs w:val="22"/>
                <w:u w:val="none"/>
              </w:rPr>
            </w:pPr>
          </w:p>
        </w:tc>
        <w:tc>
          <w:tcPr>
            <w:tcW w:w="10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sz w:val="22"/>
                <w:szCs w:val="22"/>
                <w:u w:val="none"/>
              </w:rPr>
            </w:pPr>
          </w:p>
        </w:tc>
        <w:tc>
          <w:tcPr>
            <w:tcW w:w="6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sz w:val="22"/>
                <w:szCs w:val="22"/>
                <w:u w:val="none"/>
              </w:rPr>
            </w:pPr>
          </w:p>
        </w:tc>
        <w:tc>
          <w:tcPr>
            <w:tcW w:w="6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sz w:val="22"/>
                <w:szCs w:val="22"/>
                <w:u w:val="none"/>
              </w:rPr>
            </w:pPr>
          </w:p>
        </w:tc>
        <w:tc>
          <w:tcPr>
            <w:tcW w:w="6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sz w:val="22"/>
                <w:szCs w:val="22"/>
                <w:u w:val="none"/>
              </w:rPr>
            </w:pPr>
          </w:p>
        </w:tc>
        <w:tc>
          <w:tcPr>
            <w:tcW w:w="6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22"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22"/>
                <w:szCs w:val="22"/>
                <w:u w:val="none"/>
              </w:rPr>
            </w:pPr>
          </w:p>
        </w:tc>
        <w:tc>
          <w:tcPr>
            <w:tcW w:w="2528" w:type="dxa"/>
            <w:tcBorders>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22"/>
                <w:szCs w:val="22"/>
                <w:u w:val="none"/>
              </w:rPr>
            </w:pPr>
          </w:p>
        </w:tc>
        <w:tc>
          <w:tcPr>
            <w:tcW w:w="108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6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10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6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116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62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108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6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108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6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6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62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62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740" w:type="dxa"/>
            <w:gridSpan w:val="1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注：1.本表依据《政府性基金预算财政拨款收入支出决算表》（财决09表）进行批复。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740" w:type="dxa"/>
            <w:gridSpan w:val="1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740" w:type="dxa"/>
            <w:gridSpan w:val="1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3.本表以“万元”为金额单位（保留两位小数）。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740" w:type="dxa"/>
            <w:gridSpan w:val="1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4.本套报表金额单位转换时可能存在尾数误差。          </w:t>
            </w:r>
          </w:p>
        </w:tc>
      </w:tr>
    </w:tbl>
    <w:p>
      <w:pPr>
        <w:pStyle w:val="22"/>
        <w:keepNext w:val="0"/>
        <w:keepLines w:val="0"/>
        <w:widowControl/>
        <w:suppressLineNumbers w:val="0"/>
        <w:spacing w:before="0" w:beforeAutospacing="0"/>
        <w:jc w:val="left"/>
        <w:rPr>
          <w:rFonts w:hint="eastAsia" w:ascii="方正仿宋_GBK" w:hAnsi="方正仿宋_GBK" w:eastAsia="方正仿宋_GBK" w:cs="方正仿宋_GBK"/>
          <w:kern w:val="0"/>
          <w:sz w:val="30"/>
          <w:szCs w:val="30"/>
          <w:shd w:val="clear" w:fill="FFFFFF"/>
        </w:rPr>
        <w:sectPr>
          <w:pgSz w:w="16851" w:h="11915" w:orient="landscape"/>
          <w:pgMar w:top="1800" w:right="1440" w:bottom="1800" w:left="1440" w:header="851" w:footer="992" w:gutter="0"/>
          <w:cols w:space="0" w:num="1"/>
          <w:docGrid w:type="lines" w:linePitch="312" w:charSpace="0"/>
        </w:sectPr>
      </w:pPr>
    </w:p>
    <w:tbl>
      <w:tblPr>
        <w:tblStyle w:val="12"/>
        <w:tblW w:w="14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2"/>
        <w:gridCol w:w="904"/>
        <w:gridCol w:w="904"/>
        <w:gridCol w:w="3676"/>
        <w:gridCol w:w="1678"/>
        <w:gridCol w:w="908"/>
        <w:gridCol w:w="1677"/>
        <w:gridCol w:w="905"/>
        <w:gridCol w:w="905"/>
        <w:gridCol w:w="905"/>
        <w:gridCol w:w="905"/>
        <w:gridCol w:w="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4740" w:type="dxa"/>
            <w:gridSpan w:val="12"/>
            <w:tcBorders>
              <w:right w:val="nil"/>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72" w:type="dxa"/>
            <w:shd w:val="clear" w:color="auto" w:fill="auto"/>
            <w:vAlign w:val="center"/>
          </w:tcPr>
          <w:p>
            <w:pPr>
              <w:keepNext w:val="0"/>
              <w:keepLines w:val="0"/>
              <w:widowControl/>
              <w:suppressLineNumbers w:val="0"/>
              <w:jc w:val="left"/>
              <w:rPr>
                <w:rFonts w:hint="eastAsia" w:ascii="Tahoma" w:hAnsi="Tahoma" w:eastAsia="Tahoma" w:cs="Tahoma"/>
                <w:i w:val="0"/>
                <w:color w:val="000000"/>
                <w:sz w:val="16"/>
                <w:szCs w:val="16"/>
                <w:u w:val="none"/>
              </w:rPr>
            </w:pPr>
          </w:p>
        </w:tc>
        <w:tc>
          <w:tcPr>
            <w:tcW w:w="904" w:type="dxa"/>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904" w:type="dxa"/>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3676" w:type="dxa"/>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1678" w:type="dxa"/>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908" w:type="dxa"/>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1677" w:type="dxa"/>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905" w:type="dxa"/>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905" w:type="dxa"/>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905" w:type="dxa"/>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1806" w:type="dxa"/>
            <w:gridSpan w:val="2"/>
            <w:tcBorders>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公开</w:t>
            </w:r>
            <w:r>
              <w:rPr>
                <w:rFonts w:hint="eastAsia" w:ascii="宋体" w:hAnsi="宋体" w:eastAsia="宋体" w:cs="宋体"/>
                <w:i w:val="0"/>
                <w:color w:val="000000"/>
                <w:kern w:val="0"/>
                <w:sz w:val="22"/>
                <w:szCs w:val="22"/>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956" w:type="dxa"/>
            <w:gridSpan w:val="4"/>
            <w:tcBorders>
              <w:bottom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部门：重庆市荣昌区退役军人服务中心</w:t>
            </w:r>
          </w:p>
        </w:tc>
        <w:tc>
          <w:tcPr>
            <w:tcW w:w="1678" w:type="dxa"/>
            <w:tcBorders>
              <w:bottom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2585" w:type="dxa"/>
            <w:gridSpan w:val="2"/>
            <w:tcBorders>
              <w:bottom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2022年度</w:t>
            </w:r>
          </w:p>
        </w:tc>
        <w:tc>
          <w:tcPr>
            <w:tcW w:w="905" w:type="dxa"/>
            <w:tcBorders>
              <w:bottom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905" w:type="dxa"/>
            <w:tcBorders>
              <w:bottom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905" w:type="dxa"/>
            <w:tcBorders>
              <w:bottom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1806" w:type="dxa"/>
            <w:gridSpan w:val="2"/>
            <w:tcBorders>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8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36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42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9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9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27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80" w:type="dxa"/>
            <w:gridSpan w:val="3"/>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3676"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1678" w:type="dxa"/>
            <w:vMerge w:val="restart"/>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08" w:type="dxa"/>
            <w:vMerge w:val="restart"/>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结转</w:t>
            </w:r>
          </w:p>
        </w:tc>
        <w:tc>
          <w:tcPr>
            <w:tcW w:w="1677" w:type="dxa"/>
            <w:vMerge w:val="restart"/>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w:t>
            </w:r>
          </w:p>
        </w:tc>
        <w:tc>
          <w:tcPr>
            <w:tcW w:w="905"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905"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905" w:type="dxa"/>
            <w:vMerge w:val="restart"/>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05" w:type="dxa"/>
            <w:vMerge w:val="restart"/>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结转</w:t>
            </w:r>
          </w:p>
        </w:tc>
        <w:tc>
          <w:tcPr>
            <w:tcW w:w="901" w:type="dxa"/>
            <w:vMerge w:val="restart"/>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80" w:type="dxa"/>
            <w:gridSpan w:val="3"/>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3676"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1678"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908"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1677"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905"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905"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905"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905"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901"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280" w:type="dxa"/>
            <w:gridSpan w:val="3"/>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3676"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1678"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908"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1677"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905"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905"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905"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905"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901" w:type="dxa"/>
            <w:vMerge w:val="continue"/>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72"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904" w:type="dxa"/>
            <w:vMerge w:val="restart"/>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904" w:type="dxa"/>
            <w:vMerge w:val="restart"/>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3676"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678"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08"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77"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05"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05"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05"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05"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901"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7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904" w:type="dxa"/>
            <w:vMerge w:val="continue"/>
            <w:tcBorders>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904" w:type="dxa"/>
            <w:vMerge w:val="continue"/>
            <w:tcBorders>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22"/>
                <w:szCs w:val="22"/>
                <w:u w:val="none"/>
              </w:rPr>
            </w:pPr>
          </w:p>
        </w:tc>
        <w:tc>
          <w:tcPr>
            <w:tcW w:w="3676" w:type="dxa"/>
            <w:tcBorders>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sz w:val="22"/>
                <w:szCs w:val="22"/>
                <w:u w:val="none"/>
              </w:rPr>
            </w:pPr>
          </w:p>
        </w:tc>
        <w:tc>
          <w:tcPr>
            <w:tcW w:w="90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sz w:val="22"/>
                <w:szCs w:val="22"/>
                <w:u w:val="none"/>
              </w:rPr>
            </w:pPr>
          </w:p>
        </w:tc>
        <w:tc>
          <w:tcPr>
            <w:tcW w:w="16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sz w:val="22"/>
                <w:szCs w:val="22"/>
                <w:u w:val="none"/>
              </w:rPr>
            </w:pPr>
          </w:p>
        </w:tc>
        <w:tc>
          <w:tcPr>
            <w:tcW w:w="9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sz w:val="22"/>
                <w:szCs w:val="22"/>
                <w:u w:val="none"/>
              </w:rPr>
            </w:pPr>
          </w:p>
        </w:tc>
        <w:tc>
          <w:tcPr>
            <w:tcW w:w="9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sz w:val="22"/>
                <w:szCs w:val="22"/>
                <w:u w:val="none"/>
              </w:rPr>
            </w:pPr>
          </w:p>
        </w:tc>
        <w:tc>
          <w:tcPr>
            <w:tcW w:w="9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sz w:val="22"/>
                <w:szCs w:val="22"/>
                <w:u w:val="none"/>
              </w:rPr>
            </w:pPr>
          </w:p>
        </w:tc>
        <w:tc>
          <w:tcPr>
            <w:tcW w:w="9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sz w:val="22"/>
                <w:szCs w:val="22"/>
                <w:u w:val="none"/>
              </w:rPr>
            </w:pPr>
          </w:p>
        </w:tc>
        <w:tc>
          <w:tcPr>
            <w:tcW w:w="9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8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22"/>
                <w:szCs w:val="22"/>
                <w:u w:val="none"/>
              </w:rPr>
            </w:pPr>
          </w:p>
        </w:tc>
        <w:tc>
          <w:tcPr>
            <w:tcW w:w="3676" w:type="dxa"/>
            <w:tcBorders>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22"/>
                <w:szCs w:val="22"/>
                <w:u w:val="none"/>
              </w:rPr>
            </w:pPr>
          </w:p>
        </w:tc>
        <w:tc>
          <w:tcPr>
            <w:tcW w:w="167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90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167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9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9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9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9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90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740" w:type="dxa"/>
            <w:gridSpan w:val="1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注：1.本表依据《国有资本经营预算财政拨款收入支出决算表》（财决11表）进行批复。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740" w:type="dxa"/>
            <w:gridSpan w:val="1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2.本表批复到项级科目。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740" w:type="dxa"/>
            <w:gridSpan w:val="1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3.本表以“万元”为金额单位（保留两位小数）。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740" w:type="dxa"/>
            <w:gridSpan w:val="1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4.本套报表金额单位转换时可能存在尾数误差。          </w:t>
            </w:r>
          </w:p>
        </w:tc>
      </w:tr>
    </w:tbl>
    <w:p>
      <w:pPr>
        <w:pStyle w:val="22"/>
        <w:keepNext w:val="0"/>
        <w:keepLines w:val="0"/>
        <w:widowControl/>
        <w:suppressLineNumbers w:val="0"/>
        <w:spacing w:before="0" w:beforeAutospacing="0"/>
        <w:jc w:val="left"/>
        <w:rPr>
          <w:rFonts w:hint="eastAsia" w:ascii="方正仿宋_GBK" w:hAnsi="方正仿宋_GBK" w:eastAsia="方正仿宋_GBK" w:cs="方正仿宋_GBK"/>
          <w:kern w:val="0"/>
          <w:sz w:val="30"/>
          <w:szCs w:val="30"/>
          <w:shd w:val="clear" w:fill="FFFFFF"/>
        </w:rPr>
        <w:sectPr>
          <w:pgSz w:w="16851" w:h="11915" w:orient="landscape"/>
          <w:pgMar w:top="1800" w:right="1440" w:bottom="1800" w:left="1440" w:header="851" w:footer="992" w:gutter="0"/>
          <w:cols w:space="0" w:num="1"/>
          <w:docGrid w:type="lines" w:linePitch="312" w:charSpace="0"/>
        </w:sectPr>
      </w:pPr>
    </w:p>
    <w:tbl>
      <w:tblPr>
        <w:tblStyle w:val="12"/>
        <w:tblW w:w="151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754"/>
        <w:gridCol w:w="577"/>
        <w:gridCol w:w="1735"/>
        <w:gridCol w:w="4897"/>
        <w:gridCol w:w="516"/>
        <w:gridCol w:w="3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5194" w:type="dxa"/>
            <w:gridSpan w:val="6"/>
            <w:tcBorders>
              <w:right w:val="nil"/>
            </w:tcBorders>
            <w:shd w:val="clear" w:color="auto" w:fill="auto"/>
            <w:vAlign w:val="center"/>
          </w:tcPr>
          <w:p>
            <w:pPr>
              <w:keepNext w:val="0"/>
              <w:keepLines w:val="0"/>
              <w:widowControl/>
              <w:suppressLineNumbers w:val="0"/>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44"/>
                <w:szCs w:val="44"/>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754" w:type="dxa"/>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577" w:type="dxa"/>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1735" w:type="dxa"/>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4897" w:type="dxa"/>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516" w:type="dxa"/>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3715" w:type="dxa"/>
            <w:tcBorders>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公开</w:t>
            </w:r>
            <w:r>
              <w:rPr>
                <w:rFonts w:hint="eastAsia" w:ascii="宋体" w:hAnsi="宋体" w:eastAsia="宋体" w:cs="宋体"/>
                <w:i w:val="0"/>
                <w:color w:val="000000"/>
                <w:kern w:val="0"/>
                <w:sz w:val="22"/>
                <w:szCs w:val="22"/>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066" w:type="dxa"/>
            <w:gridSpan w:val="3"/>
            <w:tcBorders>
              <w:bottom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部门：重庆市荣昌区退役军人服务中心</w:t>
            </w:r>
          </w:p>
        </w:tc>
        <w:tc>
          <w:tcPr>
            <w:tcW w:w="4897" w:type="dxa"/>
            <w:tcBorders>
              <w:bottom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516" w:type="dxa"/>
            <w:tcBorders>
              <w:bottom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18"/>
                <w:szCs w:val="18"/>
                <w:u w:val="none"/>
              </w:rPr>
            </w:pPr>
          </w:p>
        </w:tc>
        <w:tc>
          <w:tcPr>
            <w:tcW w:w="3715" w:type="dxa"/>
            <w:tcBorders>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行次</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48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行次</w:t>
            </w:r>
          </w:p>
        </w:tc>
        <w:tc>
          <w:tcPr>
            <w:tcW w:w="3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75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577"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35"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97"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四、机关运行经费</w:t>
            </w:r>
          </w:p>
        </w:tc>
        <w:tc>
          <w:tcPr>
            <w:tcW w:w="516"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3715"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75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5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2,097.00</w:t>
            </w:r>
          </w:p>
        </w:tc>
        <w:tc>
          <w:tcPr>
            <w:tcW w:w="48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51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7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75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5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7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48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51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37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75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5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7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48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五、资产信息</w:t>
            </w:r>
          </w:p>
        </w:tc>
        <w:tc>
          <w:tcPr>
            <w:tcW w:w="51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371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75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5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7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48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51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37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75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5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7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48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51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37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75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5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7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2,097.00</w:t>
            </w:r>
          </w:p>
        </w:tc>
        <w:tc>
          <w:tcPr>
            <w:tcW w:w="48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51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7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75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5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7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2,097.00</w:t>
            </w:r>
          </w:p>
        </w:tc>
        <w:tc>
          <w:tcPr>
            <w:tcW w:w="48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51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37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75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5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7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48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51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37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75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5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48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51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37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75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5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73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51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37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75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5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7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48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51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37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75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5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7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48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51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37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75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5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7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48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51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37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75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5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7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48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六、政府采购支出信息</w:t>
            </w:r>
          </w:p>
        </w:tc>
        <w:tc>
          <w:tcPr>
            <w:tcW w:w="51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371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75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5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7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8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51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37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75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5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7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48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51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37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75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5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7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48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51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37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75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5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7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48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51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37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75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5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48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51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37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75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5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7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48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51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37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75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5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7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c>
          <w:tcPr>
            <w:tcW w:w="48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22"/>
                <w:szCs w:val="22"/>
                <w:u w:val="none"/>
              </w:rPr>
            </w:pPr>
          </w:p>
        </w:tc>
        <w:tc>
          <w:tcPr>
            <w:tcW w:w="51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37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75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5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73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2,246.91</w:t>
            </w:r>
          </w:p>
        </w:tc>
        <w:tc>
          <w:tcPr>
            <w:tcW w:w="4897" w:type="dxa"/>
            <w:tcBorders>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color w:val="000000"/>
                <w:sz w:val="22"/>
                <w:szCs w:val="22"/>
                <w:u w:val="none"/>
              </w:rPr>
            </w:pPr>
          </w:p>
        </w:tc>
        <w:tc>
          <w:tcPr>
            <w:tcW w:w="51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37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194"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注：1.本表依据《机构运行信息表》（财决附03表）进行批复。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194"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2.本表导出打印时以“万元”为金额单位（保留两位小数）。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194"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3.本套报表金额单位转换时可能存在尾数误差。</w:t>
            </w:r>
          </w:p>
        </w:tc>
      </w:tr>
    </w:tbl>
    <w:p>
      <w:pPr>
        <w:pStyle w:val="22"/>
        <w:keepNext w:val="0"/>
        <w:keepLines w:val="0"/>
        <w:widowControl/>
        <w:suppressLineNumbers w:val="0"/>
        <w:spacing w:before="0" w:beforeAutospacing="0"/>
        <w:jc w:val="left"/>
        <w:rPr>
          <w:rFonts w:hint="eastAsia" w:ascii="方正仿宋_GBK" w:hAnsi="方正仿宋_GBK" w:eastAsia="方正仿宋_GBK" w:cs="方正仿宋_GBK"/>
          <w:kern w:val="0"/>
          <w:sz w:val="30"/>
          <w:szCs w:val="30"/>
          <w:shd w:val="clear" w:fill="FFFFFF"/>
        </w:rPr>
      </w:pPr>
    </w:p>
    <w:sectPr>
      <w:pgSz w:w="16851" w:h="11915" w:orient="landscape"/>
      <w:pgMar w:top="1800" w:right="1440" w:bottom="180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doNotCompress"/>
  <w:compat>
    <w:doNotExpandShiftReturn/>
    <w:doNotBreakWrappedTables/>
    <w:doNotWrapTextWithPunct/>
    <w:doNotUseEastAsianBreakRules/>
    <w:growAutofit/>
    <w:useFELayout/>
    <w:doNotUseIndentAsNumberingTabStop/>
    <w:useAltKinsokuLineBreakRules/>
    <w:compatSetting w:name="compatibilityMode" w:uri="http://schemas.microsoft.com/office/word" w:val="11"/>
  </w:compat>
  <w:rsids>
    <w:rsidRoot w:val="00000000"/>
    <w:rsid w:val="031C14AD"/>
    <w:rsid w:val="127C1BDE"/>
    <w:rsid w:val="13080CD4"/>
    <w:rsid w:val="24BD0D11"/>
    <w:rsid w:val="26AB7A9C"/>
    <w:rsid w:val="2BA636D4"/>
    <w:rsid w:val="37D53859"/>
    <w:rsid w:val="3E7B5891"/>
    <w:rsid w:val="44F428B2"/>
    <w:rsid w:val="4A5F4089"/>
    <w:rsid w:val="4BB23855"/>
    <w:rsid w:val="5189740F"/>
    <w:rsid w:val="51A15CE0"/>
    <w:rsid w:val="5A7216AD"/>
    <w:rsid w:val="721826B9"/>
    <w:rsid w:val="7DE431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spacing w:before="0" w:beforeAutospacing="1" w:after="0" w:afterAutospacing="1"/>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qFormat/>
    <w:uiPriority w:val="0"/>
    <w:pPr>
      <w:spacing w:before="0" w:beforeAutospacing="1" w:after="0" w:afterAutospacing="1"/>
      <w:ind w:left="0" w:right="0"/>
      <w:jc w:val="left"/>
    </w:pPr>
    <w:rPr>
      <w:rFonts w:hint="eastAsia" w:ascii="宋体" w:hAnsi="宋体" w:eastAsia="宋体" w:cs="宋体"/>
      <w:b/>
      <w:kern w:val="0"/>
      <w:sz w:val="27"/>
      <w:szCs w:val="27"/>
      <w:lang w:val="en-US" w:eastAsia="zh-CN" w:bidi="ar"/>
    </w:rPr>
  </w:style>
  <w:style w:type="paragraph" w:styleId="5">
    <w:name w:val="heading 4"/>
    <w:basedOn w:val="1"/>
    <w:next w:val="1"/>
    <w:qFormat/>
    <w:uiPriority w:val="0"/>
    <w:pPr>
      <w:spacing w:before="0" w:beforeAutospacing="1" w:after="0" w:afterAutospacing="1"/>
      <w:ind w:left="0" w:right="0"/>
      <w:jc w:val="left"/>
    </w:pPr>
    <w:rPr>
      <w:rFonts w:hint="eastAsia" w:ascii="宋体" w:hAnsi="宋体" w:eastAsia="宋体" w:cs="宋体"/>
      <w:b/>
      <w:kern w:val="0"/>
      <w:sz w:val="24"/>
      <w:szCs w:val="24"/>
      <w:lang w:val="en-US" w:eastAsia="zh-CN" w:bidi="ar"/>
    </w:rPr>
  </w:style>
  <w:style w:type="paragraph" w:styleId="6">
    <w:name w:val="heading 5"/>
    <w:basedOn w:val="1"/>
    <w:next w:val="1"/>
    <w:qFormat/>
    <w:uiPriority w:val="0"/>
    <w:pPr>
      <w:spacing w:before="0" w:beforeAutospacing="1" w:after="0" w:afterAutospacing="1"/>
      <w:ind w:left="0" w:right="0"/>
      <w:jc w:val="left"/>
    </w:pPr>
    <w:rPr>
      <w:rFonts w:hint="eastAsia" w:ascii="宋体" w:hAnsi="宋体" w:eastAsia="宋体" w:cs="宋体"/>
      <w:b/>
      <w:kern w:val="0"/>
      <w:sz w:val="20"/>
      <w:szCs w:val="20"/>
      <w:lang w:val="en-US" w:eastAsia="zh-CN" w:bidi="ar"/>
    </w:rPr>
  </w:style>
  <w:style w:type="paragraph" w:styleId="7">
    <w:name w:val="heading 6"/>
    <w:basedOn w:val="1"/>
    <w:next w:val="1"/>
    <w:qFormat/>
    <w:uiPriority w:val="0"/>
    <w:pPr>
      <w:spacing w:before="0" w:beforeAutospacing="1" w:after="0" w:afterAutospacing="1"/>
      <w:ind w:left="0" w:right="0"/>
      <w:jc w:val="left"/>
    </w:pPr>
    <w:rPr>
      <w:rFonts w:hint="eastAsia" w:ascii="宋体" w:hAnsi="宋体" w:eastAsia="宋体" w:cs="宋体"/>
      <w:b/>
      <w:kern w:val="0"/>
      <w:sz w:val="15"/>
      <w:szCs w:val="15"/>
      <w:lang w:val="en-US" w:eastAsia="zh-CN" w:bidi="ar"/>
    </w:rPr>
  </w:style>
  <w:style w:type="character" w:default="1" w:styleId="10">
    <w:name w:val="Default Paragraph Font"/>
    <w:unhideWhenUsed/>
    <w:qFormat/>
    <w:uiPriority w:val="99"/>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11">
    <w:name w:val="Strong"/>
    <w:basedOn w:val="10"/>
    <w:qFormat/>
    <w:uiPriority w:val="0"/>
    <w:rPr>
      <w:b/>
    </w:rPr>
  </w:style>
  <w:style w:type="paragraph" w:customStyle="1" w:styleId="13">
    <w:name w:val="p35"/>
    <w:basedOn w:val="1"/>
    <w:qFormat/>
    <w:uiPriority w:val="0"/>
    <w:pPr>
      <w:keepNext w:val="0"/>
      <w:keepLines w:val="0"/>
      <w:widowControl/>
      <w:suppressLineNumbers w:val="0"/>
      <w:spacing w:before="100" w:beforeAutospacing="0" w:after="100" w:afterAutospacing="0"/>
      <w:ind w:left="0" w:right="0"/>
      <w:jc w:val="left"/>
    </w:pPr>
    <w:rPr>
      <w:rFonts w:hint="eastAsia" w:ascii="宋体" w:hAnsi="宋体" w:eastAsia="宋体" w:cs="宋体"/>
      <w:kern w:val="0"/>
      <w:sz w:val="24"/>
      <w:szCs w:val="24"/>
      <w:lang w:val="en-US" w:eastAsia="zh-CN" w:bidi="ar"/>
    </w:rPr>
  </w:style>
  <w:style w:type="paragraph" w:customStyle="1" w:styleId="14">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5">
    <w:name w:val="19"/>
    <w:basedOn w:val="10"/>
    <w:qFormat/>
    <w:uiPriority w:val="0"/>
    <w:rPr>
      <w:rFonts w:hint="default" w:ascii="Times New Roman" w:hAnsi="Times New Roman" w:cs="Times New Roman"/>
      <w:b/>
    </w:rPr>
  </w:style>
  <w:style w:type="paragraph" w:customStyle="1" w:styleId="16">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7">
    <w:name w:val="16"/>
    <w:basedOn w:val="10"/>
    <w:qFormat/>
    <w:uiPriority w:val="0"/>
    <w:rPr>
      <w:rFonts w:hint="default" w:ascii="Times New Roman" w:hAnsi="Times New Roman" w:cs="Times New Roman"/>
    </w:rPr>
  </w:style>
  <w:style w:type="character" w:customStyle="1" w:styleId="18">
    <w:name w:val="17"/>
    <w:basedOn w:val="10"/>
    <w:qFormat/>
    <w:uiPriority w:val="0"/>
    <w:rPr>
      <w:rFonts w:hint="default" w:ascii="Times New Roman" w:hAnsi="Times New Roman" w:cs="Times New Roman"/>
    </w:rPr>
  </w:style>
  <w:style w:type="character" w:customStyle="1" w:styleId="19">
    <w:name w:val="10"/>
    <w:basedOn w:val="10"/>
    <w:qFormat/>
    <w:uiPriority w:val="0"/>
    <w:rPr>
      <w:rFonts w:hint="default" w:ascii="Times New Roman" w:hAnsi="Times New Roman" w:cs="Times New Roman"/>
    </w:rPr>
  </w:style>
  <w:style w:type="character" w:customStyle="1" w:styleId="20">
    <w:name w:val="18"/>
    <w:basedOn w:val="10"/>
    <w:qFormat/>
    <w:uiPriority w:val="0"/>
    <w:rPr>
      <w:rFonts w:hint="default" w:ascii="Times New Roman" w:hAnsi="Times New Roman" w:cs="Times New Roman"/>
    </w:rPr>
  </w:style>
  <w:style w:type="character" w:customStyle="1" w:styleId="21">
    <w:name w:val="15"/>
    <w:basedOn w:val="10"/>
    <w:qFormat/>
    <w:uiPriority w:val="0"/>
    <w:rPr>
      <w:rFonts w:hint="default" w:ascii="Times New Roman" w:hAnsi="Times New Roman" w:cs="Times New Roman"/>
    </w:rPr>
  </w:style>
  <w:style w:type="paragraph" w:customStyle="1" w:styleId="22">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3">
    <w:name w:val="HTML 预设格式 Char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Characters>4413</Characters>
  <Lines>1</Lines>
  <Paragraphs>1</Paragraphs>
  <ScaleCrop>false</ScaleCrop>
  <LinksUpToDate>false</LinksUpToDate>
  <Application>WPS Office_10.8.0.6206_F1E327BC-269C-435d-A152-05C5408002CA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2023-09-09T07:19:00Z</dcterms:created>
  <dc:creator>gfq</dc:creator>
  <cp:lastModifiedBy>cw</cp:lastModifiedBy>
  <dcterms:modified xsi:type="dcterms:W3CDTF">2023-10-10T01:51:42Z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2615D1A757C34ACC9E4F01D34B93E772_12</vt:lpwstr>
  </property>
</Properties>
</file>