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rPr>
      </w:pPr>
      <w:r>
        <w:rPr>
          <w:rStyle w:val="17"/>
          <w:rFonts w:hint="eastAsia" w:ascii="方正小标宋_GBK" w:hAnsi="方正小标宋_GBK" w:eastAsia="方正小标宋_GBK" w:cs="方正小标宋_GBK"/>
          <w:b/>
          <w:sz w:val="44"/>
          <w:szCs w:val="44"/>
          <w:shd w:val="clear" w:fill="FFFFFF"/>
        </w:rPr>
        <w:t>重庆市荣昌区退役军人事务局（本级）</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jc w:val="center"/>
        <w:textAlignment w:val="auto"/>
        <w:outlineLvl w:val="9"/>
        <w:rPr>
          <w:rStyle w:val="17"/>
          <w:rFonts w:hint="eastAsia" w:ascii="方正小标宋_GBK" w:hAnsi="方正小标宋_GBK" w:eastAsia="方正小标宋_GBK" w:cs="方正小标宋_GBK"/>
          <w:b/>
          <w:sz w:val="44"/>
          <w:szCs w:val="44"/>
          <w:shd w:val="clear" w:fill="FFFFFF"/>
        </w:rPr>
      </w:pPr>
      <w:r>
        <w:rPr>
          <w:rStyle w:val="17"/>
          <w:rFonts w:hint="eastAsia" w:ascii="方正小标宋_GBK" w:hAnsi="方正小标宋_GBK" w:eastAsia="方正小标宋_GBK" w:cs="方正小标宋_GBK"/>
          <w:b/>
          <w:sz w:val="44"/>
          <w:szCs w:val="44"/>
          <w:shd w:val="clear" w:fill="FFFFFF"/>
        </w:rPr>
        <w:t>2022年度部门决算情况说明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jc w:val="center"/>
        <w:textAlignment w:val="auto"/>
        <w:outlineLvl w:val="9"/>
        <w:rPr>
          <w:rStyle w:val="17"/>
          <w:rFonts w:hint="eastAsia" w:ascii="方正小标宋_GBK" w:hAnsi="方正小标宋_GBK" w:eastAsia="方正小标宋_GBK" w:cs="方正小标宋_GBK"/>
          <w:b/>
          <w:sz w:val="44"/>
          <w:szCs w:val="44"/>
          <w:shd w:val="clear" w:fill="FFFFFF"/>
        </w:rPr>
      </w:pP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00" w:firstLineChars="200"/>
        <w:jc w:val="left"/>
        <w:textAlignment w:val="auto"/>
        <w:outlineLvl w:val="9"/>
        <w:rPr>
          <w:rFonts w:hint="eastAsia" w:ascii="方正黑体_GBK" w:hAnsi="方正黑体_GBK" w:eastAsia="方正黑体_GBK" w:cs="方正黑体_GBK"/>
          <w:b w:val="0"/>
          <w:bCs/>
          <w:kern w:val="0"/>
          <w:sz w:val="30"/>
          <w:szCs w:val="30"/>
        </w:rPr>
      </w:pPr>
      <w:r>
        <w:rPr>
          <w:rStyle w:val="17"/>
          <w:rFonts w:hint="eastAsia" w:ascii="方正黑体_GBK" w:hAnsi="方正黑体_GBK" w:eastAsia="方正黑体_GBK" w:cs="方正黑体_GBK"/>
          <w:b w:val="0"/>
          <w:bCs/>
          <w:sz w:val="30"/>
          <w:szCs w:val="30"/>
          <w:shd w:val="clear" w:fill="FFFFFF"/>
        </w:rPr>
        <w:t>一、部门基本情况</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（一）职能职责</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kern w:val="0"/>
          <w:sz w:val="32"/>
          <w:szCs w:val="32"/>
          <w:shd w:val="clear" w:fill="FFFFFF"/>
        </w:rPr>
      </w:pPr>
      <w:r>
        <w:rPr>
          <w:rStyle w:val="17"/>
          <w:rFonts w:hint="eastAsia" w:ascii="方正仿宋_GBK" w:hAnsi="方正仿宋_GBK" w:eastAsia="方正仿宋_GBK" w:cs="方正仿宋_GBK"/>
          <w:b w:val="0"/>
          <w:sz w:val="32"/>
          <w:szCs w:val="32"/>
          <w:shd w:val="clear" w:fill="FFFFFF"/>
        </w:rPr>
        <w:t>部门现行的主要职能职责：负责军队转业干部、复员干部、离休退休干部、退役士兵无军籍退休退职职工的移交安置工作和自主择业、就业退役军人服务管理工作；会同有关部门组织实施退役军人特殊保障政策；组织开展伤病残退役军人服务管理和抚恤工作；组织开展全区拥军优属工作；负责烈士及退役军人荣誉奖励、军人公墓管理维护、纪念活动等工作。</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（二）机构设置</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kern w:val="0"/>
          <w:sz w:val="32"/>
          <w:szCs w:val="32"/>
          <w:shd w:val="clear" w:fill="FFFFFF"/>
        </w:rPr>
      </w:pPr>
      <w:r>
        <w:rPr>
          <w:rStyle w:val="17"/>
          <w:rFonts w:hint="eastAsia" w:ascii="方正仿宋_GBK" w:hAnsi="方正仿宋_GBK" w:eastAsia="方正仿宋_GBK" w:cs="方正仿宋_GBK"/>
          <w:b w:val="0"/>
          <w:sz w:val="32"/>
          <w:szCs w:val="32"/>
        </w:rPr>
        <w:t>重庆市荣昌区退役军人事务局；重庆市荣昌区退役军人事务局本级（二级单位）。重庆市荣昌区退役军人事务局本级为区退役军人事务局管理的正处级财政全额拨款事业单位。</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kern w:val="0"/>
          <w:sz w:val="32"/>
          <w:szCs w:val="32"/>
        </w:rPr>
      </w:pPr>
      <w:r>
        <w:rPr>
          <w:rStyle w:val="17"/>
          <w:rFonts w:hint="eastAsia" w:ascii="方正黑体_GBK" w:hAnsi="方正黑体_GBK" w:eastAsia="方正黑体_GBK" w:cs="方正黑体_GBK"/>
          <w:b w:val="0"/>
          <w:bCs/>
          <w:sz w:val="32"/>
          <w:szCs w:val="32"/>
          <w:shd w:val="clear" w:fill="FFFFFF"/>
        </w:rPr>
        <w:t>二、部门决算情况说明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（一）收入支出决算总体情况说明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shd w:val="clear" w:fill="FFFFFF"/>
        </w:rPr>
      </w:pPr>
      <w:r>
        <w:rPr>
          <w:rStyle w:val="17"/>
          <w:rFonts w:hint="eastAsia" w:ascii="方正仿宋_GBK" w:hAnsi="方正仿宋_GBK" w:eastAsia="方正仿宋_GBK" w:cs="方正仿宋_GBK"/>
          <w:b/>
          <w:sz w:val="32"/>
          <w:szCs w:val="32"/>
          <w:shd w:val="clear" w:fill="FFFFFF"/>
        </w:rPr>
        <w:t>1.总体情况。</w:t>
      </w:r>
      <w:r>
        <w:rPr>
          <w:rFonts w:hint="eastAsia" w:ascii="方正仿宋_GBK" w:hAnsi="方正仿宋_GBK" w:eastAsia="方正仿宋_GBK" w:cs="方正仿宋_GBK"/>
          <w:kern w:val="0"/>
          <w:sz w:val="32"/>
          <w:szCs w:val="32"/>
          <w:shd w:val="clear" w:fill="FFFFFF"/>
        </w:rPr>
        <w:t>2022年度收入总计9,371.56万元，支出总计9,371.56万元。收支较上年决算数增加588.2万元,增长6.7%，主要原因是本年度退役士兵增加26人，优抚人员补助资金增加，先后举行适应性培训和职业技能等培训300余人，组织春、秋季老兵招聘活动等。</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2.收入情况。</w:t>
      </w:r>
      <w:r>
        <w:rPr>
          <w:rFonts w:hint="eastAsia" w:ascii="方正仿宋_GBK" w:hAnsi="方正仿宋_GBK" w:eastAsia="方正仿宋_GBK" w:cs="方正仿宋_GBK"/>
          <w:kern w:val="0"/>
          <w:sz w:val="32"/>
          <w:szCs w:val="32"/>
          <w:shd w:val="clear" w:fill="FFFFFF"/>
        </w:rPr>
        <w:t>2022年度收入合计9,371.56万元，较上年决算数增加588.2万元，增长6.7%，主要原因是本年度退役士兵增加26人，优抚人员补助资金增加，先后举行适应性培训和职业技能等培训300余人，组织春、秋季老兵招聘活动等。其中：财政拨款收入9,371.56万元，占100%。</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shd w:val="clear" w:fill="FFFFFF"/>
        </w:rPr>
      </w:pPr>
      <w:r>
        <w:rPr>
          <w:rStyle w:val="17"/>
          <w:rFonts w:hint="eastAsia" w:ascii="方正仿宋_GBK" w:hAnsi="方正仿宋_GBK" w:eastAsia="方正仿宋_GBK" w:cs="方正仿宋_GBK"/>
          <w:b/>
          <w:sz w:val="32"/>
          <w:szCs w:val="32"/>
          <w:shd w:val="clear" w:fill="FFFFFF"/>
        </w:rPr>
        <w:t>3.支出情况。</w:t>
      </w:r>
      <w:r>
        <w:rPr>
          <w:rFonts w:hint="eastAsia" w:ascii="方正仿宋_GBK" w:hAnsi="方正仿宋_GBK" w:eastAsia="方正仿宋_GBK" w:cs="方正仿宋_GBK"/>
          <w:kern w:val="0"/>
          <w:sz w:val="32"/>
          <w:szCs w:val="32"/>
          <w:shd w:val="clear" w:fill="FFFFFF"/>
        </w:rPr>
        <w:t>2022年度支出合计9,371.56万元，较上年决算减少633.4万元，下降6.3%，主要原因是预算管理一体化改革单位拆分。其中：基本支出174.72万元，占1.9%；项目支出9,196.84万元，占98.1%；</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4.结转结余情况。</w:t>
      </w:r>
      <w:r>
        <w:rPr>
          <w:rFonts w:hint="eastAsia" w:ascii="方正仿宋_GBK" w:hAnsi="方正仿宋_GBK" w:eastAsia="方正仿宋_GBK" w:cs="方正仿宋_GBK"/>
          <w:kern w:val="0"/>
          <w:sz w:val="32"/>
          <w:szCs w:val="32"/>
          <w:shd w:val="clear" w:fill="FFFFFF"/>
        </w:rPr>
        <w:t>2022年度年末结转和结余0.00万元，较上年决算数增加0.00万元，增长</w:t>
      </w:r>
      <w:r>
        <w:rPr>
          <w:rFonts w:hint="eastAsia" w:ascii="方正仿宋_GBK" w:hAnsi="方正仿宋_GBK" w:eastAsia="方正仿宋_GBK" w:cs="方正仿宋_GBK"/>
          <w:kern w:val="0"/>
          <w:sz w:val="32"/>
          <w:szCs w:val="32"/>
          <w:shd w:val="clear" w:fill="FFFFFF"/>
          <w:lang w:val="en-US" w:eastAsia="zh-CN"/>
        </w:rPr>
        <w:t>0</w:t>
      </w:r>
      <w:r>
        <w:rPr>
          <w:rFonts w:hint="eastAsia" w:ascii="方正仿宋_GBK" w:hAnsi="方正仿宋_GBK" w:eastAsia="方正仿宋_GBK" w:cs="方正仿宋_GBK"/>
          <w:kern w:val="0"/>
          <w:sz w:val="32"/>
          <w:szCs w:val="32"/>
          <w:shd w:val="clear" w:fill="FFFFFF"/>
        </w:rPr>
        <w:t>%，主要原因是本单位2022年度无结转结余。</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（二）财政拨款收入支出决算总体情况说明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2022年度财政拨款收、支总计9,371.56万元。与2021年相比，财政拨款收、支总计各减少633.4万元，下降6.3%。主要原因是预算管理一体化改革单位拆分。</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（三）一般公共预算财政拨款收入支出决算情况说明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1.收入情况。</w:t>
      </w:r>
      <w:r>
        <w:rPr>
          <w:rFonts w:hint="eastAsia" w:ascii="方正仿宋_GBK" w:hAnsi="方正仿宋_GBK" w:eastAsia="方正仿宋_GBK" w:cs="方正仿宋_GBK"/>
          <w:kern w:val="0"/>
          <w:sz w:val="32"/>
          <w:szCs w:val="32"/>
          <w:shd w:val="clear" w:fill="FFFFFF"/>
        </w:rPr>
        <w:t>2022年度一般公共预算财政拨款收入9,371.56万元，较上年决算数增加588.2万元，增长6.7%。主要原因是本年度退役士兵增加26人，优抚人员补助资金增加，先后举行适应性培训和职业技能等培训300余人，组织春、秋季老兵招聘活动等。较年初预算数减少4,084.31万元，下降30.4%。主要原因是预算管理一体化改革单位拆分，</w:t>
      </w:r>
      <w:r>
        <w:rPr>
          <w:rFonts w:hint="eastAsia" w:ascii="方正仿宋_GBK" w:hAnsi="方正仿宋_GBK" w:eastAsia="方正仿宋_GBK" w:cs="方正仿宋_GBK"/>
          <w:color w:val="333333"/>
          <w:kern w:val="0"/>
          <w:sz w:val="32"/>
          <w:szCs w:val="32"/>
        </w:rPr>
        <w:t>公用经费支出减少，节约开支，项目经费支出减少</w:t>
      </w:r>
      <w:r>
        <w:rPr>
          <w:rFonts w:hint="eastAsia" w:ascii="方正仿宋_GBK" w:hAnsi="方正仿宋_GBK" w:eastAsia="方正仿宋_GBK" w:cs="方正仿宋_GBK"/>
          <w:kern w:val="0"/>
          <w:sz w:val="32"/>
          <w:szCs w:val="32"/>
          <w:shd w:val="clear" w:fill="FFFFFF"/>
        </w:rPr>
        <w:t>。此外，年初财政拨款结转和结余0.00万元。</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2.支出情况。</w:t>
      </w:r>
      <w:r>
        <w:rPr>
          <w:rFonts w:hint="eastAsia" w:ascii="方正仿宋_GBK" w:hAnsi="方正仿宋_GBK" w:eastAsia="方正仿宋_GBK" w:cs="方正仿宋_GBK"/>
          <w:kern w:val="0"/>
          <w:sz w:val="32"/>
          <w:szCs w:val="32"/>
          <w:shd w:val="clear" w:fill="FFFFFF"/>
        </w:rPr>
        <w:t>2022年度一般公共预算财政拨款支出9,371.56万元，较上年决算数增加609.1万元，增长6.9%。主要原因是本年度退役士兵增加26人，优抚人员补助资金增加，先后举行适应性培训和职业技能等培训300余人，组织春、秋季老兵招聘活动等。较年初预算数减少4,084.31万元，下降30.4%。主要原因是预算管理一体化改革单位拆分。</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3.结转结余情况。</w:t>
      </w:r>
      <w:r>
        <w:rPr>
          <w:rFonts w:hint="eastAsia" w:ascii="方正仿宋_GBK" w:hAnsi="方正仿宋_GBK" w:eastAsia="方正仿宋_GBK" w:cs="方正仿宋_GBK"/>
          <w:kern w:val="0"/>
          <w:sz w:val="32"/>
          <w:szCs w:val="32"/>
          <w:shd w:val="clear" w:fill="FFFFFF"/>
        </w:rPr>
        <w:t>2022年度年末一般公共预算财政拨款结转和结余0.00万元，较上年决算数增加0.00万元，增长</w:t>
      </w:r>
      <w:r>
        <w:rPr>
          <w:rFonts w:hint="eastAsia" w:ascii="方正仿宋_GBK" w:hAnsi="方正仿宋_GBK" w:eastAsia="方正仿宋_GBK" w:cs="方正仿宋_GBK"/>
          <w:kern w:val="0"/>
          <w:sz w:val="32"/>
          <w:szCs w:val="32"/>
          <w:shd w:val="clear" w:fill="FFFFFF"/>
          <w:lang w:val="en-US" w:eastAsia="zh-CN"/>
        </w:rPr>
        <w:t>0</w:t>
      </w:r>
      <w:r>
        <w:rPr>
          <w:rFonts w:hint="eastAsia" w:ascii="方正仿宋_GBK" w:hAnsi="方正仿宋_GBK" w:eastAsia="方正仿宋_GBK" w:cs="方正仿宋_GBK"/>
          <w:kern w:val="0"/>
          <w:sz w:val="32"/>
          <w:szCs w:val="32"/>
          <w:shd w:val="clear" w:fill="FFFFFF"/>
        </w:rPr>
        <w:t>%，主要原因是本单位2022年度无结转结余。</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4.比较情况。</w:t>
      </w:r>
      <w:r>
        <w:rPr>
          <w:rFonts w:hint="eastAsia" w:ascii="方正仿宋_GBK" w:hAnsi="方正仿宋_GBK" w:eastAsia="方正仿宋_GBK" w:cs="方正仿宋_GBK"/>
          <w:kern w:val="0"/>
          <w:sz w:val="32"/>
          <w:szCs w:val="32"/>
          <w:shd w:val="clear" w:fill="FFFFFF"/>
        </w:rPr>
        <w:t>本部门2022年度一般公共预算财政拨款支出主要用于以下几个方面：</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（1）一般公共服务支出0.20万元，占0%，较年初预算数增加0.00万元，增长0%，主要原因是公经费支出，与年初预算数持平。</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（2）教育支出0.01万元，占0%，较年初预算数减少195.93，下降100%，主要原因是教育项目调剂，厉行节约，教育经费减少。</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（3）文化旅游体育与传媒支出0.00万元，占0%，较年初预算数减少19.16万元，下降100%，主要原因是项目调剂减少。</w:t>
      </w:r>
    </w:p>
    <w:p>
      <w:pPr>
        <w:pStyle w:val="21"/>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（4）社会保障与就业支出8,661.73万元，占92.4%，较年初预算数减少3,704.63万元，下降30%，主要原因是</w:t>
      </w:r>
      <w:r>
        <w:rPr>
          <w:rFonts w:hint="eastAsia" w:ascii="方正仿宋_GBK" w:hAnsi="方正仿宋_GBK" w:eastAsia="方正仿宋_GBK" w:cs="方正仿宋_GBK"/>
          <w:color w:val="333333"/>
          <w:kern w:val="0"/>
          <w:sz w:val="32"/>
          <w:szCs w:val="32"/>
        </w:rPr>
        <w:t>节约开支，项目经费支出减少</w:t>
      </w:r>
      <w:r>
        <w:rPr>
          <w:rFonts w:hint="eastAsia" w:ascii="方正仿宋_GBK" w:hAnsi="方正仿宋_GBK" w:eastAsia="方正仿宋_GBK" w:cs="方正仿宋_GBK"/>
          <w:kern w:val="0"/>
          <w:sz w:val="32"/>
          <w:szCs w:val="32"/>
          <w:shd w:val="clear" w:fill="FFFFFF"/>
        </w:rPr>
        <w:t>。</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（5）卫生健康支出698.21万元，占7.5%，较年初预算数减少50.61万元，下降6.8%，主要原因是在编在岗职工医疗保险费，社保基数调整。</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（6）住房保障支出11.40万元，占0.1%，较年初预算数增加0.00万元，增长0%，主要原因是在编在岗职工住房公积金费，与年初预算数持平。</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（四）一般公共预算财政拨款基本支出决算情况说明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一般公共预算财政拨款基本支出174.72万元。其中：人员经费140.70万元，较上年决算数减少293.43万元，下降67.6%，主要原因是预算管理一体化改革单位拆分，人员减少节约开支。人员经费用途主要包括基本工资、津贴补贴、奖金、机关事业单位基本养老保险缴费、医疗费、住房公积金、医疗费补助。公用经费34.02万元，较上年决算数减少64.3万元，下降65.4%，主要原因是预算管理一体化改革单位拆分。公用经费用途主要包括办公费、邮电费、差旅费、工会经费、会议费、其他商品和服务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楷体_GBK" w:hAnsi="方正楷体_GBK" w:eastAsia="方正楷体_GBK" w:cs="方正楷体_GBK"/>
          <w:kern w:val="0"/>
          <w:sz w:val="32"/>
          <w:szCs w:val="32"/>
        </w:rPr>
      </w:pPr>
      <w:r>
        <w:rPr>
          <w:rStyle w:val="17"/>
          <w:rFonts w:hint="eastAsia" w:ascii="方正楷体_GBK" w:hAnsi="方正楷体_GBK" w:eastAsia="方正楷体_GBK" w:cs="方正楷体_GBK"/>
          <w:b/>
          <w:sz w:val="32"/>
          <w:szCs w:val="32"/>
          <w:shd w:val="clear" w:fill="FFFFFF"/>
        </w:rPr>
        <w:t>（五）政府性基金预算收支决算情况说明。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本单位2022年度无政府基金预算财政拨款收支。</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楷体_GBK" w:hAnsi="方正楷体_GBK" w:eastAsia="方正楷体_GBK" w:cs="方正楷体_GBK"/>
          <w:kern w:val="0"/>
          <w:sz w:val="32"/>
          <w:szCs w:val="32"/>
        </w:rPr>
      </w:pPr>
      <w:r>
        <w:rPr>
          <w:rStyle w:val="17"/>
          <w:rFonts w:hint="eastAsia" w:ascii="方正楷体_GBK" w:hAnsi="方正楷体_GBK" w:eastAsia="方正楷体_GBK" w:cs="方正楷体_GBK"/>
          <w:b/>
          <w:sz w:val="32"/>
          <w:szCs w:val="32"/>
          <w:shd w:val="clear" w:fill="FFFFFF"/>
        </w:rPr>
        <w:t>（六）国有资本经营预算财政拨款支出决算情况说明。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本单位2022年度无国有资本经营预算财政拨款支出。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kern w:val="0"/>
          <w:sz w:val="32"/>
          <w:szCs w:val="32"/>
        </w:rPr>
      </w:pPr>
      <w:r>
        <w:rPr>
          <w:rStyle w:val="17"/>
          <w:rFonts w:hint="eastAsia" w:ascii="方正黑体_GBK" w:hAnsi="方正黑体_GBK" w:eastAsia="方正黑体_GBK" w:cs="方正黑体_GBK"/>
          <w:b w:val="0"/>
          <w:bCs/>
          <w:sz w:val="32"/>
          <w:szCs w:val="32"/>
          <w:shd w:val="clear" w:fill="FFFFFF"/>
        </w:rPr>
        <w:t>三、“三公”经费情况说明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（一）“三公”经费支出总体情况说明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2022年度“三公”经费支出共计3.31万元，较年初预算数减少0.07万元，下降2.1%，主要原因是厉行节约，疫情原因接待减少。较上年支出数增加1.18万元，增长55.9%，主要原因是去年新车无保养费，今年增加保养费和维修费。2022年市局优抚建设巡查和优抚科室对接工作接待，餐费增加。</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（二）“三公”经费分项支出情况</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2022年度本部门因公出国（境）费用0.00万元，主要是用于因公出差费用。费用支出较年初预算数增加0.00万元，增长</w:t>
      </w:r>
      <w:r>
        <w:rPr>
          <w:rFonts w:hint="eastAsia" w:ascii="方正仿宋_GBK" w:hAnsi="方正仿宋_GBK" w:eastAsia="方正仿宋_GBK" w:cs="方正仿宋_GBK"/>
          <w:kern w:val="0"/>
          <w:sz w:val="32"/>
          <w:szCs w:val="32"/>
          <w:shd w:val="clear" w:fill="FFFFFF"/>
          <w:lang w:val="en-US" w:eastAsia="zh-CN"/>
        </w:rPr>
        <w:t>0</w:t>
      </w:r>
      <w:r>
        <w:rPr>
          <w:rFonts w:hint="eastAsia" w:ascii="方正仿宋_GBK" w:hAnsi="方正仿宋_GBK" w:eastAsia="方正仿宋_GBK" w:cs="方正仿宋_GBK"/>
          <w:kern w:val="0"/>
          <w:sz w:val="32"/>
          <w:szCs w:val="32"/>
          <w:shd w:val="clear" w:fill="FFFFFF"/>
        </w:rPr>
        <w:t>%，主要原因是本单位2022年度未发生因公国（境）费用支出。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公务车购置费0.00万元，主要用于购买公务车费用。费用支出较年初预算数增加0.00万元，增长</w:t>
      </w:r>
      <w:r>
        <w:rPr>
          <w:rFonts w:hint="eastAsia" w:ascii="方正仿宋_GBK" w:hAnsi="方正仿宋_GBK" w:eastAsia="方正仿宋_GBK" w:cs="方正仿宋_GBK"/>
          <w:kern w:val="0"/>
          <w:sz w:val="32"/>
          <w:szCs w:val="32"/>
          <w:shd w:val="clear" w:fill="FFFFFF"/>
          <w:lang w:val="en-US" w:eastAsia="zh-CN"/>
        </w:rPr>
        <w:t>0</w:t>
      </w:r>
      <w:r>
        <w:rPr>
          <w:rFonts w:hint="eastAsia" w:ascii="方正仿宋_GBK" w:hAnsi="方正仿宋_GBK" w:eastAsia="方正仿宋_GBK" w:cs="方正仿宋_GBK"/>
          <w:kern w:val="0"/>
          <w:sz w:val="32"/>
          <w:szCs w:val="32"/>
          <w:shd w:val="clear" w:fill="FFFFFF"/>
        </w:rPr>
        <w:t>%，主要原因是本单位2022年度未发生公务车购置费支出。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公务车运行维护费2.99万元，主要用于公务车保险费、加油费、维修保养费、过路过桥费。费用支出较年初预算数减少0.01万元，下降0.3%，主要原因是厉行节约，减少公务车使用。较上年支出数增加0.99万元，增长49.6%，主要原因是去年新车无保养费，今年增加保养费和维修费。</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公务接待费0.32万元，主要用于接待2022年市局优抚建设巡查和优抚科室对接工作接待，餐费增加。费用支出较年初预算数增加0.06万元，下降15.8%，主要原因是强化公务接待支出管理，严格遵守公务接待开支范围和开支标准。较上年支出数减少0.19万元，增长56%，主要原因接待是2022年市局优抚建设巡查和优抚科室对接工作接待，餐费增加。</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（三）“三公”经费实物量情况</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2022年度本部门因公出国（境）共计0个团组，0人；公务用车购置0辆，公务车保有量为1辆；国内公务接待36批次36人，其中：国内外事接待0批次，0人；国（境）外公务接待0批次，0人。2022年本部门人均接待费89.19元，车均购置费0.00万元，车均维护费2.99万元。</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kern w:val="0"/>
          <w:sz w:val="32"/>
          <w:szCs w:val="32"/>
        </w:rPr>
      </w:pPr>
      <w:r>
        <w:rPr>
          <w:rStyle w:val="17"/>
          <w:rFonts w:hint="eastAsia" w:ascii="方正黑体_GBK" w:hAnsi="方正黑体_GBK" w:eastAsia="方正黑体_GBK" w:cs="方正黑体_GBK"/>
          <w:b w:val="0"/>
          <w:bCs/>
          <w:sz w:val="32"/>
          <w:szCs w:val="32"/>
          <w:shd w:val="clear" w:fill="FFFFFF"/>
        </w:rPr>
        <w:t>四、其他需要说明的事项</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（一）财政拨款会议费和培训费情况说明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本年度会议费支出0.00万元，较上年决算数增加0.00万元，增长</w:t>
      </w:r>
      <w:r>
        <w:rPr>
          <w:rFonts w:hint="eastAsia" w:ascii="方正仿宋_GBK" w:hAnsi="方正仿宋_GBK" w:eastAsia="方正仿宋_GBK" w:cs="方正仿宋_GBK"/>
          <w:kern w:val="0"/>
          <w:sz w:val="32"/>
          <w:szCs w:val="32"/>
          <w:shd w:val="clear" w:fill="FFFFFF"/>
          <w:lang w:val="en-US" w:eastAsia="zh-CN"/>
        </w:rPr>
        <w:t>0</w:t>
      </w:r>
      <w:r>
        <w:rPr>
          <w:rFonts w:hint="eastAsia" w:ascii="方正仿宋_GBK" w:hAnsi="方正仿宋_GBK" w:eastAsia="方正仿宋_GBK" w:cs="方正仿宋_GBK"/>
          <w:kern w:val="0"/>
          <w:sz w:val="32"/>
          <w:szCs w:val="32"/>
          <w:shd w:val="clear" w:fill="FFFFFF"/>
        </w:rPr>
        <w:t>%，主要原因是本单位2022年度无会议支出。本年度培训费支出12.01万元，较上年决算数增加7,33万元，增长156,4%，主要原因是先后举行适应性培训和职业技能等培训300余人，组织春、秋季老兵招聘活动等。</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（二）机关运行经费支出情况说明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2022年度本部门机关运行经费支出34.02万元，主要用于开支为保障行政单位（含 参照公务员法管理的事业单位）运行用于购买货物和服务等的各项公用经费，包括办公及印刷制作宣传视频费、快递费、差旅费报销、福利费、日常维护费、专用材料及一般设备购置费、办公用房水电费、办公用房电费、公务用车运行维护费以及其他费用。机关运行经费较上年决算数减少30.27万元，下降30.8%，主要原因是因预算管理一体化改革单位拆分。</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（三）国有资产占用情况说明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（四）政府采购支出说明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2022年度我单位未发生政府采购事项，无相关经费支出。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kern w:val="0"/>
          <w:sz w:val="32"/>
          <w:szCs w:val="32"/>
        </w:rPr>
      </w:pPr>
      <w:r>
        <w:rPr>
          <w:rStyle w:val="17"/>
          <w:rFonts w:hint="eastAsia" w:ascii="方正黑体_GBK" w:hAnsi="方正黑体_GBK" w:eastAsia="方正黑体_GBK" w:cs="方正黑体_GBK"/>
          <w:b w:val="0"/>
          <w:bCs/>
          <w:sz w:val="32"/>
          <w:szCs w:val="32"/>
          <w:shd w:val="clear" w:fill="FFFFFF"/>
        </w:rPr>
        <w:t>五、预算绩效管理情况说明</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shd w:val="clear" w:fill="FFFF00"/>
        </w:rPr>
      </w:pPr>
      <w:r>
        <w:rPr>
          <w:rStyle w:val="17"/>
          <w:rFonts w:hint="eastAsia" w:ascii="方正楷体_GBK" w:hAnsi="方正楷体_GBK" w:eastAsia="方正楷体_GBK" w:cs="方正楷体_GBK"/>
          <w:b w:val="0"/>
          <w:bCs/>
          <w:sz w:val="32"/>
          <w:szCs w:val="32"/>
          <w:shd w:val="clear" w:fill="FFFFFF"/>
        </w:rPr>
        <w:t>（一）预算绩效管理工作开展情况</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kern w:val="0"/>
          <w:sz w:val="32"/>
          <w:szCs w:val="32"/>
          <w:shd w:val="clear" w:fill="FFFFFF"/>
        </w:rPr>
        <w:t>根据预算绩效管理要求，本部门对28个项目开展了绩效自评，项目绩效自评涉及资金9196.84万元。其中：以填报自评表形式开展自评2项，涉及资金4960万元。</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（二）绩效自评结果。</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b/>
          <w:sz w:val="32"/>
          <w:szCs w:val="32"/>
          <w:shd w:val="clear" w:fill="FFFFFF"/>
        </w:rPr>
      </w:pPr>
      <w:r>
        <w:rPr>
          <w:rStyle w:val="17"/>
          <w:rFonts w:hint="eastAsia" w:ascii="方正仿宋_GBK" w:hAnsi="方正仿宋_GBK" w:eastAsia="方正仿宋_GBK" w:cs="方正仿宋_GBK"/>
          <w:b/>
          <w:sz w:val="32"/>
          <w:szCs w:val="32"/>
          <w:shd w:val="clear" w:fill="FFFFFF"/>
        </w:rPr>
        <w:t>1.绩效目标自评表。</w:t>
      </w:r>
    </w:p>
    <w:p>
      <w:pPr>
        <w:pStyle w:val="21"/>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kern w:val="0"/>
          <w:sz w:val="32"/>
          <w:szCs w:val="32"/>
          <w:shd w:val="clear" w:fill="FFFFFF"/>
        </w:rPr>
      </w:pPr>
      <w:r>
        <w:rPr>
          <w:rStyle w:val="15"/>
          <w:rFonts w:hint="eastAsia" w:ascii="方正仿宋_GBK" w:hAnsi="方正仿宋_GBK" w:eastAsia="方正仿宋_GBK" w:cs="方正仿宋_GBK"/>
          <w:b w:val="0"/>
          <w:sz w:val="32"/>
          <w:szCs w:val="32"/>
          <w:shd w:val="clear" w:fill="FFFFFF"/>
        </w:rPr>
        <w:t>（1）公开范围。本部门共公开一般性项目2个，涉及资金</w:t>
      </w:r>
      <w:r>
        <w:rPr>
          <w:rFonts w:hint="eastAsia" w:ascii="方正仿宋_GBK" w:hAnsi="方正仿宋_GBK" w:eastAsia="方正仿宋_GBK" w:cs="方正仿宋_GBK"/>
          <w:kern w:val="0"/>
          <w:sz w:val="32"/>
          <w:szCs w:val="32"/>
          <w:shd w:val="clear" w:fill="FFFFFF"/>
        </w:rPr>
        <w:t>4960</w:t>
      </w:r>
      <w:r>
        <w:rPr>
          <w:rStyle w:val="15"/>
          <w:rFonts w:hint="eastAsia" w:ascii="方正仿宋_GBK" w:hAnsi="方正仿宋_GBK" w:eastAsia="方正仿宋_GBK" w:cs="方正仿宋_GBK"/>
          <w:b w:val="0"/>
          <w:sz w:val="32"/>
          <w:szCs w:val="32"/>
          <w:shd w:val="clear" w:fill="FFFFFF"/>
        </w:rPr>
        <w:t>万元。其中：定期优抚生活补助项目</w:t>
      </w:r>
      <w:r>
        <w:rPr>
          <w:rFonts w:hint="eastAsia" w:ascii="方正仿宋_GBK" w:hAnsi="方正仿宋_GBK" w:eastAsia="方正仿宋_GBK" w:cs="方正仿宋_GBK"/>
          <w:kern w:val="0"/>
          <w:sz w:val="32"/>
          <w:szCs w:val="32"/>
        </w:rPr>
        <w:t>经费</w:t>
      </w:r>
      <w:r>
        <w:rPr>
          <w:rStyle w:val="15"/>
          <w:rFonts w:hint="eastAsia" w:ascii="方正仿宋_GBK" w:hAnsi="方正仿宋_GBK" w:eastAsia="方正仿宋_GBK" w:cs="方正仿宋_GBK"/>
          <w:b w:val="0"/>
          <w:sz w:val="32"/>
          <w:szCs w:val="32"/>
          <w:shd w:val="clear" w:fill="FFFFFF"/>
        </w:rPr>
        <w:t>4592万元，自主就业退役士兵一次性经济补助项目</w:t>
      </w:r>
      <w:r>
        <w:rPr>
          <w:rFonts w:hint="eastAsia" w:ascii="方正仿宋_GBK" w:hAnsi="方正仿宋_GBK" w:eastAsia="方正仿宋_GBK" w:cs="方正仿宋_GBK"/>
          <w:kern w:val="0"/>
          <w:sz w:val="32"/>
          <w:szCs w:val="32"/>
        </w:rPr>
        <w:t>经费</w:t>
      </w:r>
      <w:r>
        <w:rPr>
          <w:rStyle w:val="15"/>
          <w:rFonts w:hint="eastAsia" w:ascii="方正仿宋_GBK" w:hAnsi="方正仿宋_GBK" w:eastAsia="方正仿宋_GBK" w:cs="方正仿宋_GBK"/>
          <w:b w:val="0"/>
          <w:sz w:val="32"/>
          <w:szCs w:val="32"/>
          <w:shd w:val="clear" w:fill="FFFFFF"/>
        </w:rPr>
        <w:t>368万元。</w:t>
      </w:r>
    </w:p>
    <w:p>
      <w:pPr>
        <w:pStyle w:val="21"/>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kern w:val="0"/>
          <w:sz w:val="32"/>
          <w:szCs w:val="32"/>
          <w:shd w:val="clear" w:fill="FFFFFF"/>
        </w:rPr>
      </w:pPr>
      <w:r>
        <w:rPr>
          <w:rStyle w:val="15"/>
          <w:rFonts w:hint="eastAsia" w:ascii="方正仿宋_GBK" w:hAnsi="方正仿宋_GBK" w:eastAsia="方正仿宋_GBK" w:cs="方正仿宋_GBK"/>
          <w:b w:val="0"/>
          <w:sz w:val="32"/>
          <w:szCs w:val="32"/>
          <w:shd w:val="clear" w:fill="FFFFFF"/>
        </w:rPr>
        <w:t>（2）公开内容。本部门充分履行职责职能，严格按政府会计制度及相关法律法规使用、管理资金，成效明显。绩效目标自评表详见附件10、11：</w:t>
      </w:r>
      <w:r>
        <w:rPr>
          <w:rFonts w:hint="eastAsia" w:ascii="方正仿宋_GBK" w:hAnsi="方正仿宋_GBK" w:eastAsia="方正仿宋_GBK" w:cs="方正仿宋_GBK"/>
          <w:kern w:val="0"/>
          <w:sz w:val="32"/>
          <w:szCs w:val="32"/>
        </w:rPr>
        <w:t>重庆市荣昌区退役军人事务局（本级）</w:t>
      </w:r>
      <w:r>
        <w:rPr>
          <w:rStyle w:val="15"/>
          <w:rFonts w:hint="eastAsia" w:ascii="方正仿宋_GBK" w:hAnsi="方正仿宋_GBK" w:eastAsia="方正仿宋_GBK" w:cs="方正仿宋_GBK"/>
          <w:b w:val="0"/>
          <w:sz w:val="32"/>
          <w:szCs w:val="32"/>
          <w:shd w:val="clear" w:fill="FFFFFF"/>
        </w:rPr>
        <w:t>2022年度二级项目绩效自评表。</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2.绩效自评报告或案例。</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kern w:val="0"/>
          <w:sz w:val="32"/>
          <w:szCs w:val="32"/>
          <w:shd w:val="clear" w:fill="FFFFFF"/>
        </w:rPr>
      </w:pPr>
      <w:r>
        <w:rPr>
          <w:rStyle w:val="15"/>
          <w:rFonts w:hint="eastAsia" w:ascii="方正仿宋_GBK" w:hAnsi="方正仿宋_GBK" w:eastAsia="方正仿宋_GBK" w:cs="方正仿宋_GBK"/>
          <w:b w:val="0"/>
          <w:sz w:val="32"/>
          <w:szCs w:val="32"/>
          <w:shd w:val="clear" w:fill="FFFFFF"/>
        </w:rPr>
        <w:t>2022年度本部门未委托第三方机构开展项目绩效自评。</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Style w:val="17"/>
          <w:rFonts w:hint="eastAsia" w:ascii="方正仿宋_GBK" w:hAnsi="方正仿宋_GBK" w:eastAsia="方正仿宋_GBK" w:cs="方正仿宋_GBK"/>
          <w:b/>
          <w:sz w:val="32"/>
          <w:szCs w:val="32"/>
          <w:shd w:val="clear" w:fill="FFFFFF"/>
        </w:rPr>
        <w:t>3.关于绩效自评结果的说明。</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kern w:val="0"/>
          <w:sz w:val="32"/>
          <w:szCs w:val="32"/>
          <w:shd w:val="clear" w:fill="FFFFFF"/>
        </w:rPr>
      </w:pPr>
      <w:r>
        <w:rPr>
          <w:rStyle w:val="20"/>
          <w:rFonts w:hint="eastAsia" w:ascii="方正仿宋_GBK" w:hAnsi="方正仿宋_GBK" w:eastAsia="方正仿宋_GBK" w:cs="方正仿宋_GBK"/>
          <w:b w:val="0"/>
          <w:sz w:val="32"/>
          <w:szCs w:val="32"/>
          <w:shd w:val="clear" w:fill="FFFFFF"/>
        </w:rPr>
        <w:t>本单位共公开一般性项目2项，涉及资金</w:t>
      </w:r>
      <w:r>
        <w:rPr>
          <w:rFonts w:hint="eastAsia" w:ascii="方正仿宋_GBK" w:hAnsi="方正仿宋_GBK" w:eastAsia="方正仿宋_GBK" w:cs="方正仿宋_GBK"/>
          <w:kern w:val="0"/>
          <w:sz w:val="32"/>
          <w:szCs w:val="32"/>
          <w:shd w:val="clear" w:fill="FFFFFF"/>
        </w:rPr>
        <w:t>4960</w:t>
      </w:r>
      <w:r>
        <w:rPr>
          <w:rStyle w:val="20"/>
          <w:rFonts w:hint="eastAsia" w:ascii="方正仿宋_GBK" w:hAnsi="方正仿宋_GBK" w:eastAsia="方正仿宋_GBK" w:cs="方正仿宋_GBK"/>
          <w:b w:val="0"/>
          <w:sz w:val="32"/>
          <w:szCs w:val="32"/>
          <w:shd w:val="clear" w:fill="FFFFFF"/>
        </w:rPr>
        <w:t>万元。</w:t>
      </w:r>
    </w:p>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w:t>
      </w:r>
      <w:r>
        <w:rPr>
          <w:rStyle w:val="15"/>
          <w:rFonts w:hint="eastAsia" w:ascii="方正仿宋_GBK" w:hAnsi="方正仿宋_GBK" w:eastAsia="方正仿宋_GBK" w:cs="方正仿宋_GBK"/>
          <w:b w:val="0"/>
          <w:sz w:val="32"/>
          <w:szCs w:val="32"/>
          <w:shd w:val="clear" w:fill="FFFFFF"/>
        </w:rPr>
        <w:t>定期优抚生活补助项目</w:t>
      </w:r>
      <w:r>
        <w:rPr>
          <w:rFonts w:hint="eastAsia" w:ascii="方正仿宋_GBK" w:hAnsi="方正仿宋_GBK" w:eastAsia="方正仿宋_GBK" w:cs="方正仿宋_GBK"/>
          <w:kern w:val="0"/>
          <w:sz w:val="32"/>
          <w:szCs w:val="32"/>
        </w:rPr>
        <w:t>。</w:t>
      </w:r>
    </w:p>
    <w:p>
      <w:pPr>
        <w:keepNext w:val="0"/>
        <w:keepLines w:val="0"/>
        <w:pageBreakBefore w:val="0"/>
        <w:widowControl w:val="0"/>
        <w:suppressLineNumbers w:val="0"/>
        <w:kinsoku/>
        <w:wordWrap/>
        <w:overflowPunct/>
        <w:topLinePunct w:val="0"/>
        <w:autoSpaceDE w:val="0"/>
        <w:autoSpaceDN/>
        <w:bidi w:val="0"/>
        <w:adjustRightInd/>
        <w:snapToGrid/>
        <w:spacing w:before="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项目资金情况：该项目年初部门预算4743万元。</w:t>
      </w:r>
    </w:p>
    <w:p>
      <w:pPr>
        <w:keepNext w:val="0"/>
        <w:keepLines w:val="0"/>
        <w:pageBreakBefore w:val="0"/>
        <w:widowControl/>
        <w:suppressLineNumbers w:val="0"/>
        <w:kinsoku/>
        <w:wordWrap/>
        <w:overflowPunct/>
        <w:topLinePunct w:val="0"/>
        <w:autoSpaceDN/>
        <w:bidi w:val="0"/>
        <w:adjustRightInd/>
        <w:snapToGrid/>
        <w:spacing w:before="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绩效自评情况：该项目主要坚持“钱”与“事”相匹配的原则进行项目绩效评价，主要从资金的年初预算和根据自身实际使用情况进行评价。全年根据法规及章程要求开展了优抚抚恤项目绩效目标自评综述：根据年初设定的绩效目标，项目总体完成情况良好。2022年全年发放优抚生活补助共计5298人，资金使用4592万元，使用率达到97%。优抚生活补助发放成本大致为1.17万元/人/年。通过发放优抚对象抚恤补助资金，使优抚对象等人员的基本生活得到有效保障。自评总分97分。</w:t>
      </w:r>
    </w:p>
    <w:p>
      <w:pPr>
        <w:pStyle w:val="1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（2）自主就业退役士兵一次性经济补助项目。</w:t>
      </w:r>
    </w:p>
    <w:p>
      <w:pPr>
        <w:keepNext w:val="0"/>
        <w:keepLines w:val="0"/>
        <w:pageBreakBefore w:val="0"/>
        <w:widowControl w:val="0"/>
        <w:suppressLineNumbers w:val="0"/>
        <w:kinsoku/>
        <w:wordWrap/>
        <w:overflowPunct/>
        <w:topLinePunct w:val="0"/>
        <w:autoSpaceDE w:val="0"/>
        <w:autoSpaceDN/>
        <w:bidi w:val="0"/>
        <w:adjustRightInd/>
        <w:snapToGrid/>
        <w:spacing w:before="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项目资金情况：该项目年初部门预算393万元。</w:t>
      </w:r>
    </w:p>
    <w:p>
      <w:pPr>
        <w:pStyle w:val="14"/>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项目绩效自评情况：该项目主要坚持“钱”与“事”相匹配的原则进行项目绩效评价，主要从资金的年初预算和根据自身实际使用情况进行评价。全年根据法规及章程要求开展了全年共计发放一次性经济补助人数218人，发放金额368万元。保障了一次性经济补助的按时足额发放，促进了退役士兵自主就业，维护了退役士兵合法权益，使退役士兵安置工作顺利开展。自评总分94分。</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kern w:val="0"/>
          <w:sz w:val="32"/>
          <w:szCs w:val="32"/>
        </w:rPr>
      </w:pPr>
      <w:r>
        <w:rPr>
          <w:rStyle w:val="17"/>
          <w:rFonts w:hint="eastAsia" w:ascii="方正楷体_GBK" w:hAnsi="方正楷体_GBK" w:eastAsia="方正楷体_GBK" w:cs="方正楷体_GBK"/>
          <w:b w:val="0"/>
          <w:bCs/>
          <w:sz w:val="32"/>
          <w:szCs w:val="32"/>
          <w:shd w:val="clear" w:fill="FFFFFF"/>
        </w:rPr>
        <w:t>（三）重点绩效评价结果。</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kern w:val="0"/>
          <w:sz w:val="32"/>
          <w:szCs w:val="32"/>
          <w:shd w:val="clear" w:fill="FFFFFF"/>
        </w:rPr>
      </w:pPr>
      <w:r>
        <w:rPr>
          <w:rStyle w:val="17"/>
          <w:rFonts w:hint="eastAsia" w:ascii="方正仿宋_GBK" w:hAnsi="方正仿宋_GBK" w:eastAsia="方正仿宋_GBK" w:cs="方正仿宋_GBK"/>
          <w:b w:val="0"/>
          <w:sz w:val="32"/>
          <w:szCs w:val="32"/>
          <w:shd w:val="clear" w:fill="FFFFFF"/>
        </w:rPr>
        <w:t>区财政局委托第三方对本部门优抚生活补助实施项目绩效评价。评价结果和内容，区财政局将适时进行集中公开。</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kern w:val="0"/>
          <w:sz w:val="32"/>
          <w:szCs w:val="32"/>
        </w:rPr>
      </w:pPr>
      <w:r>
        <w:rPr>
          <w:rStyle w:val="17"/>
          <w:rFonts w:hint="eastAsia" w:ascii="方正黑体_GBK" w:hAnsi="方正黑体_GBK" w:eastAsia="方正黑体_GBK" w:cs="方正黑体_GBK"/>
          <w:b w:val="0"/>
          <w:bCs/>
          <w:sz w:val="32"/>
          <w:szCs w:val="32"/>
          <w:shd w:val="clear" w:fill="FFFFFF"/>
        </w:rPr>
        <w:t>六、专业名词解释</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bookmarkStart w:id="0" w:name="_GoBack"/>
      <w:r>
        <w:rPr>
          <w:rFonts w:hint="eastAsia" w:ascii="方正楷体_GBK" w:hAnsi="方正楷体_GBK" w:eastAsia="方正楷体_GBK" w:cs="方正楷体_GBK"/>
          <w:b/>
          <w:bCs/>
          <w:kern w:val="0"/>
          <w:sz w:val="32"/>
          <w:szCs w:val="32"/>
        </w:rPr>
        <w:t>（一）财政拨款收入</w:t>
      </w:r>
      <w:bookmarkEnd w:id="0"/>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指本年度从本级财政部门取得的财政拨款，包括一般公共预算财政拨款和政府性基金预算财政拨款。</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（二）事业收入：</w:t>
      </w:r>
      <w:r>
        <w:rPr>
          <w:rFonts w:hint="eastAsia" w:ascii="方正仿宋_GBK" w:hAnsi="方正仿宋_GBK" w:eastAsia="方正仿宋_GBK" w:cs="方正仿宋_GBK"/>
          <w:kern w:val="0"/>
          <w:sz w:val="32"/>
          <w:szCs w:val="32"/>
        </w:rPr>
        <w:t>指事业单位开展专业业务活动及其辅助活动取得的现金流入；事业单位收到的财政专户实际核拨的教育收费等资金在此反映。</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（三）其他收入：</w:t>
      </w:r>
      <w:r>
        <w:rPr>
          <w:rFonts w:hint="eastAsia" w:ascii="方正仿宋_GBK" w:hAnsi="方正仿宋_GBK" w:eastAsia="方正仿宋_GBK" w:cs="方正仿宋_GBK"/>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（四）使用非财政拨款结余：</w:t>
      </w:r>
      <w:r>
        <w:rPr>
          <w:rFonts w:hint="eastAsia" w:ascii="方正仿宋_GBK" w:hAnsi="方正仿宋_GBK" w:eastAsia="方正仿宋_GBK" w:cs="方正仿宋_GBK"/>
          <w:kern w:val="0"/>
          <w:sz w:val="32"/>
          <w:szCs w:val="32"/>
        </w:rPr>
        <w:t>指单位在当年的“财政拨款收入”、“事业收入”、“经营收入”、“其他收入”等不足以安排当年支出的情况下，使用以前年度积累的非财政拨款结余弥补本年度收支缺口的资金。</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（五）年初结转和结余</w:t>
      </w:r>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指单位上年结转本年使用的基本支出结转、项目支出结转和结余、经营结余。</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（六）结余分配</w:t>
      </w:r>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指单位按照国家有关规定，缴纳所得税、提取专用基金、转入非财政拨款结余等当年结余的分配情况。</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（七）年末结转和结余</w:t>
      </w:r>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指单位结转下年的基本支出结转、项目支出结转和结余、经营结余。</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（八）基本支出：</w:t>
      </w:r>
      <w:r>
        <w:rPr>
          <w:rFonts w:hint="eastAsia" w:ascii="方正仿宋_GBK" w:hAnsi="方正仿宋_GBK" w:eastAsia="方正仿宋_GBK" w:cs="方正仿宋_GBK"/>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（九）项目支出</w:t>
      </w:r>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指在基本支出之外为完成特定行政任务和事业发展目标所发生的支出。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（十）“三公”经费：</w:t>
      </w:r>
      <w:r>
        <w:rPr>
          <w:rFonts w:hint="eastAsia" w:ascii="方正仿宋_GBK" w:hAnsi="方正仿宋_GBK" w:eastAsia="方正仿宋_GBK" w:cs="方正仿宋_GBK"/>
          <w:kern w:val="0"/>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（十一）机关运行经费：</w:t>
      </w:r>
      <w:r>
        <w:rPr>
          <w:rFonts w:hint="eastAsia" w:ascii="方正仿宋_GBK" w:hAnsi="方正仿宋_GBK" w:eastAsia="方正仿宋_GBK" w:cs="方正仿宋_GBK"/>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（十二）工资福利支出（支出经济分类科目类级）：</w:t>
      </w:r>
      <w:r>
        <w:rPr>
          <w:rFonts w:hint="eastAsia" w:ascii="方正仿宋_GBK" w:hAnsi="方正仿宋_GBK" w:eastAsia="方正仿宋_GBK" w:cs="方正仿宋_GBK"/>
          <w:kern w:val="0"/>
          <w:sz w:val="32"/>
          <w:szCs w:val="32"/>
        </w:rPr>
        <w:t>反映单位开支的在职职工和编制外长期聘用人员的各类劳动报酬，以及为上述人员缴纳的各项社会保险费等。</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（十三）商品和服务支出（支出经济分类科目类级）：</w:t>
      </w:r>
      <w:r>
        <w:rPr>
          <w:rFonts w:hint="eastAsia" w:ascii="方正仿宋_GBK" w:hAnsi="方正仿宋_GBK" w:eastAsia="方正仿宋_GBK" w:cs="方正仿宋_GBK"/>
          <w:kern w:val="0"/>
          <w:sz w:val="32"/>
          <w:szCs w:val="32"/>
        </w:rPr>
        <w:t>反映单位购买商品和服务的支出（不包括用于购置固定资产的支出、战略性和应急储备支出）。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（十四）对个人和家庭的补助（支出经济分类科目类级）</w:t>
      </w:r>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反映用于对个人和家庭的补助支出。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3"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bCs/>
          <w:kern w:val="0"/>
          <w:sz w:val="32"/>
          <w:szCs w:val="32"/>
        </w:rPr>
        <w:t>（十五）其他资本性支出（支出经济分类科目类级）：</w:t>
      </w:r>
      <w:r>
        <w:rPr>
          <w:rFonts w:hint="eastAsia" w:ascii="方正仿宋_GBK" w:hAnsi="方正仿宋_GBK" w:eastAsia="方正仿宋_GBK" w:cs="方正仿宋_GBK"/>
          <w:kern w:val="0"/>
          <w:sz w:val="32"/>
          <w:szCs w:val="32"/>
        </w:rPr>
        <w:t>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小标宋_GBK" w:hAnsi="方正小标宋_GBK" w:eastAsia="方正小标宋_GBK" w:cs="方正小标宋_GBK"/>
          <w:b w:val="0"/>
          <w:bCs/>
          <w:kern w:val="0"/>
          <w:sz w:val="32"/>
          <w:szCs w:val="32"/>
        </w:rPr>
      </w:pPr>
      <w:r>
        <w:rPr>
          <w:rStyle w:val="17"/>
          <w:rFonts w:hint="eastAsia" w:ascii="方正小标宋_GBK" w:hAnsi="方正小标宋_GBK" w:eastAsia="方正小标宋_GBK" w:cs="方正小标宋_GBK"/>
          <w:b w:val="0"/>
          <w:bCs/>
          <w:sz w:val="32"/>
          <w:szCs w:val="32"/>
          <w:shd w:val="clear" w:fill="FFFFFF"/>
        </w:rPr>
        <w:t>七、决算公开联系方式及信息反馈渠道</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fill="FFFFFF"/>
        </w:rPr>
        <w:t>本单位决算公开信息反馈和联系方式：</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吴宣利 023-46450526</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附件：</w:t>
      </w:r>
    </w:p>
    <w:p>
      <w:pPr>
        <w:pStyle w:val="14"/>
        <w:keepNext w:val="0"/>
        <w:keepLines w:val="0"/>
        <w:pageBreakBefore w:val="0"/>
        <w:widowControl/>
        <w:suppressLineNumbers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   重庆市荣昌区退役军人事务局（本级）2022年度部门决算公开报表</w:t>
      </w:r>
    </w:p>
    <w:p>
      <w:pPr>
        <w:keepNext w:val="0"/>
        <w:keepLines w:val="0"/>
        <w:pageBreakBefore w:val="0"/>
        <w:kinsoku/>
        <w:wordWrap/>
        <w:overflowPunct/>
        <w:topLinePunct w:val="0"/>
        <w:autoSpaceDN/>
        <w:bidi w:val="0"/>
        <w:adjustRightInd/>
        <w:snapToGrid/>
        <w:spacing w:before="0" w:after="0" w:afterAutospacing="0" w:line="600" w:lineRule="exact"/>
        <w:ind w:left="0" w:leftChars="0" w:right="0" w:rightChars="0"/>
        <w:textAlignment w:val="auto"/>
        <w:outlineLvl w:val="9"/>
        <w:rPr>
          <w:rFonts w:hint="eastAsia" w:ascii="方正仿宋_GBK" w:hAnsi="方正仿宋_GBK" w:eastAsia="方正仿宋_GBK" w:cs="方正仿宋_GBK"/>
          <w:i w:val="0"/>
          <w:color w:val="000000"/>
          <w:kern w:val="0"/>
          <w:sz w:val="32"/>
          <w:szCs w:val="32"/>
        </w:rPr>
        <w:sectPr>
          <w:pgSz w:w="11915" w:h="16851"/>
          <w:pgMar w:top="1440" w:right="1800" w:bottom="1440" w:left="1800" w:header="851" w:footer="992" w:gutter="0"/>
          <w:cols w:space="0" w:num="1"/>
          <w:docGrid w:type="lines" w:linePitch="312" w:charSpace="0"/>
        </w:sectPr>
      </w:pPr>
    </w:p>
    <w:tbl>
      <w:tblPr>
        <w:tblStyle w:val="12"/>
        <w:tblW w:w="9071" w:type="dxa"/>
        <w:tblInd w:w="93" w:type="dxa"/>
        <w:shd w:val="clear" w:color="auto" w:fill="auto"/>
        <w:tblLayout w:type="fixed"/>
        <w:tblCellMar>
          <w:top w:w="15" w:type="dxa"/>
          <w:left w:w="15" w:type="dxa"/>
          <w:bottom w:w="15" w:type="dxa"/>
          <w:right w:w="15" w:type="dxa"/>
        </w:tblCellMar>
      </w:tblPr>
      <w:tblGrid>
        <w:gridCol w:w="2023"/>
        <w:gridCol w:w="303"/>
        <w:gridCol w:w="743"/>
        <w:gridCol w:w="365"/>
        <w:gridCol w:w="1101"/>
        <w:gridCol w:w="2024"/>
        <w:gridCol w:w="303"/>
        <w:gridCol w:w="525"/>
        <w:gridCol w:w="461"/>
        <w:gridCol w:w="1223"/>
      </w:tblGrid>
      <w:tr>
        <w:tblPrEx>
          <w:shd w:val="clear" w:color="auto" w:fill="auto"/>
          <w:tblLayout w:type="fixed"/>
          <w:tblCellMar>
            <w:top w:w="15" w:type="dxa"/>
            <w:left w:w="15" w:type="dxa"/>
            <w:bottom w:w="15" w:type="dxa"/>
            <w:right w:w="15" w:type="dxa"/>
          </w:tblCellMar>
        </w:tblPrEx>
        <w:trPr>
          <w:trHeight w:val="375" w:hRule="atLeast"/>
        </w:trPr>
        <w:tc>
          <w:tcPr>
            <w:tcW w:w="9071" w:type="dxa"/>
            <w:gridSpan w:val="10"/>
            <w:tcBorders>
              <w:top w:val="nil"/>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32"/>
                <w:szCs w:val="32"/>
              </w:rPr>
            </w:pPr>
            <w:r>
              <w:rPr>
                <w:rFonts w:hint="eastAsia" w:ascii="黑体" w:hAnsi="宋体" w:eastAsia="黑体" w:cs="黑体"/>
                <w:i w:val="0"/>
                <w:color w:val="000000"/>
                <w:kern w:val="0"/>
                <w:sz w:val="32"/>
                <w:szCs w:val="32"/>
              </w:rPr>
              <w:t>收入支出决算表</w:t>
            </w:r>
          </w:p>
        </w:tc>
      </w:tr>
      <w:tr>
        <w:tblPrEx>
          <w:tblLayout w:type="fixed"/>
          <w:tblCellMar>
            <w:top w:w="15" w:type="dxa"/>
            <w:left w:w="15" w:type="dxa"/>
            <w:bottom w:w="15" w:type="dxa"/>
            <w:right w:w="15" w:type="dxa"/>
          </w:tblCellMar>
        </w:tblPrEx>
        <w:trPr>
          <w:trHeight w:val="301" w:hRule="atLeast"/>
        </w:trPr>
        <w:tc>
          <w:tcPr>
            <w:tcW w:w="202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0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209" w:type="dxa"/>
            <w:gridSpan w:val="3"/>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024"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0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209"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cs="宋体"/>
                <w:i w:val="0"/>
                <w:color w:val="000000"/>
                <w:kern w:val="0"/>
                <w:sz w:val="16"/>
                <w:szCs w:val="16"/>
                <w:lang w:eastAsia="zh-CN"/>
              </w:rPr>
              <w:t>公开</w:t>
            </w:r>
            <w:r>
              <w:rPr>
                <w:rFonts w:hint="eastAsia" w:ascii="宋体" w:hAnsi="宋体" w:eastAsia="宋体" w:cs="宋体"/>
                <w:i w:val="0"/>
                <w:color w:val="000000"/>
                <w:kern w:val="0"/>
                <w:sz w:val="16"/>
                <w:szCs w:val="16"/>
              </w:rPr>
              <w:t>01表</w:t>
            </w:r>
          </w:p>
        </w:tc>
      </w:tr>
      <w:tr>
        <w:tblPrEx>
          <w:tblLayout w:type="fixed"/>
          <w:tblCellMar>
            <w:top w:w="15" w:type="dxa"/>
            <w:left w:w="15" w:type="dxa"/>
            <w:bottom w:w="15" w:type="dxa"/>
            <w:right w:w="15" w:type="dxa"/>
          </w:tblCellMar>
        </w:tblPrEx>
        <w:trPr>
          <w:trHeight w:val="267" w:hRule="atLeast"/>
        </w:trPr>
        <w:tc>
          <w:tcPr>
            <w:tcW w:w="4535" w:type="dxa"/>
            <w:gridSpan w:val="5"/>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部门：重庆市荣昌区退役军人事务局（本级）</w:t>
            </w:r>
          </w:p>
        </w:tc>
        <w:tc>
          <w:tcPr>
            <w:tcW w:w="2024"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2022年度</w:t>
            </w:r>
          </w:p>
        </w:tc>
        <w:tc>
          <w:tcPr>
            <w:tcW w:w="303"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209"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金额单位：元</w:t>
            </w:r>
          </w:p>
        </w:tc>
      </w:tr>
      <w:tr>
        <w:tblPrEx>
          <w:tblLayout w:type="fixed"/>
          <w:tblCellMar>
            <w:top w:w="15" w:type="dxa"/>
            <w:left w:w="15" w:type="dxa"/>
            <w:bottom w:w="15" w:type="dxa"/>
            <w:right w:w="15" w:type="dxa"/>
          </w:tblCellMar>
        </w:tblPrEx>
        <w:trPr>
          <w:trHeight w:val="267" w:hRule="atLeast"/>
        </w:trPr>
        <w:tc>
          <w:tcPr>
            <w:tcW w:w="453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收入</w:t>
            </w:r>
          </w:p>
        </w:tc>
        <w:tc>
          <w:tcPr>
            <w:tcW w:w="453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支出</w:t>
            </w:r>
          </w:p>
        </w:tc>
      </w:tr>
      <w:tr>
        <w:tblPrEx>
          <w:tblLayout w:type="fixed"/>
          <w:tblCellMar>
            <w:top w:w="15" w:type="dxa"/>
            <w:left w:w="15" w:type="dxa"/>
            <w:bottom w:w="15" w:type="dxa"/>
            <w:right w:w="15" w:type="dxa"/>
          </w:tblCellMar>
        </w:tblPrEx>
        <w:trPr>
          <w:trHeight w:val="301" w:hRule="atLeast"/>
        </w:trPr>
        <w:tc>
          <w:tcPr>
            <w:tcW w:w="3069"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w:t>
            </w:r>
          </w:p>
        </w:tc>
        <w:tc>
          <w:tcPr>
            <w:tcW w:w="36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行次</w:t>
            </w:r>
          </w:p>
        </w:tc>
        <w:tc>
          <w:tcPr>
            <w:tcW w:w="110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w:t>
            </w:r>
          </w:p>
        </w:tc>
        <w:tc>
          <w:tcPr>
            <w:tcW w:w="2852"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w:t>
            </w:r>
          </w:p>
        </w:tc>
        <w:tc>
          <w:tcPr>
            <w:tcW w:w="46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行次</w:t>
            </w:r>
          </w:p>
        </w:tc>
        <w:tc>
          <w:tcPr>
            <w:tcW w:w="122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一、一般公共预算财政拨款收入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一、一般公共服务支出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32</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二、政府性基金预算财政拨款收入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二、外交支出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三、国有资本经营预算财政拨款收入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三、国防支出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34</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四、上级补助收入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四、公共安全支出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35</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五、事业收入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五、教育支出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36</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六、经营收入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六、科学技术支出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37</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七、附属单位上缴收入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七、文化旅游体育与传媒支出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38</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八、其他收入</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八、社会保障和就业支出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39</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86,617,316.27</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九、卫生健康支出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40</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6,982,126.35</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十、节能环保支出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十一、城乡社区支出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42</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十二、农林水支出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43</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十三、交通运输支出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14</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十四、资源勘探工业信息等支出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45</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十五、商业服务业等支出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46</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7"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16</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十六、金融支出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47</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4"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17</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十七、援助其他地区支出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48</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8"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十八、自然资源海洋气象等支出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49</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19</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十九、住房保障支出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r>
      <w:tr>
        <w:tblPrEx>
          <w:tblLayout w:type="fixed"/>
          <w:tblCellMar>
            <w:top w:w="15" w:type="dxa"/>
            <w:left w:w="15" w:type="dxa"/>
            <w:bottom w:w="15" w:type="dxa"/>
            <w:right w:w="15" w:type="dxa"/>
          </w:tblCellMar>
        </w:tblPrEx>
        <w:trPr>
          <w:trHeight w:val="299"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二十、粮油物资储备支出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51</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二十一、国有资本经营预算支出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22</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二十二、灾害防治及应急管理支出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53</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23</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二十三、其他支出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54</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8"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24</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二十四、债务还本支出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55</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7"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25</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二十五、债务付息支出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89"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26</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二十六、抗疫特别国债安排的支出</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57</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本年收入合计</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27</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本年支出合计</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58</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使用非财政拨款结余</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28</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结余分配</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59</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年初结转和结余</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29</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年末结转和结余</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60</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8"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61</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306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总计</w:t>
            </w:r>
          </w:p>
        </w:tc>
        <w:tc>
          <w:tcPr>
            <w:tcW w:w="3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31</w:t>
            </w:r>
          </w:p>
        </w:tc>
        <w:tc>
          <w:tcPr>
            <w:tcW w:w="11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8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总计</w:t>
            </w:r>
          </w:p>
        </w:tc>
        <w:tc>
          <w:tcPr>
            <w:tcW w:w="4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62</w:t>
            </w:r>
          </w:p>
        </w:tc>
        <w:tc>
          <w:tcPr>
            <w:tcW w:w="122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r>
      <w:tr>
        <w:tblPrEx>
          <w:tblLayout w:type="fixed"/>
          <w:tblCellMar>
            <w:top w:w="15" w:type="dxa"/>
            <w:left w:w="15" w:type="dxa"/>
            <w:bottom w:w="15" w:type="dxa"/>
            <w:right w:w="15" w:type="dxa"/>
          </w:tblCellMar>
        </w:tblPrEx>
        <w:trPr>
          <w:trHeight w:val="301" w:hRule="atLeast"/>
        </w:trPr>
        <w:tc>
          <w:tcPr>
            <w:tcW w:w="9071"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注：1.本表依据《收入支出决算总表》（财决01表）进行批复。</w:t>
            </w:r>
          </w:p>
        </w:tc>
      </w:tr>
      <w:tr>
        <w:tblPrEx>
          <w:tblLayout w:type="fixed"/>
          <w:tblCellMar>
            <w:top w:w="15" w:type="dxa"/>
            <w:left w:w="15" w:type="dxa"/>
            <w:bottom w:w="15" w:type="dxa"/>
            <w:right w:w="15" w:type="dxa"/>
          </w:tblCellMar>
        </w:tblPrEx>
        <w:trPr>
          <w:trHeight w:val="301" w:hRule="atLeast"/>
        </w:trPr>
        <w:tc>
          <w:tcPr>
            <w:tcW w:w="9071"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2.本表以“万元”为金额单位（保留两位小数）。</w:t>
            </w:r>
          </w:p>
        </w:tc>
      </w:tr>
      <w:tr>
        <w:tblPrEx>
          <w:tblLayout w:type="fixed"/>
          <w:tblCellMar>
            <w:top w:w="15" w:type="dxa"/>
            <w:left w:w="15" w:type="dxa"/>
            <w:bottom w:w="15" w:type="dxa"/>
            <w:right w:w="15" w:type="dxa"/>
          </w:tblCellMar>
        </w:tblPrEx>
        <w:trPr>
          <w:trHeight w:val="301" w:hRule="atLeast"/>
        </w:trPr>
        <w:tc>
          <w:tcPr>
            <w:tcW w:w="9071"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3.本套报表金额单位转换时可能存在尾数误差。</w:t>
            </w:r>
          </w:p>
        </w:tc>
      </w:tr>
    </w:tbl>
    <w:p>
      <w:pPr>
        <w:rPr>
          <w:rFonts w:hint="eastAsia" w:ascii="黑体" w:hAnsi="宋体" w:eastAsia="黑体" w:cs="黑体"/>
          <w:i w:val="0"/>
          <w:color w:val="000000"/>
          <w:kern w:val="0"/>
          <w:sz w:val="32"/>
          <w:szCs w:val="32"/>
        </w:rPr>
        <w:sectPr>
          <w:pgSz w:w="11915" w:h="16851"/>
          <w:pgMar w:top="1440" w:right="1800" w:bottom="1440" w:left="1800" w:header="851" w:footer="992" w:gutter="0"/>
          <w:cols w:space="0" w:num="1"/>
          <w:docGrid w:type="lines" w:linePitch="312" w:charSpace="0"/>
        </w:sectPr>
      </w:pPr>
    </w:p>
    <w:tbl>
      <w:tblPr>
        <w:tblStyle w:val="12"/>
        <w:tblW w:w="14740" w:type="dxa"/>
        <w:tblInd w:w="93" w:type="dxa"/>
        <w:shd w:val="clear" w:color="auto" w:fill="auto"/>
        <w:tblLayout w:type="fixed"/>
        <w:tblCellMar>
          <w:top w:w="15" w:type="dxa"/>
          <w:left w:w="15" w:type="dxa"/>
          <w:bottom w:w="15" w:type="dxa"/>
          <w:right w:w="15" w:type="dxa"/>
        </w:tblCellMar>
      </w:tblPr>
      <w:tblGrid>
        <w:gridCol w:w="508"/>
        <w:gridCol w:w="974"/>
        <w:gridCol w:w="974"/>
        <w:gridCol w:w="3912"/>
        <w:gridCol w:w="1897"/>
        <w:gridCol w:w="1585"/>
        <w:gridCol w:w="975"/>
        <w:gridCol w:w="976"/>
        <w:gridCol w:w="975"/>
        <w:gridCol w:w="975"/>
        <w:gridCol w:w="989"/>
      </w:tblGrid>
      <w:tr>
        <w:tblPrEx>
          <w:shd w:val="clear" w:color="auto" w:fill="auto"/>
          <w:tblLayout w:type="fixed"/>
          <w:tblCellMar>
            <w:top w:w="15" w:type="dxa"/>
            <w:left w:w="15" w:type="dxa"/>
            <w:bottom w:w="15" w:type="dxa"/>
            <w:right w:w="15" w:type="dxa"/>
          </w:tblCellMar>
        </w:tblPrEx>
        <w:trPr>
          <w:trHeight w:val="375" w:hRule="atLeast"/>
        </w:trPr>
        <w:tc>
          <w:tcPr>
            <w:tcW w:w="14740" w:type="dxa"/>
            <w:gridSpan w:val="11"/>
            <w:tcBorders>
              <w:top w:val="nil"/>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r>
              <w:rPr>
                <w:rFonts w:hint="eastAsia" w:ascii="黑体" w:hAnsi="宋体" w:eastAsia="黑体" w:cs="黑体"/>
                <w:i w:val="0"/>
                <w:color w:val="000000"/>
                <w:kern w:val="0"/>
                <w:sz w:val="32"/>
                <w:szCs w:val="32"/>
              </w:rPr>
              <w:t>收入决算表</w:t>
            </w:r>
          </w:p>
        </w:tc>
      </w:tr>
      <w:tr>
        <w:tblPrEx>
          <w:tblLayout w:type="fixed"/>
          <w:tblCellMar>
            <w:top w:w="15" w:type="dxa"/>
            <w:left w:w="15" w:type="dxa"/>
            <w:bottom w:w="15" w:type="dxa"/>
            <w:right w:w="15" w:type="dxa"/>
          </w:tblCellMar>
        </w:tblPrEx>
        <w:trPr>
          <w:trHeight w:val="301" w:hRule="atLeast"/>
        </w:trPr>
        <w:tc>
          <w:tcPr>
            <w:tcW w:w="508"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4"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4"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91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897"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58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6"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964"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cs="宋体"/>
                <w:i w:val="0"/>
                <w:color w:val="000000"/>
                <w:kern w:val="0"/>
                <w:sz w:val="16"/>
                <w:szCs w:val="16"/>
                <w:lang w:eastAsia="zh-CN"/>
              </w:rPr>
              <w:t>公开</w:t>
            </w:r>
            <w:r>
              <w:rPr>
                <w:rFonts w:hint="eastAsia" w:ascii="宋体" w:hAnsi="宋体" w:eastAsia="宋体" w:cs="宋体"/>
                <w:i w:val="0"/>
                <w:color w:val="000000"/>
                <w:kern w:val="0"/>
                <w:sz w:val="16"/>
                <w:szCs w:val="16"/>
              </w:rPr>
              <w:t>02表</w:t>
            </w:r>
          </w:p>
        </w:tc>
      </w:tr>
      <w:tr>
        <w:tblPrEx>
          <w:tblLayout w:type="fixed"/>
          <w:tblCellMar>
            <w:top w:w="15" w:type="dxa"/>
            <w:left w:w="15" w:type="dxa"/>
            <w:bottom w:w="15" w:type="dxa"/>
            <w:right w:w="15" w:type="dxa"/>
          </w:tblCellMar>
        </w:tblPrEx>
        <w:trPr>
          <w:trHeight w:val="301" w:hRule="atLeast"/>
        </w:trPr>
        <w:tc>
          <w:tcPr>
            <w:tcW w:w="6368"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部门：重庆市荣昌区退役军人事务局（本级）</w:t>
            </w:r>
          </w:p>
        </w:tc>
        <w:tc>
          <w:tcPr>
            <w:tcW w:w="1897"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585"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2022年度</w:t>
            </w:r>
          </w:p>
        </w:tc>
        <w:tc>
          <w:tcPr>
            <w:tcW w:w="975"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6"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75"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964"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金额单位：元</w:t>
            </w:r>
          </w:p>
        </w:tc>
      </w:tr>
      <w:tr>
        <w:tblPrEx>
          <w:tblLayout w:type="fixed"/>
          <w:tblCellMar>
            <w:top w:w="15" w:type="dxa"/>
            <w:left w:w="15" w:type="dxa"/>
            <w:bottom w:w="15" w:type="dxa"/>
            <w:right w:w="15" w:type="dxa"/>
          </w:tblCellMar>
        </w:tblPrEx>
        <w:trPr>
          <w:trHeight w:val="300" w:hRule="atLeast"/>
        </w:trPr>
        <w:tc>
          <w:tcPr>
            <w:tcW w:w="2456"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科目代码</w:t>
            </w:r>
          </w:p>
        </w:tc>
        <w:tc>
          <w:tcPr>
            <w:tcW w:w="3912"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科目名称</w:t>
            </w:r>
          </w:p>
        </w:tc>
        <w:tc>
          <w:tcPr>
            <w:tcW w:w="1897"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本年收入合计</w:t>
            </w:r>
          </w:p>
        </w:tc>
        <w:tc>
          <w:tcPr>
            <w:tcW w:w="158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财政拨款收入</w:t>
            </w:r>
          </w:p>
        </w:tc>
        <w:tc>
          <w:tcPr>
            <w:tcW w:w="97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上级补助收入</w:t>
            </w:r>
          </w:p>
        </w:tc>
        <w:tc>
          <w:tcPr>
            <w:tcW w:w="97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事业收入</w:t>
            </w:r>
          </w:p>
        </w:tc>
        <w:tc>
          <w:tcPr>
            <w:tcW w:w="97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经营收入</w:t>
            </w:r>
          </w:p>
        </w:tc>
        <w:tc>
          <w:tcPr>
            <w:tcW w:w="97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附属单位上缴收入</w:t>
            </w:r>
          </w:p>
        </w:tc>
        <w:tc>
          <w:tcPr>
            <w:tcW w:w="98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其他收入</w:t>
            </w:r>
          </w:p>
        </w:tc>
      </w:tr>
      <w:tr>
        <w:tblPrEx>
          <w:tblLayout w:type="fixed"/>
          <w:tblCellMar>
            <w:top w:w="15" w:type="dxa"/>
            <w:left w:w="15" w:type="dxa"/>
            <w:bottom w:w="15" w:type="dxa"/>
            <w:right w:w="15" w:type="dxa"/>
          </w:tblCellMar>
        </w:tblPrEx>
        <w:trPr>
          <w:trHeight w:val="300" w:hRule="atLeast"/>
        </w:trPr>
        <w:tc>
          <w:tcPr>
            <w:tcW w:w="2456"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2"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897"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58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8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00" w:hRule="atLeast"/>
        </w:trPr>
        <w:tc>
          <w:tcPr>
            <w:tcW w:w="2456"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2"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897"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58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8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12" w:hRule="atLeast"/>
        </w:trPr>
        <w:tc>
          <w:tcPr>
            <w:tcW w:w="2456"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2"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897"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58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8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90" w:hRule="atLeast"/>
        </w:trPr>
        <w:tc>
          <w:tcPr>
            <w:tcW w:w="50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类</w:t>
            </w:r>
          </w:p>
        </w:tc>
        <w:tc>
          <w:tcPr>
            <w:tcW w:w="9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款</w:t>
            </w:r>
          </w:p>
        </w:tc>
        <w:tc>
          <w:tcPr>
            <w:tcW w:w="97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w:t>
            </w:r>
          </w:p>
        </w:tc>
        <w:tc>
          <w:tcPr>
            <w:tcW w:w="391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189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158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c>
          <w:tcPr>
            <w:tcW w:w="97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w:t>
            </w:r>
          </w:p>
        </w:tc>
        <w:tc>
          <w:tcPr>
            <w:tcW w:w="97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w:t>
            </w:r>
          </w:p>
        </w:tc>
        <w:tc>
          <w:tcPr>
            <w:tcW w:w="97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w:t>
            </w:r>
          </w:p>
        </w:tc>
        <w:tc>
          <w:tcPr>
            <w:tcW w:w="97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w:t>
            </w:r>
          </w:p>
        </w:tc>
        <w:tc>
          <w:tcPr>
            <w:tcW w:w="98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w:t>
            </w:r>
          </w:p>
        </w:tc>
      </w:tr>
      <w:tr>
        <w:tblPrEx>
          <w:tblLayout w:type="fixed"/>
          <w:tblCellMar>
            <w:top w:w="15" w:type="dxa"/>
            <w:left w:w="15" w:type="dxa"/>
            <w:bottom w:w="15" w:type="dxa"/>
            <w:right w:w="15" w:type="dxa"/>
          </w:tblCellMar>
        </w:tblPrEx>
        <w:trPr>
          <w:trHeight w:val="277" w:hRule="atLeast"/>
        </w:trPr>
        <w:tc>
          <w:tcPr>
            <w:tcW w:w="50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4"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74"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93,715,569.94</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93,715,569.94</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一般公共服务支出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20199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其他一般公共服务支出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2019999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其他一般公共服务支出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7"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205</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教育支出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88"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20508</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进修及培训</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34"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2050803</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培训支出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社会保障和就业支出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86,617,316.27</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86,617,316.27</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20805</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行政事业单位养老支出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88"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2080505</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机关事业单位基本养老保险缴费支出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2080506</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机关事业单位职业年金缴费支出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4"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20808</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抚恤</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22"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2080802</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伤残抚恤</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2080805</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义务兵优待</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其他优抚支出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退役安置</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178"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退役士兵安置</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32"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2080902</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军队移交政府的离退休人员安置</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2080903</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军队移交政府离退休干部管理机构</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3"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2080904</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退役士兵管理教育</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2080905</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军队转业干部安置</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43"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其他退役安置支出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20828</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退役军人管理事务</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2,969,910.55</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2,969,910.55</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33"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2082801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行政运行</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33"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2082804</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拥军优属</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88"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其他退役军人事务管理支出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其他社会保障和就业支出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2089999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其他社会保障和就业支出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24"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卫生健康支出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6,982,126.35</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6,982,126.35</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78"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21011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行政事业单位医疗</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78"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2101101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行政单位医疗</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2101103</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公务员医疗补助</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其他行政事业单位医疗支出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3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21014</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优抚对象医疗</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2"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2101401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优抚对象医疗补助</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3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2101499</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其他优抚对象医疗支出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221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住房保障支出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22102</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住房改革支出</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22" w:hRule="atLeast"/>
        </w:trPr>
        <w:tc>
          <w:tcPr>
            <w:tcW w:w="2456"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2210201</w:t>
            </w:r>
          </w:p>
        </w:tc>
        <w:tc>
          <w:tcPr>
            <w:tcW w:w="3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住房公积金</w:t>
            </w:r>
          </w:p>
        </w:tc>
        <w:tc>
          <w:tcPr>
            <w:tcW w:w="18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5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474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注：1.本表依据《收入决算表》（财决03表）进行批复。</w:t>
            </w:r>
          </w:p>
        </w:tc>
      </w:tr>
      <w:tr>
        <w:tblPrEx>
          <w:tblLayout w:type="fixed"/>
          <w:tblCellMar>
            <w:top w:w="15" w:type="dxa"/>
            <w:left w:w="15" w:type="dxa"/>
            <w:bottom w:w="15" w:type="dxa"/>
            <w:right w:w="15" w:type="dxa"/>
          </w:tblCellMar>
        </w:tblPrEx>
        <w:trPr>
          <w:trHeight w:val="301" w:hRule="atLeast"/>
        </w:trPr>
        <w:tc>
          <w:tcPr>
            <w:tcW w:w="1474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2.本表含一般公共预算财政拨款、政府性基金预算财政拨款和国有资本经营预算财政拨款。</w:t>
            </w:r>
          </w:p>
        </w:tc>
      </w:tr>
      <w:tr>
        <w:tblPrEx>
          <w:tblLayout w:type="fixed"/>
          <w:tblCellMar>
            <w:top w:w="15" w:type="dxa"/>
            <w:left w:w="15" w:type="dxa"/>
            <w:bottom w:w="15" w:type="dxa"/>
            <w:right w:w="15" w:type="dxa"/>
          </w:tblCellMar>
        </w:tblPrEx>
        <w:trPr>
          <w:trHeight w:val="301" w:hRule="atLeast"/>
        </w:trPr>
        <w:tc>
          <w:tcPr>
            <w:tcW w:w="1474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3.本表批复到项级科目。</w:t>
            </w:r>
          </w:p>
        </w:tc>
      </w:tr>
      <w:tr>
        <w:tblPrEx>
          <w:tblLayout w:type="fixed"/>
          <w:tblCellMar>
            <w:top w:w="15" w:type="dxa"/>
            <w:left w:w="15" w:type="dxa"/>
            <w:bottom w:w="15" w:type="dxa"/>
            <w:right w:w="15" w:type="dxa"/>
          </w:tblCellMar>
        </w:tblPrEx>
        <w:trPr>
          <w:trHeight w:val="301" w:hRule="atLeast"/>
        </w:trPr>
        <w:tc>
          <w:tcPr>
            <w:tcW w:w="1474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4.本表以“万元”为金额单位（保留两位小数）。</w:t>
            </w:r>
          </w:p>
        </w:tc>
      </w:tr>
      <w:tr>
        <w:tblPrEx>
          <w:tblLayout w:type="fixed"/>
          <w:tblCellMar>
            <w:top w:w="15" w:type="dxa"/>
            <w:left w:w="15" w:type="dxa"/>
            <w:bottom w:w="15" w:type="dxa"/>
            <w:right w:w="15" w:type="dxa"/>
          </w:tblCellMar>
        </w:tblPrEx>
        <w:trPr>
          <w:trHeight w:val="301" w:hRule="atLeast"/>
        </w:trPr>
        <w:tc>
          <w:tcPr>
            <w:tcW w:w="1474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5.本套报表金额单位转换时可能存在尾数误差。</w:t>
            </w:r>
          </w:p>
        </w:tc>
      </w:tr>
    </w:tbl>
    <w:p>
      <w:pPr>
        <w:rPr>
          <w:rFonts w:hint="eastAsia" w:ascii="黑体" w:hAnsi="宋体" w:eastAsia="黑体" w:cs="黑体"/>
          <w:i w:val="0"/>
          <w:color w:val="000000"/>
          <w:kern w:val="0"/>
          <w:sz w:val="32"/>
          <w:szCs w:val="32"/>
        </w:rPr>
        <w:sectPr>
          <w:pgSz w:w="16851" w:h="11915" w:orient="landscape"/>
          <w:pgMar w:top="1800" w:right="1440" w:bottom="1800" w:left="1440" w:header="851" w:footer="992" w:gutter="0"/>
          <w:cols w:space="0" w:num="1"/>
          <w:docGrid w:type="lines" w:linePitch="312" w:charSpace="0"/>
        </w:sectPr>
      </w:pPr>
    </w:p>
    <w:tbl>
      <w:tblPr>
        <w:tblStyle w:val="12"/>
        <w:tblW w:w="14740" w:type="dxa"/>
        <w:tblInd w:w="93" w:type="dxa"/>
        <w:shd w:val="clear" w:color="auto" w:fill="auto"/>
        <w:tblLayout w:type="fixed"/>
        <w:tblCellMar>
          <w:top w:w="15" w:type="dxa"/>
          <w:left w:w="15" w:type="dxa"/>
          <w:bottom w:w="15" w:type="dxa"/>
          <w:right w:w="15" w:type="dxa"/>
        </w:tblCellMar>
      </w:tblPr>
      <w:tblGrid>
        <w:gridCol w:w="546"/>
        <w:gridCol w:w="991"/>
        <w:gridCol w:w="991"/>
        <w:gridCol w:w="3910"/>
        <w:gridCol w:w="2015"/>
        <w:gridCol w:w="1576"/>
        <w:gridCol w:w="1705"/>
        <w:gridCol w:w="991"/>
        <w:gridCol w:w="991"/>
        <w:gridCol w:w="1024"/>
      </w:tblGrid>
      <w:tr>
        <w:tblPrEx>
          <w:shd w:val="clear" w:color="auto" w:fill="auto"/>
          <w:tblLayout w:type="fixed"/>
          <w:tblCellMar>
            <w:top w:w="15" w:type="dxa"/>
            <w:left w:w="15" w:type="dxa"/>
            <w:bottom w:w="15" w:type="dxa"/>
            <w:right w:w="15" w:type="dxa"/>
          </w:tblCellMar>
        </w:tblPrEx>
        <w:trPr>
          <w:trHeight w:val="375" w:hRule="atLeast"/>
        </w:trPr>
        <w:tc>
          <w:tcPr>
            <w:tcW w:w="14740" w:type="dxa"/>
            <w:gridSpan w:val="10"/>
            <w:tcBorders>
              <w:top w:val="nil"/>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r>
              <w:rPr>
                <w:rFonts w:hint="eastAsia" w:ascii="黑体" w:hAnsi="宋体" w:eastAsia="黑体" w:cs="黑体"/>
                <w:i w:val="0"/>
                <w:color w:val="000000"/>
                <w:kern w:val="0"/>
                <w:sz w:val="32"/>
                <w:szCs w:val="32"/>
              </w:rPr>
              <w:t>支出决算表</w:t>
            </w:r>
          </w:p>
        </w:tc>
      </w:tr>
      <w:tr>
        <w:tblPrEx>
          <w:tblLayout w:type="fixed"/>
          <w:tblCellMar>
            <w:top w:w="15" w:type="dxa"/>
            <w:left w:w="15" w:type="dxa"/>
            <w:bottom w:w="15" w:type="dxa"/>
            <w:right w:w="15" w:type="dxa"/>
          </w:tblCellMar>
        </w:tblPrEx>
        <w:trPr>
          <w:trHeight w:val="301" w:hRule="atLeast"/>
        </w:trPr>
        <w:tc>
          <w:tcPr>
            <w:tcW w:w="546"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91"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91"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910"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01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576"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705"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91"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015"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cs="宋体"/>
                <w:i w:val="0"/>
                <w:color w:val="000000"/>
                <w:kern w:val="0"/>
                <w:sz w:val="16"/>
                <w:szCs w:val="16"/>
                <w:lang w:eastAsia="zh-CN"/>
              </w:rPr>
              <w:t>公开</w:t>
            </w:r>
            <w:r>
              <w:rPr>
                <w:rFonts w:hint="eastAsia" w:ascii="宋体" w:hAnsi="宋体" w:eastAsia="宋体" w:cs="宋体"/>
                <w:i w:val="0"/>
                <w:color w:val="000000"/>
                <w:kern w:val="0"/>
                <w:sz w:val="16"/>
                <w:szCs w:val="16"/>
              </w:rPr>
              <w:t>03表</w:t>
            </w:r>
          </w:p>
        </w:tc>
      </w:tr>
      <w:tr>
        <w:tblPrEx>
          <w:tblLayout w:type="fixed"/>
          <w:tblCellMar>
            <w:top w:w="15" w:type="dxa"/>
            <w:left w:w="15" w:type="dxa"/>
            <w:bottom w:w="15" w:type="dxa"/>
            <w:right w:w="15" w:type="dxa"/>
          </w:tblCellMar>
        </w:tblPrEx>
        <w:trPr>
          <w:trHeight w:val="257" w:hRule="atLeast"/>
        </w:trPr>
        <w:tc>
          <w:tcPr>
            <w:tcW w:w="6438"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部门：重庆市荣昌区退役军人事务局（本级）</w:t>
            </w:r>
          </w:p>
        </w:tc>
        <w:tc>
          <w:tcPr>
            <w:tcW w:w="2015"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2022年度</w:t>
            </w:r>
          </w:p>
        </w:tc>
        <w:tc>
          <w:tcPr>
            <w:tcW w:w="1576"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705"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991"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015"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金额单位：元</w:t>
            </w:r>
          </w:p>
        </w:tc>
      </w:tr>
      <w:tr>
        <w:tblPrEx>
          <w:tblLayout w:type="fixed"/>
          <w:tblCellMar>
            <w:top w:w="15" w:type="dxa"/>
            <w:left w:w="15" w:type="dxa"/>
            <w:bottom w:w="15" w:type="dxa"/>
            <w:right w:w="15" w:type="dxa"/>
          </w:tblCellMar>
        </w:tblPrEx>
        <w:trPr>
          <w:trHeight w:val="300" w:hRule="atLeast"/>
        </w:trPr>
        <w:tc>
          <w:tcPr>
            <w:tcW w:w="2528"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科目代码</w:t>
            </w:r>
          </w:p>
        </w:tc>
        <w:tc>
          <w:tcPr>
            <w:tcW w:w="3910"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科目名称</w:t>
            </w:r>
          </w:p>
        </w:tc>
        <w:tc>
          <w:tcPr>
            <w:tcW w:w="201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本年支出合计</w:t>
            </w:r>
          </w:p>
        </w:tc>
        <w:tc>
          <w:tcPr>
            <w:tcW w:w="1576"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基本支出</w:t>
            </w:r>
          </w:p>
        </w:tc>
        <w:tc>
          <w:tcPr>
            <w:tcW w:w="170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w:t>
            </w:r>
          </w:p>
        </w:tc>
        <w:tc>
          <w:tcPr>
            <w:tcW w:w="99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上缴上级支出</w:t>
            </w:r>
          </w:p>
        </w:tc>
        <w:tc>
          <w:tcPr>
            <w:tcW w:w="991"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经营支出</w:t>
            </w:r>
          </w:p>
        </w:tc>
        <w:tc>
          <w:tcPr>
            <w:tcW w:w="1024"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对附属单位补助支出</w:t>
            </w:r>
          </w:p>
        </w:tc>
      </w:tr>
      <w:tr>
        <w:tblPrEx>
          <w:tblLayout w:type="fixed"/>
          <w:tblCellMar>
            <w:top w:w="15" w:type="dxa"/>
            <w:left w:w="15" w:type="dxa"/>
            <w:bottom w:w="15" w:type="dxa"/>
            <w:right w:w="15" w:type="dxa"/>
          </w:tblCellMar>
        </w:tblPrEx>
        <w:trPr>
          <w:trHeight w:val="300" w:hRule="atLeast"/>
        </w:trPr>
        <w:tc>
          <w:tcPr>
            <w:tcW w:w="2528"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0"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01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57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70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0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00" w:hRule="atLeast"/>
        </w:trPr>
        <w:tc>
          <w:tcPr>
            <w:tcW w:w="2528"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0"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01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57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70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0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12" w:hRule="atLeast"/>
        </w:trPr>
        <w:tc>
          <w:tcPr>
            <w:tcW w:w="2528"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0"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01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576"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705"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024"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223" w:hRule="atLeast"/>
        </w:trPr>
        <w:tc>
          <w:tcPr>
            <w:tcW w:w="54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类</w:t>
            </w:r>
          </w:p>
        </w:tc>
        <w:tc>
          <w:tcPr>
            <w:tcW w:w="99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款</w:t>
            </w:r>
          </w:p>
        </w:tc>
        <w:tc>
          <w:tcPr>
            <w:tcW w:w="991"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w:t>
            </w:r>
          </w:p>
        </w:tc>
        <w:tc>
          <w:tcPr>
            <w:tcW w:w="39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2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15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c>
          <w:tcPr>
            <w:tcW w:w="1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w:t>
            </w:r>
          </w:p>
        </w:tc>
        <w:tc>
          <w:tcPr>
            <w:tcW w:w="99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w:t>
            </w:r>
          </w:p>
        </w:tc>
        <w:tc>
          <w:tcPr>
            <w:tcW w:w="10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w:t>
            </w:r>
          </w:p>
        </w:tc>
      </w:tr>
      <w:tr>
        <w:tblPrEx>
          <w:tblLayout w:type="fixed"/>
          <w:tblCellMar>
            <w:top w:w="15" w:type="dxa"/>
            <w:left w:w="15" w:type="dxa"/>
            <w:bottom w:w="15" w:type="dxa"/>
            <w:right w:w="15" w:type="dxa"/>
          </w:tblCellMar>
        </w:tblPrEx>
        <w:trPr>
          <w:trHeight w:val="235" w:hRule="atLeast"/>
        </w:trPr>
        <w:tc>
          <w:tcPr>
            <w:tcW w:w="54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991"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91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201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93,715,569.94</w:t>
            </w:r>
          </w:p>
        </w:tc>
        <w:tc>
          <w:tcPr>
            <w:tcW w:w="157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1,747,175.62</w:t>
            </w:r>
          </w:p>
        </w:tc>
        <w:tc>
          <w:tcPr>
            <w:tcW w:w="170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91,968,394.32</w:t>
            </w:r>
          </w:p>
        </w:tc>
        <w:tc>
          <w:tcPr>
            <w:tcW w:w="99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一般公共服务支出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20199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其他一般公共服务支出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2019999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其他一般公共服务支出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205</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教育支出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24"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20508</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进修及培训</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13"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2050803</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培训支出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社会保障和就业支出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86,617,316.27</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1,531,746.95</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85,085,569.32</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20805</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行政事业单位养老支出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2080505</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机关事业单位基本养老保险缴费支出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2080506</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机关事业单位职业年金缴费支出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20808</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抚恤</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2080802</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伤残抚恤</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8"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2080805</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义务兵优待</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其他优抚支出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退役安置</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退役士兵安置</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2080902</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军队移交政府的离退休人员安置</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2080903</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军队移交政府离退休干部管理机构</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2080904</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退役士兵管理教育</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2080905</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军队转业干部安置</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其他退役安置支出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20828</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退役军人管理事务</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2,969,910.55</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1,361,978.93</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1,607,931.62</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2082801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行政运行</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24"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2082804</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拥军优属</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其他退役军人事务管理支出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其他社会保障和就业支出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65"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2089999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其他社会保障和就业支出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卫生健康支出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6,982,126.35</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7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21011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行政事业单位医疗</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56"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2101101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行政单位医疗</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2101103</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公务员医疗补助</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7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其他行政事业单位医疗支出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21014</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优抚对象医疗</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67"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2101401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优抚对象医疗补助</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22"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2101499</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其他优抚对象医疗支出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221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住房保障支出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24"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22102</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住房改革支出</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245" w:hRule="atLeast"/>
        </w:trPr>
        <w:tc>
          <w:tcPr>
            <w:tcW w:w="2528"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2210201</w:t>
            </w:r>
          </w:p>
        </w:tc>
        <w:tc>
          <w:tcPr>
            <w:tcW w:w="39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住房公积金</w:t>
            </w:r>
          </w:p>
        </w:tc>
        <w:tc>
          <w:tcPr>
            <w:tcW w:w="20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57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7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9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0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47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注：1.本表依据《支出决算表》（财决04表）进行批复。</w:t>
            </w:r>
          </w:p>
        </w:tc>
      </w:tr>
      <w:tr>
        <w:tblPrEx>
          <w:tblLayout w:type="fixed"/>
          <w:tblCellMar>
            <w:top w:w="15" w:type="dxa"/>
            <w:left w:w="15" w:type="dxa"/>
            <w:bottom w:w="15" w:type="dxa"/>
            <w:right w:w="15" w:type="dxa"/>
          </w:tblCellMar>
        </w:tblPrEx>
        <w:trPr>
          <w:trHeight w:val="301" w:hRule="atLeast"/>
        </w:trPr>
        <w:tc>
          <w:tcPr>
            <w:tcW w:w="147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2.本表含一般公共预算财政拨款、政府性基金预算财政拨款和国有资本经营预算财政拨款。</w:t>
            </w:r>
          </w:p>
        </w:tc>
      </w:tr>
      <w:tr>
        <w:tblPrEx>
          <w:tblLayout w:type="fixed"/>
          <w:tblCellMar>
            <w:top w:w="15" w:type="dxa"/>
            <w:left w:w="15" w:type="dxa"/>
            <w:bottom w:w="15" w:type="dxa"/>
            <w:right w:w="15" w:type="dxa"/>
          </w:tblCellMar>
        </w:tblPrEx>
        <w:trPr>
          <w:trHeight w:val="301" w:hRule="atLeast"/>
        </w:trPr>
        <w:tc>
          <w:tcPr>
            <w:tcW w:w="147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3.本表批复到项级科目。</w:t>
            </w:r>
          </w:p>
        </w:tc>
      </w:tr>
      <w:tr>
        <w:tblPrEx>
          <w:tblLayout w:type="fixed"/>
          <w:tblCellMar>
            <w:top w:w="15" w:type="dxa"/>
            <w:left w:w="15" w:type="dxa"/>
            <w:bottom w:w="15" w:type="dxa"/>
            <w:right w:w="15" w:type="dxa"/>
          </w:tblCellMar>
        </w:tblPrEx>
        <w:trPr>
          <w:trHeight w:val="301" w:hRule="atLeast"/>
        </w:trPr>
        <w:tc>
          <w:tcPr>
            <w:tcW w:w="147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4.本表以“万元”为金额单位（保留两位小数）。</w:t>
            </w:r>
          </w:p>
        </w:tc>
      </w:tr>
      <w:tr>
        <w:tblPrEx>
          <w:tblLayout w:type="fixed"/>
          <w:tblCellMar>
            <w:top w:w="15" w:type="dxa"/>
            <w:left w:w="15" w:type="dxa"/>
            <w:bottom w:w="15" w:type="dxa"/>
            <w:right w:w="15" w:type="dxa"/>
          </w:tblCellMar>
        </w:tblPrEx>
        <w:trPr>
          <w:trHeight w:val="301" w:hRule="atLeast"/>
        </w:trPr>
        <w:tc>
          <w:tcPr>
            <w:tcW w:w="14740"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5.本套报表金额单位转换时可能存在尾数误差。</w:t>
            </w:r>
          </w:p>
        </w:tc>
      </w:tr>
    </w:tbl>
    <w:p>
      <w:pPr>
        <w:rPr>
          <w:rFonts w:hint="eastAsia" w:ascii="黑体" w:hAnsi="宋体" w:eastAsia="黑体" w:cs="黑体"/>
          <w:i w:val="0"/>
          <w:color w:val="000000"/>
          <w:kern w:val="0"/>
          <w:sz w:val="32"/>
          <w:szCs w:val="32"/>
        </w:rPr>
        <w:sectPr>
          <w:pgSz w:w="16851" w:h="11915" w:orient="landscape"/>
          <w:pgMar w:top="1800" w:right="1440" w:bottom="1800" w:left="1440" w:header="851" w:footer="992" w:gutter="0"/>
          <w:cols w:space="0" w:num="1"/>
          <w:docGrid w:type="lines" w:linePitch="312" w:charSpace="0"/>
        </w:sectPr>
      </w:pPr>
    </w:p>
    <w:tbl>
      <w:tblPr>
        <w:tblStyle w:val="12"/>
        <w:tblW w:w="14740" w:type="dxa"/>
        <w:tblInd w:w="93" w:type="dxa"/>
        <w:shd w:val="clear" w:color="auto" w:fill="auto"/>
        <w:tblLayout w:type="fixed"/>
        <w:tblCellMar>
          <w:top w:w="15" w:type="dxa"/>
          <w:left w:w="15" w:type="dxa"/>
          <w:bottom w:w="15" w:type="dxa"/>
          <w:right w:w="15" w:type="dxa"/>
        </w:tblCellMar>
      </w:tblPr>
      <w:tblGrid>
        <w:gridCol w:w="2322"/>
        <w:gridCol w:w="418"/>
        <w:gridCol w:w="2420"/>
        <w:gridCol w:w="2594"/>
        <w:gridCol w:w="472"/>
        <w:gridCol w:w="1462"/>
        <w:gridCol w:w="1462"/>
        <w:gridCol w:w="2297"/>
        <w:gridCol w:w="1293"/>
      </w:tblGrid>
      <w:tr>
        <w:tblPrEx>
          <w:shd w:val="clear" w:color="auto" w:fill="auto"/>
          <w:tblLayout w:type="fixed"/>
          <w:tblCellMar>
            <w:top w:w="15" w:type="dxa"/>
            <w:left w:w="15" w:type="dxa"/>
            <w:bottom w:w="15" w:type="dxa"/>
            <w:right w:w="15" w:type="dxa"/>
          </w:tblCellMar>
        </w:tblPrEx>
        <w:trPr>
          <w:trHeight w:val="375" w:hRule="atLeast"/>
        </w:trPr>
        <w:tc>
          <w:tcPr>
            <w:tcW w:w="14740" w:type="dxa"/>
            <w:gridSpan w:val="9"/>
            <w:tcBorders>
              <w:top w:val="nil"/>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r>
              <w:rPr>
                <w:rFonts w:hint="eastAsia" w:ascii="黑体" w:hAnsi="宋体" w:eastAsia="黑体" w:cs="黑体"/>
                <w:i w:val="0"/>
                <w:color w:val="000000"/>
                <w:kern w:val="0"/>
                <w:sz w:val="32"/>
                <w:szCs w:val="32"/>
              </w:rPr>
              <w:t>财政拨款收入支出决算表</w:t>
            </w:r>
          </w:p>
        </w:tc>
      </w:tr>
      <w:tr>
        <w:tblPrEx>
          <w:tblLayout w:type="fixed"/>
          <w:tblCellMar>
            <w:top w:w="15" w:type="dxa"/>
            <w:left w:w="15" w:type="dxa"/>
            <w:bottom w:w="15" w:type="dxa"/>
            <w:right w:w="15" w:type="dxa"/>
          </w:tblCellMar>
        </w:tblPrEx>
        <w:trPr>
          <w:trHeight w:val="301" w:hRule="atLeast"/>
        </w:trPr>
        <w:tc>
          <w:tcPr>
            <w:tcW w:w="232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420"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2594"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7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6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59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cs="宋体"/>
                <w:i w:val="0"/>
                <w:color w:val="000000"/>
                <w:kern w:val="0"/>
                <w:sz w:val="16"/>
                <w:szCs w:val="16"/>
                <w:lang w:eastAsia="zh-CN"/>
              </w:rPr>
              <w:t>公开</w:t>
            </w:r>
            <w:r>
              <w:rPr>
                <w:rFonts w:hint="eastAsia" w:ascii="宋体" w:hAnsi="宋体" w:eastAsia="宋体" w:cs="宋体"/>
                <w:i w:val="0"/>
                <w:color w:val="000000"/>
                <w:kern w:val="0"/>
                <w:sz w:val="16"/>
                <w:szCs w:val="16"/>
              </w:rPr>
              <w:t>04表</w:t>
            </w:r>
          </w:p>
        </w:tc>
      </w:tr>
      <w:tr>
        <w:tblPrEx>
          <w:tblLayout w:type="fixed"/>
          <w:tblCellMar>
            <w:top w:w="15" w:type="dxa"/>
            <w:left w:w="15" w:type="dxa"/>
            <w:bottom w:w="15" w:type="dxa"/>
            <w:right w:w="15" w:type="dxa"/>
          </w:tblCellMar>
        </w:tblPrEx>
        <w:trPr>
          <w:trHeight w:val="301" w:hRule="atLeast"/>
        </w:trPr>
        <w:tc>
          <w:tcPr>
            <w:tcW w:w="5160" w:type="dxa"/>
            <w:gridSpan w:val="3"/>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部门：重庆市荣昌区退役军人事务局（本级）</w:t>
            </w:r>
          </w:p>
        </w:tc>
        <w:tc>
          <w:tcPr>
            <w:tcW w:w="2594"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934"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2022年度</w:t>
            </w:r>
          </w:p>
        </w:tc>
        <w:tc>
          <w:tcPr>
            <w:tcW w:w="1462"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3590"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金额单位：元</w:t>
            </w:r>
          </w:p>
        </w:tc>
      </w:tr>
      <w:tr>
        <w:tblPrEx>
          <w:tblLayout w:type="fixed"/>
          <w:tblCellMar>
            <w:top w:w="15" w:type="dxa"/>
            <w:left w:w="15" w:type="dxa"/>
            <w:bottom w:w="15" w:type="dxa"/>
            <w:right w:w="15" w:type="dxa"/>
          </w:tblCellMar>
        </w:tblPrEx>
        <w:trPr>
          <w:trHeight w:val="301" w:hRule="atLeast"/>
        </w:trPr>
        <w:tc>
          <w:tcPr>
            <w:tcW w:w="5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收     入</w:t>
            </w:r>
          </w:p>
        </w:tc>
        <w:tc>
          <w:tcPr>
            <w:tcW w:w="9580"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支     出</w:t>
            </w:r>
          </w:p>
        </w:tc>
      </w:tr>
      <w:tr>
        <w:tblPrEx>
          <w:tblLayout w:type="fixed"/>
          <w:tblCellMar>
            <w:top w:w="15" w:type="dxa"/>
            <w:left w:w="15" w:type="dxa"/>
            <w:bottom w:w="15" w:type="dxa"/>
            <w:right w:w="15" w:type="dxa"/>
          </w:tblCellMar>
        </w:tblPrEx>
        <w:trPr>
          <w:trHeight w:val="285" w:hRule="atLeast"/>
        </w:trPr>
        <w:tc>
          <w:tcPr>
            <w:tcW w:w="2322" w:type="dxa"/>
            <w:vMerge w:val="restart"/>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w:t>
            </w:r>
          </w:p>
        </w:tc>
        <w:tc>
          <w:tcPr>
            <w:tcW w:w="418"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行次</w:t>
            </w:r>
          </w:p>
        </w:tc>
        <w:tc>
          <w:tcPr>
            <w:tcW w:w="242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w:t>
            </w:r>
          </w:p>
        </w:tc>
        <w:tc>
          <w:tcPr>
            <w:tcW w:w="2594" w:type="dxa"/>
            <w:vMerge w:val="restart"/>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w:t>
            </w:r>
          </w:p>
        </w:tc>
        <w:tc>
          <w:tcPr>
            <w:tcW w:w="47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行次</w:t>
            </w:r>
          </w:p>
        </w:tc>
        <w:tc>
          <w:tcPr>
            <w:tcW w:w="146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146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一般公共预算财政拨款</w:t>
            </w:r>
          </w:p>
        </w:tc>
        <w:tc>
          <w:tcPr>
            <w:tcW w:w="2297"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政府性基金预算财政拨款</w:t>
            </w:r>
          </w:p>
        </w:tc>
        <w:tc>
          <w:tcPr>
            <w:tcW w:w="1293"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国有资本经营预算财政拨款</w:t>
            </w:r>
          </w:p>
        </w:tc>
      </w:tr>
      <w:tr>
        <w:tblPrEx>
          <w:tblLayout w:type="fixed"/>
          <w:tblCellMar>
            <w:top w:w="15" w:type="dxa"/>
            <w:left w:w="15" w:type="dxa"/>
            <w:bottom w:w="15" w:type="dxa"/>
            <w:right w:w="15" w:type="dxa"/>
          </w:tblCellMar>
        </w:tblPrEx>
        <w:trPr>
          <w:trHeight w:val="600" w:hRule="atLeast"/>
        </w:trPr>
        <w:tc>
          <w:tcPr>
            <w:tcW w:w="2322" w:type="dxa"/>
            <w:vMerge w:val="continue"/>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18"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42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594" w:type="dxa"/>
            <w:vMerge w:val="continue"/>
            <w:tcBorders>
              <w:top w:val="single" w:color="auto" w:sz="4" w:space="0"/>
              <w:left w:val="nil"/>
              <w:bottom w:val="single" w:color="auto" w:sz="4" w:space="0"/>
              <w:right w:val="single" w:color="000000" w:sz="4" w:space="0"/>
            </w:tcBorders>
            <w:shd w:val="clear" w:color="auto" w:fill="auto"/>
            <w:vAlign w:val="bottom"/>
          </w:tcPr>
          <w:p>
            <w:pPr>
              <w:keepNext w:val="0"/>
              <w:keepLines w:val="0"/>
              <w:widowControl/>
              <w:suppressLineNumbers w:val="0"/>
              <w:rPr>
                <w:rFonts w:hint="default" w:ascii="Times New Roman" w:hAnsi="Times New Roman" w:cs="Times New Roman"/>
                <w:sz w:val="20"/>
                <w:szCs w:val="20"/>
              </w:rPr>
            </w:pPr>
          </w:p>
        </w:tc>
        <w:tc>
          <w:tcPr>
            <w:tcW w:w="47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6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6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297"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29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01" w:hRule="atLeast"/>
        </w:trPr>
        <w:tc>
          <w:tcPr>
            <w:tcW w:w="232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418"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p>
        </w:tc>
        <w:tc>
          <w:tcPr>
            <w:tcW w:w="242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2594" w:type="dxa"/>
            <w:tcBorders>
              <w:top w:val="single" w:color="auto" w:sz="4" w:space="0"/>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47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p>
        </w:tc>
        <w:tc>
          <w:tcPr>
            <w:tcW w:w="146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c>
          <w:tcPr>
            <w:tcW w:w="146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w:t>
            </w:r>
          </w:p>
        </w:tc>
        <w:tc>
          <w:tcPr>
            <w:tcW w:w="229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w:t>
            </w:r>
          </w:p>
        </w:tc>
        <w:tc>
          <w:tcPr>
            <w:tcW w:w="129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w:t>
            </w: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一、一般公共预算财政拨款</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一、一般公共服务支出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二、政府性基金预算财政拨款</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二、外交支出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三、国有资本经营预算财政拨款</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三、国防支出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35</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四、公共安全支出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36</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五、教育支出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37</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六、科学技术支出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38</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七、文化旅游体育与传媒支出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39</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八、社会保障和就业支出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86,617,316.27</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86,617,316.27</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九、卫生健康支出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6,982,126.35</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6,982,126.35</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十、节能环保支出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42</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十一、城乡社区支出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43</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十二、农林水支出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十三、交通运输支出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45</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14</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十四、资源勘探工业信息等支出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46</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十五、商业服务业等支出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47</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16</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十六、金融支出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48</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17</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十七、援助其他地区支出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49</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十八、自然资源海洋气象等支出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19</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十九、住房保障支出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51</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二十、粮油物资储备支出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二十一、国有资本经营预算支出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53</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22</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二十二、灾害防治及应急管理支出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23</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二十三、其他支出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55</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b/>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24</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二十四、债务还本支出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25</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二十五、债务付息支出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57</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26</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二十六、抗疫特别国债安排的支出</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58</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本年收入合计</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27</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本年支出合计</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59</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年初结转和结余</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28</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年末结转和结余</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60</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一般公共预算财政拨款</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29</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61</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政府性基金预算财政拨款</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62</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国有资本经营预算财政拨款</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31</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63</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232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总计</w:t>
            </w:r>
          </w:p>
        </w:tc>
        <w:tc>
          <w:tcPr>
            <w:tcW w:w="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32</w:t>
            </w:r>
          </w:p>
        </w:tc>
        <w:tc>
          <w:tcPr>
            <w:tcW w:w="24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5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总计</w:t>
            </w:r>
          </w:p>
        </w:tc>
        <w:tc>
          <w:tcPr>
            <w:tcW w:w="4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14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93,715,569.94</w:t>
            </w:r>
          </w:p>
        </w:tc>
        <w:tc>
          <w:tcPr>
            <w:tcW w:w="22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29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注：1.本表依据《财政拨款收入支出决算总表》（财决01-1表）进行批复。</w:t>
            </w:r>
          </w:p>
        </w:tc>
        <w:tc>
          <w:tcPr>
            <w:tcW w:w="129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2.本表以“万元”为金额单位（保留两位小数）。</w:t>
            </w:r>
          </w:p>
        </w:tc>
        <w:tc>
          <w:tcPr>
            <w:tcW w:w="129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3.本套报表金额单位转换时可能存在尾数误差。          </w:t>
            </w: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tc>
        <w:tc>
          <w:tcPr>
            <w:tcW w:w="129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lang w:val="en-US" w:eastAsia="zh-CN"/>
              </w:rPr>
            </w:pPr>
            <w:r>
              <w:rPr>
                <w:rFonts w:hint="eastAsia" w:cs="宋体"/>
                <w:i w:val="0"/>
                <w:color w:val="000000"/>
                <w:kern w:val="0"/>
                <w:sz w:val="16"/>
                <w:szCs w:val="16"/>
                <w:lang w:val="en-US" w:eastAsia="zh-CN"/>
              </w:rPr>
              <w:t xml:space="preserve">  </w:t>
            </w:r>
          </w:p>
        </w:tc>
      </w:tr>
      <w:tr>
        <w:tblPrEx>
          <w:tblLayout w:type="fixed"/>
          <w:tblCellMar>
            <w:top w:w="15" w:type="dxa"/>
            <w:left w:w="15" w:type="dxa"/>
            <w:bottom w:w="15" w:type="dxa"/>
            <w:right w:w="15" w:type="dxa"/>
          </w:tblCellMar>
        </w:tblPrEx>
        <w:trPr>
          <w:trHeight w:val="301" w:hRule="atLeast"/>
        </w:trPr>
        <w:tc>
          <w:tcPr>
            <w:tcW w:w="134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p>
            <w:pPr>
              <w:keepNext w:val="0"/>
              <w:keepLines w:val="0"/>
              <w:widowControl/>
              <w:suppressLineNumbers w:val="0"/>
              <w:jc w:val="left"/>
              <w:textAlignment w:val="center"/>
              <w:rPr>
                <w:rFonts w:hint="eastAsia" w:ascii="宋体" w:hAnsi="宋体" w:eastAsia="宋体" w:cs="宋体"/>
                <w:i w:val="0"/>
                <w:color w:val="000000"/>
                <w:kern w:val="0"/>
                <w:sz w:val="16"/>
                <w:szCs w:val="16"/>
              </w:rPr>
            </w:pPr>
          </w:p>
        </w:tc>
        <w:tc>
          <w:tcPr>
            <w:tcW w:w="1293" w:type="dxa"/>
            <w:tcBorders>
              <w:top w:val="nil"/>
              <w:left w:val="nil"/>
              <w:bottom w:val="nil"/>
              <w:right w:val="nil"/>
            </w:tcBorders>
            <w:shd w:val="clear" w:color="auto" w:fill="auto"/>
            <w:vAlign w:val="center"/>
          </w:tcPr>
          <w:p>
            <w:pPr>
              <w:keepNext w:val="0"/>
              <w:keepLines w:val="0"/>
              <w:widowControl/>
              <w:suppressLineNumbers w:val="0"/>
              <w:jc w:val="left"/>
              <w:rPr>
                <w:rFonts w:hint="eastAsia" w:cs="宋体"/>
                <w:i w:val="0"/>
                <w:color w:val="000000"/>
                <w:kern w:val="0"/>
                <w:sz w:val="16"/>
                <w:szCs w:val="16"/>
                <w:lang w:val="en-US" w:eastAsia="zh-CN"/>
              </w:rPr>
            </w:pPr>
          </w:p>
        </w:tc>
      </w:tr>
    </w:tbl>
    <w:p>
      <w:pPr>
        <w:rPr>
          <w:rFonts w:hint="eastAsia" w:eastAsia="宋体"/>
          <w:vanish/>
          <w:sz w:val="24"/>
          <w:szCs w:val="24"/>
          <w:lang w:eastAsia="zh-CN"/>
        </w:rPr>
      </w:pPr>
      <w:r>
        <w:rPr>
          <w:rFonts w:hint="eastAsia"/>
          <w:vanish/>
          <w:sz w:val="24"/>
          <w:szCs w:val="24"/>
          <w:lang w:eastAsia="zh-CN"/>
        </w:rPr>
        <w:t xml:space="preserve"> </w:t>
      </w:r>
      <w:r>
        <w:rPr>
          <w:rFonts w:hint="eastAsia"/>
          <w:vanish/>
          <w:sz w:val="24"/>
          <w:szCs w:val="24"/>
          <w:lang w:val="en-US" w:eastAsia="zh-CN"/>
        </w:rPr>
        <w:t xml:space="preserve"> </w:t>
      </w:r>
    </w:p>
    <w:tbl>
      <w:tblPr>
        <w:tblStyle w:val="12"/>
        <w:tblW w:w="14740" w:type="dxa"/>
        <w:tblInd w:w="93" w:type="dxa"/>
        <w:shd w:val="clear" w:color="auto" w:fill="auto"/>
        <w:tblLayout w:type="fixed"/>
        <w:tblCellMar>
          <w:top w:w="15" w:type="dxa"/>
          <w:left w:w="15" w:type="dxa"/>
          <w:bottom w:w="15" w:type="dxa"/>
          <w:right w:w="15" w:type="dxa"/>
        </w:tblCellMar>
      </w:tblPr>
      <w:tblGrid>
        <w:gridCol w:w="472"/>
        <w:gridCol w:w="438"/>
        <w:gridCol w:w="439"/>
        <w:gridCol w:w="1144"/>
        <w:gridCol w:w="667"/>
        <w:gridCol w:w="439"/>
        <w:gridCol w:w="667"/>
        <w:gridCol w:w="1473"/>
        <w:gridCol w:w="1362"/>
        <w:gridCol w:w="1473"/>
        <w:gridCol w:w="1473"/>
        <w:gridCol w:w="1362"/>
        <w:gridCol w:w="1473"/>
        <w:gridCol w:w="438"/>
        <w:gridCol w:w="439"/>
        <w:gridCol w:w="439"/>
        <w:gridCol w:w="542"/>
      </w:tblGrid>
      <w:tr>
        <w:tblPrEx>
          <w:shd w:val="clear" w:color="auto" w:fill="auto"/>
          <w:tblLayout w:type="fixed"/>
          <w:tblCellMar>
            <w:top w:w="15" w:type="dxa"/>
            <w:left w:w="15" w:type="dxa"/>
            <w:bottom w:w="15" w:type="dxa"/>
            <w:right w:w="15" w:type="dxa"/>
          </w:tblCellMar>
        </w:tblPrEx>
        <w:trPr>
          <w:trHeight w:val="375" w:hRule="atLeast"/>
        </w:trPr>
        <w:tc>
          <w:tcPr>
            <w:tcW w:w="14740" w:type="dxa"/>
            <w:gridSpan w:val="17"/>
            <w:tcBorders>
              <w:top w:val="nil"/>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6"/>
                <w:szCs w:val="16"/>
              </w:rPr>
            </w:pPr>
            <w:r>
              <w:rPr>
                <w:rFonts w:hint="eastAsia" w:ascii="黑体" w:hAnsi="宋体" w:eastAsia="黑体" w:cs="黑体"/>
                <w:i w:val="0"/>
                <w:color w:val="000000"/>
                <w:kern w:val="0"/>
                <w:sz w:val="32"/>
                <w:szCs w:val="32"/>
              </w:rPr>
              <w:t>一般公共预算财政拨款收入支出决算表</w:t>
            </w:r>
          </w:p>
        </w:tc>
      </w:tr>
      <w:tr>
        <w:tblPrEx>
          <w:tblLayout w:type="fixed"/>
          <w:tblCellMar>
            <w:top w:w="15" w:type="dxa"/>
            <w:left w:w="15" w:type="dxa"/>
            <w:bottom w:w="15" w:type="dxa"/>
            <w:right w:w="15" w:type="dxa"/>
          </w:tblCellMar>
        </w:tblPrEx>
        <w:trPr>
          <w:trHeight w:val="301" w:hRule="atLeast"/>
        </w:trPr>
        <w:tc>
          <w:tcPr>
            <w:tcW w:w="47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38"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39"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144"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667"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439"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667"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7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36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7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7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36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73"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858"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cs="宋体"/>
                <w:i w:val="0"/>
                <w:color w:val="000000"/>
                <w:kern w:val="0"/>
                <w:sz w:val="16"/>
                <w:szCs w:val="16"/>
                <w:lang w:eastAsia="zh-CN"/>
              </w:rPr>
              <w:t>公开</w:t>
            </w:r>
            <w:r>
              <w:rPr>
                <w:rFonts w:hint="eastAsia" w:ascii="宋体" w:hAnsi="宋体" w:eastAsia="宋体" w:cs="宋体"/>
                <w:i w:val="0"/>
                <w:color w:val="000000"/>
                <w:kern w:val="0"/>
                <w:sz w:val="16"/>
                <w:szCs w:val="16"/>
              </w:rPr>
              <w:t>05表</w:t>
            </w:r>
          </w:p>
        </w:tc>
      </w:tr>
      <w:tr>
        <w:tblPrEx>
          <w:tblLayout w:type="fixed"/>
          <w:tblCellMar>
            <w:top w:w="15" w:type="dxa"/>
            <w:left w:w="15" w:type="dxa"/>
            <w:bottom w:w="15" w:type="dxa"/>
            <w:right w:w="15" w:type="dxa"/>
          </w:tblCellMar>
        </w:tblPrEx>
        <w:trPr>
          <w:trHeight w:val="301" w:hRule="atLeast"/>
        </w:trPr>
        <w:tc>
          <w:tcPr>
            <w:tcW w:w="5739" w:type="dxa"/>
            <w:gridSpan w:val="8"/>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部门：重庆市荣昌区退役军人事务局（本级）</w:t>
            </w:r>
          </w:p>
        </w:tc>
        <w:tc>
          <w:tcPr>
            <w:tcW w:w="1362"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2022年度</w:t>
            </w:r>
          </w:p>
        </w:tc>
        <w:tc>
          <w:tcPr>
            <w:tcW w:w="1473"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73"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362"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473"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6"/>
                <w:szCs w:val="16"/>
              </w:rPr>
            </w:pPr>
          </w:p>
        </w:tc>
        <w:tc>
          <w:tcPr>
            <w:tcW w:w="1858"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金额单位：元</w:t>
            </w:r>
          </w:p>
        </w:tc>
      </w:tr>
      <w:tr>
        <w:tblPrEx>
          <w:tblLayout w:type="fixed"/>
          <w:tblCellMar>
            <w:top w:w="15" w:type="dxa"/>
            <w:left w:w="15" w:type="dxa"/>
            <w:bottom w:w="15" w:type="dxa"/>
            <w:right w:w="15" w:type="dxa"/>
          </w:tblCellMar>
        </w:tblPrEx>
        <w:trPr>
          <w:trHeight w:val="301" w:hRule="atLeast"/>
        </w:trPr>
        <w:tc>
          <w:tcPr>
            <w:tcW w:w="1349" w:type="dxa"/>
            <w:gridSpan w:val="3"/>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科目代码</w:t>
            </w:r>
          </w:p>
        </w:tc>
        <w:tc>
          <w:tcPr>
            <w:tcW w:w="1144"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科目名称</w:t>
            </w:r>
          </w:p>
        </w:tc>
        <w:tc>
          <w:tcPr>
            <w:tcW w:w="177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年初结转和结余</w:t>
            </w:r>
          </w:p>
        </w:tc>
        <w:tc>
          <w:tcPr>
            <w:tcW w:w="43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本年收入</w:t>
            </w:r>
          </w:p>
        </w:tc>
        <w:tc>
          <w:tcPr>
            <w:tcW w:w="4308"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本年支出</w:t>
            </w:r>
          </w:p>
        </w:tc>
        <w:tc>
          <w:tcPr>
            <w:tcW w:w="1858"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年末结转和结余</w:t>
            </w:r>
          </w:p>
        </w:tc>
      </w:tr>
      <w:tr>
        <w:tblPrEx>
          <w:tblLayout w:type="fixed"/>
          <w:tblCellMar>
            <w:top w:w="15" w:type="dxa"/>
            <w:left w:w="15" w:type="dxa"/>
            <w:bottom w:w="15" w:type="dxa"/>
            <w:right w:w="15" w:type="dxa"/>
          </w:tblCellMar>
        </w:tblPrEx>
        <w:trPr>
          <w:trHeight w:val="301" w:hRule="atLeast"/>
        </w:trPr>
        <w:tc>
          <w:tcPr>
            <w:tcW w:w="1349"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4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667"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439"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基本支出结转</w:t>
            </w:r>
          </w:p>
        </w:tc>
        <w:tc>
          <w:tcPr>
            <w:tcW w:w="667"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项目支出结转和结余</w:t>
            </w:r>
          </w:p>
        </w:tc>
        <w:tc>
          <w:tcPr>
            <w:tcW w:w="1473"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136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基本支出</w:t>
            </w:r>
          </w:p>
        </w:tc>
        <w:tc>
          <w:tcPr>
            <w:tcW w:w="1473"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w:t>
            </w:r>
          </w:p>
        </w:tc>
        <w:tc>
          <w:tcPr>
            <w:tcW w:w="1473"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136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基本支出</w:t>
            </w:r>
          </w:p>
        </w:tc>
        <w:tc>
          <w:tcPr>
            <w:tcW w:w="1473"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w:t>
            </w:r>
          </w:p>
        </w:tc>
        <w:tc>
          <w:tcPr>
            <w:tcW w:w="438"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439"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基本支出结转</w:t>
            </w:r>
          </w:p>
        </w:tc>
        <w:tc>
          <w:tcPr>
            <w:tcW w:w="981"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项目支出结转和结余</w:t>
            </w:r>
          </w:p>
        </w:tc>
      </w:tr>
      <w:tr>
        <w:tblPrEx>
          <w:tblLayout w:type="fixed"/>
          <w:tblCellMar>
            <w:top w:w="15" w:type="dxa"/>
            <w:left w:w="15" w:type="dxa"/>
            <w:bottom w:w="15" w:type="dxa"/>
            <w:right w:w="15" w:type="dxa"/>
          </w:tblCellMar>
        </w:tblPrEx>
        <w:trPr>
          <w:trHeight w:val="270" w:hRule="atLeast"/>
        </w:trPr>
        <w:tc>
          <w:tcPr>
            <w:tcW w:w="1349"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4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667"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667"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36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36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8"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项目支出结转</w:t>
            </w:r>
          </w:p>
        </w:tc>
        <w:tc>
          <w:tcPr>
            <w:tcW w:w="54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项目支出结余</w:t>
            </w:r>
          </w:p>
        </w:tc>
      </w:tr>
      <w:tr>
        <w:tblPrEx>
          <w:tblLayout w:type="fixed"/>
          <w:tblCellMar>
            <w:top w:w="15" w:type="dxa"/>
            <w:left w:w="15" w:type="dxa"/>
            <w:bottom w:w="15" w:type="dxa"/>
            <w:right w:w="15" w:type="dxa"/>
          </w:tblCellMar>
        </w:tblPrEx>
        <w:trPr>
          <w:trHeight w:val="600" w:hRule="atLeast"/>
        </w:trPr>
        <w:tc>
          <w:tcPr>
            <w:tcW w:w="1349" w:type="dxa"/>
            <w:gridSpan w:val="3"/>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44" w:type="dxa"/>
            <w:vMerge w:val="continue"/>
            <w:tcBorders>
              <w:top w:val="nil"/>
              <w:left w:val="nil"/>
              <w:bottom w:val="single" w:color="auto" w:sz="4" w:space="0"/>
              <w:right w:val="single" w:color="auto"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667"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667"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36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36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73"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8"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54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01" w:hRule="atLeast"/>
        </w:trPr>
        <w:tc>
          <w:tcPr>
            <w:tcW w:w="4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类</w:t>
            </w:r>
          </w:p>
        </w:tc>
        <w:tc>
          <w:tcPr>
            <w:tcW w:w="43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款</w:t>
            </w:r>
          </w:p>
        </w:tc>
        <w:tc>
          <w:tcPr>
            <w:tcW w:w="43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项</w:t>
            </w:r>
          </w:p>
        </w:tc>
        <w:tc>
          <w:tcPr>
            <w:tcW w:w="1144"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栏次</w:t>
            </w:r>
          </w:p>
        </w:tc>
        <w:tc>
          <w:tcPr>
            <w:tcW w:w="66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w:t>
            </w:r>
          </w:p>
        </w:tc>
        <w:tc>
          <w:tcPr>
            <w:tcW w:w="43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w:t>
            </w:r>
          </w:p>
        </w:tc>
        <w:tc>
          <w:tcPr>
            <w:tcW w:w="66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w:t>
            </w:r>
          </w:p>
        </w:tc>
        <w:tc>
          <w:tcPr>
            <w:tcW w:w="147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w:t>
            </w:r>
          </w:p>
        </w:tc>
        <w:tc>
          <w:tcPr>
            <w:tcW w:w="136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w:t>
            </w:r>
          </w:p>
        </w:tc>
        <w:tc>
          <w:tcPr>
            <w:tcW w:w="147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w:t>
            </w:r>
          </w:p>
        </w:tc>
        <w:tc>
          <w:tcPr>
            <w:tcW w:w="147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w:t>
            </w:r>
          </w:p>
        </w:tc>
        <w:tc>
          <w:tcPr>
            <w:tcW w:w="136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w:t>
            </w:r>
          </w:p>
        </w:tc>
        <w:tc>
          <w:tcPr>
            <w:tcW w:w="1473"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9</w:t>
            </w:r>
          </w:p>
        </w:tc>
        <w:tc>
          <w:tcPr>
            <w:tcW w:w="438"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w:t>
            </w:r>
          </w:p>
        </w:tc>
        <w:tc>
          <w:tcPr>
            <w:tcW w:w="43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w:t>
            </w:r>
          </w:p>
        </w:tc>
        <w:tc>
          <w:tcPr>
            <w:tcW w:w="43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w:t>
            </w:r>
          </w:p>
        </w:tc>
        <w:tc>
          <w:tcPr>
            <w:tcW w:w="54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w:t>
            </w:r>
          </w:p>
        </w:tc>
      </w:tr>
      <w:tr>
        <w:tblPrEx>
          <w:tblLayout w:type="fixed"/>
          <w:tblCellMar>
            <w:top w:w="15" w:type="dxa"/>
            <w:left w:w="15" w:type="dxa"/>
            <w:bottom w:w="15" w:type="dxa"/>
            <w:right w:w="15" w:type="dxa"/>
          </w:tblCellMar>
        </w:tblPrEx>
        <w:trPr>
          <w:trHeight w:val="301" w:hRule="atLeast"/>
        </w:trPr>
        <w:tc>
          <w:tcPr>
            <w:tcW w:w="472"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8"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439" w:type="dxa"/>
            <w:vMerge w:val="continue"/>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合计</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93,715,569.94</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1,747,175.62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91,968,394.32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93,715,569.94</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1,747,175.62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91,968,394.32</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一般公共服务支出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20199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其他一般公共服务支出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2019999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其他一般公共服务支出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205</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教育支出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20508</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进修及培训</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120.00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2050803</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培训支出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社会保障和就业支出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86,617,316.27</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1,531,746.95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85,085,569.32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86,617,316.27</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1,531,746.95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85,085,569.32</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20805</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行政事业单位养老支出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169,768.02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2080505</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机关事业单位基本养老保险缴费支出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127,881.54</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2080506</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机关事业单位职业年金缴费支出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41,886.48</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20808</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抚恤</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71,497,164.01</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2080802</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伤残抚恤</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65,723,017.61</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2080805</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义务兵优待</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5,210,146.40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2080899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其他优抚支出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564,000.00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20809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退役安置</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11,880,473.69</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退役士兵安置</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8,751,733.59</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2080902</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军队移交政府的离退休人员安置</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500,206.45</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2080903</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军队移交政府离退休干部管理机构</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500,251.79</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2080904</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退役士兵管理教育</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120,000.00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2080905</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军队转业干部安置</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1,851,452.17</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2080999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其他退役安置支出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156,829.69</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20828</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退役军人管理事务</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2,969,910.55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1,361,978.93</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1,607,931.62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2,969,910.55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1,361,978.93</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1,607,931.62</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2082801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行政运行</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1,361,978.93</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2082804</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拥军优属</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301,280.00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2082899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其他退役军人事务管理支出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1,306,651.62</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20899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其他社会保障和就业支出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100,000.00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2089999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其他社会保障和就业支出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100,000.00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卫生健康支出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6,982,126.35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6,982,126.35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21011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行政事业单位医疗</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99,301.35</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2101101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行政单位医疗</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44,504.39</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2101103</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公务员医疗补助</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20,943.24</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2101199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其他行政事业单位医疗支出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33,853.72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21014</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优抚对象医疗</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6,882,825.00</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2101401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优抚对象医疗补助</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6,812,820.27</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2101499</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其他优抚对象医疗支出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70,004.73</w:t>
            </w: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221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住房保障支出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22102</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住房改革支出</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kern w:val="0"/>
                <w:sz w:val="16"/>
                <w:szCs w:val="16"/>
              </w:rPr>
            </w:pPr>
            <w:r>
              <w:rPr>
                <w:rFonts w:hint="eastAsia" w:ascii="宋体" w:hAnsi="宋体" w:eastAsia="宋体" w:cs="宋体"/>
                <w:b/>
                <w:i w:val="0"/>
                <w:color w:val="000000"/>
                <w:kern w:val="0"/>
                <w:sz w:val="16"/>
                <w:szCs w:val="16"/>
              </w:rPr>
              <w:t>114,007.32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349"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2210201</w:t>
            </w:r>
          </w:p>
        </w:tc>
        <w:tc>
          <w:tcPr>
            <w:tcW w:w="114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住房公积金</w:t>
            </w: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6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3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114,007.32</w:t>
            </w:r>
          </w:p>
        </w:tc>
        <w:tc>
          <w:tcPr>
            <w:tcW w:w="14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43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c>
          <w:tcPr>
            <w:tcW w:w="5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16"/>
                <w:szCs w:val="16"/>
              </w:rPr>
            </w:pPr>
          </w:p>
        </w:tc>
      </w:tr>
      <w:tr>
        <w:tblPrEx>
          <w:tblLayout w:type="fixed"/>
          <w:tblCellMar>
            <w:top w:w="15" w:type="dxa"/>
            <w:left w:w="15" w:type="dxa"/>
            <w:bottom w:w="15" w:type="dxa"/>
            <w:right w:w="15" w:type="dxa"/>
          </w:tblCellMar>
        </w:tblPrEx>
        <w:trPr>
          <w:trHeight w:val="301" w:hRule="atLeast"/>
        </w:trPr>
        <w:tc>
          <w:tcPr>
            <w:tcW w:w="1474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注：1.本表依据《一般公共预算财政拨款收入支出决算表》（财决07表）进行批复。</w:t>
            </w:r>
          </w:p>
        </w:tc>
      </w:tr>
      <w:tr>
        <w:tblPrEx>
          <w:tblLayout w:type="fixed"/>
          <w:tblCellMar>
            <w:top w:w="15" w:type="dxa"/>
            <w:left w:w="15" w:type="dxa"/>
            <w:bottom w:w="15" w:type="dxa"/>
            <w:right w:w="15" w:type="dxa"/>
          </w:tblCellMar>
        </w:tblPrEx>
        <w:trPr>
          <w:trHeight w:val="301" w:hRule="atLeast"/>
        </w:trPr>
        <w:tc>
          <w:tcPr>
            <w:tcW w:w="1474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2.本表批复到项级科目。</w:t>
            </w:r>
          </w:p>
        </w:tc>
      </w:tr>
      <w:tr>
        <w:tblPrEx>
          <w:tblLayout w:type="fixed"/>
          <w:tblCellMar>
            <w:top w:w="15" w:type="dxa"/>
            <w:left w:w="15" w:type="dxa"/>
            <w:bottom w:w="15" w:type="dxa"/>
            <w:right w:w="15" w:type="dxa"/>
          </w:tblCellMar>
        </w:tblPrEx>
        <w:trPr>
          <w:trHeight w:val="301" w:hRule="atLeast"/>
        </w:trPr>
        <w:tc>
          <w:tcPr>
            <w:tcW w:w="1474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3.本表以“万元”为金额单位（保留两位小数）。</w:t>
            </w:r>
          </w:p>
        </w:tc>
      </w:tr>
      <w:tr>
        <w:tblPrEx>
          <w:tblLayout w:type="fixed"/>
          <w:tblCellMar>
            <w:top w:w="15" w:type="dxa"/>
            <w:left w:w="15" w:type="dxa"/>
            <w:bottom w:w="15" w:type="dxa"/>
            <w:right w:w="15" w:type="dxa"/>
          </w:tblCellMar>
        </w:tblPrEx>
        <w:trPr>
          <w:trHeight w:val="301" w:hRule="atLeast"/>
        </w:trPr>
        <w:tc>
          <w:tcPr>
            <w:tcW w:w="1474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rPr>
            </w:pPr>
            <w:r>
              <w:rPr>
                <w:rFonts w:hint="eastAsia" w:ascii="宋体" w:hAnsi="宋体" w:eastAsia="宋体" w:cs="宋体"/>
                <w:i w:val="0"/>
                <w:color w:val="000000"/>
                <w:kern w:val="0"/>
                <w:sz w:val="16"/>
                <w:szCs w:val="16"/>
              </w:rPr>
              <w:t xml:space="preserve">    4.本套报表金额单位转换时可能存在尾数误差。          </w:t>
            </w:r>
          </w:p>
        </w:tc>
      </w:tr>
    </w:tbl>
    <w:p>
      <w:pPr>
        <w:rPr>
          <w:rFonts w:hint="eastAsia" w:ascii="微软雅黑" w:hAnsi="微软雅黑" w:eastAsia="微软雅黑" w:cs="微软雅黑"/>
          <w:b/>
          <w:i w:val="0"/>
          <w:color w:val="000000"/>
          <w:kern w:val="0"/>
          <w:sz w:val="32"/>
          <w:szCs w:val="32"/>
        </w:rPr>
        <w:sectPr>
          <w:pgSz w:w="16851" w:h="11915" w:orient="landscape"/>
          <w:pgMar w:top="1800" w:right="1440" w:bottom="1800" w:left="1440" w:header="851" w:footer="992" w:gutter="0"/>
          <w:cols w:space="0" w:num="1"/>
          <w:docGrid w:type="lines" w:linePitch="312" w:charSpace="0"/>
        </w:sectPr>
      </w:pPr>
    </w:p>
    <w:tbl>
      <w:tblPr>
        <w:tblStyle w:val="12"/>
        <w:tblW w:w="14740" w:type="dxa"/>
        <w:tblInd w:w="93" w:type="dxa"/>
        <w:shd w:val="clear" w:color="auto" w:fill="auto"/>
        <w:tblLayout w:type="fixed"/>
        <w:tblCellMar>
          <w:top w:w="15" w:type="dxa"/>
          <w:left w:w="15" w:type="dxa"/>
          <w:bottom w:w="15" w:type="dxa"/>
          <w:right w:w="15" w:type="dxa"/>
        </w:tblCellMar>
      </w:tblPr>
      <w:tblGrid>
        <w:gridCol w:w="582"/>
        <w:gridCol w:w="2847"/>
        <w:gridCol w:w="1437"/>
        <w:gridCol w:w="582"/>
        <w:gridCol w:w="2220"/>
        <w:gridCol w:w="1438"/>
        <w:gridCol w:w="582"/>
        <w:gridCol w:w="3618"/>
        <w:gridCol w:w="1434"/>
      </w:tblGrid>
      <w:tr>
        <w:tblPrEx>
          <w:shd w:val="clear" w:color="auto" w:fill="auto"/>
          <w:tblLayout w:type="fixed"/>
          <w:tblCellMar>
            <w:top w:w="15" w:type="dxa"/>
            <w:left w:w="15" w:type="dxa"/>
            <w:bottom w:w="15" w:type="dxa"/>
            <w:right w:w="15" w:type="dxa"/>
          </w:tblCellMar>
        </w:tblPrEx>
        <w:trPr>
          <w:trHeight w:val="375" w:hRule="atLeast"/>
        </w:trPr>
        <w:tc>
          <w:tcPr>
            <w:tcW w:w="14740" w:type="dxa"/>
            <w:gridSpan w:val="9"/>
            <w:tcBorders>
              <w:top w:val="nil"/>
              <w:left w:val="nil"/>
              <w:bottom w:val="nil"/>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18"/>
                <w:szCs w:val="18"/>
              </w:rPr>
            </w:pPr>
            <w:r>
              <w:rPr>
                <w:rFonts w:hint="eastAsia" w:ascii="黑体" w:hAnsi="宋体" w:eastAsia="黑体" w:cs="黑体"/>
                <w:i w:val="0"/>
                <w:color w:val="000000"/>
                <w:kern w:val="0"/>
                <w:sz w:val="30"/>
                <w:szCs w:val="30"/>
              </w:rPr>
              <w:t>一般公共预算财政拨款基本支出决算明细表</w:t>
            </w:r>
          </w:p>
        </w:tc>
      </w:tr>
      <w:tr>
        <w:tblPrEx>
          <w:tblLayout w:type="fixed"/>
          <w:tblCellMar>
            <w:top w:w="15" w:type="dxa"/>
            <w:left w:w="15" w:type="dxa"/>
            <w:bottom w:w="15" w:type="dxa"/>
            <w:right w:w="15" w:type="dxa"/>
          </w:tblCellMar>
        </w:tblPrEx>
        <w:trPr>
          <w:trHeight w:val="301" w:hRule="atLeast"/>
        </w:trPr>
        <w:tc>
          <w:tcPr>
            <w:tcW w:w="58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2847"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437"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58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2220"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438"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582" w:type="dxa"/>
            <w:tcBorders>
              <w:top w:val="nil"/>
              <w:left w:val="nil"/>
              <w:bottom w:val="nil"/>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5052"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cs="宋体"/>
                <w:i w:val="0"/>
                <w:color w:val="000000"/>
                <w:kern w:val="0"/>
                <w:sz w:val="22"/>
                <w:szCs w:val="22"/>
                <w:lang w:eastAsia="zh-CN"/>
              </w:rPr>
              <w:t>公开</w:t>
            </w:r>
            <w:r>
              <w:rPr>
                <w:rFonts w:hint="eastAsia" w:ascii="宋体" w:hAnsi="宋体" w:eastAsia="宋体" w:cs="宋体"/>
                <w:i w:val="0"/>
                <w:color w:val="000000"/>
                <w:kern w:val="0"/>
                <w:sz w:val="22"/>
                <w:szCs w:val="22"/>
              </w:rPr>
              <w:t>06表</w:t>
            </w:r>
          </w:p>
        </w:tc>
      </w:tr>
      <w:tr>
        <w:tblPrEx>
          <w:tblLayout w:type="fixed"/>
          <w:tblCellMar>
            <w:top w:w="15" w:type="dxa"/>
            <w:left w:w="15" w:type="dxa"/>
            <w:bottom w:w="15" w:type="dxa"/>
            <w:right w:w="15" w:type="dxa"/>
          </w:tblCellMar>
        </w:tblPrEx>
        <w:trPr>
          <w:trHeight w:val="301" w:hRule="atLeast"/>
        </w:trPr>
        <w:tc>
          <w:tcPr>
            <w:tcW w:w="5448" w:type="dxa"/>
            <w:gridSpan w:val="4"/>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r>
              <w:rPr>
                <w:rFonts w:hint="eastAsia" w:ascii="宋体" w:hAnsi="宋体" w:eastAsia="宋体" w:cs="宋体"/>
                <w:i w:val="0"/>
                <w:color w:val="000000"/>
                <w:kern w:val="0"/>
                <w:sz w:val="20"/>
                <w:szCs w:val="20"/>
              </w:rPr>
              <w:t>部门：重庆市荣昌区退役军人事务局（本级）</w:t>
            </w:r>
          </w:p>
        </w:tc>
        <w:tc>
          <w:tcPr>
            <w:tcW w:w="2220" w:type="dxa"/>
            <w:tcBorders>
              <w:top w:val="nil"/>
              <w:left w:val="nil"/>
              <w:bottom w:val="single" w:color="auto" w:sz="4" w:space="0"/>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kern w:val="0"/>
                <w:sz w:val="22"/>
                <w:szCs w:val="22"/>
              </w:rPr>
            </w:pPr>
          </w:p>
        </w:tc>
        <w:tc>
          <w:tcPr>
            <w:tcW w:w="1438"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582"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3618" w:type="dxa"/>
            <w:tcBorders>
              <w:top w:val="nil"/>
              <w:left w:val="nil"/>
              <w:bottom w:val="single" w:color="auto" w:sz="4" w:space="0"/>
              <w:right w:val="nil"/>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18"/>
                <w:szCs w:val="18"/>
              </w:rPr>
            </w:pPr>
          </w:p>
        </w:tc>
        <w:tc>
          <w:tcPr>
            <w:tcW w:w="1434" w:type="dxa"/>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金额单位：元</w:t>
            </w:r>
          </w:p>
        </w:tc>
      </w:tr>
      <w:tr>
        <w:tblPrEx>
          <w:tblLayout w:type="fixed"/>
          <w:tblCellMar>
            <w:top w:w="15" w:type="dxa"/>
            <w:left w:w="15" w:type="dxa"/>
            <w:bottom w:w="15" w:type="dxa"/>
            <w:right w:w="15" w:type="dxa"/>
          </w:tblCellMar>
        </w:tblPrEx>
        <w:trPr>
          <w:trHeight w:val="301" w:hRule="atLeast"/>
        </w:trPr>
        <w:tc>
          <w:tcPr>
            <w:tcW w:w="486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人员经费</w:t>
            </w:r>
          </w:p>
        </w:tc>
        <w:tc>
          <w:tcPr>
            <w:tcW w:w="9874"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公用经费</w:t>
            </w:r>
          </w:p>
        </w:tc>
      </w:tr>
      <w:tr>
        <w:tblPrEx>
          <w:tblLayout w:type="fixed"/>
          <w:tblCellMar>
            <w:top w:w="15" w:type="dxa"/>
            <w:left w:w="15" w:type="dxa"/>
            <w:bottom w:w="15" w:type="dxa"/>
            <w:right w:w="15" w:type="dxa"/>
          </w:tblCellMar>
        </w:tblPrEx>
        <w:trPr>
          <w:trHeight w:val="300" w:hRule="atLeast"/>
        </w:trPr>
        <w:tc>
          <w:tcPr>
            <w:tcW w:w="582" w:type="dxa"/>
            <w:vMerge w:val="restart"/>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科目代码</w:t>
            </w:r>
          </w:p>
        </w:tc>
        <w:tc>
          <w:tcPr>
            <w:tcW w:w="2847" w:type="dxa"/>
            <w:vMerge w:val="restart"/>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科目名称</w:t>
            </w:r>
          </w:p>
        </w:tc>
        <w:tc>
          <w:tcPr>
            <w:tcW w:w="1437"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决算数</w:t>
            </w:r>
          </w:p>
        </w:tc>
        <w:tc>
          <w:tcPr>
            <w:tcW w:w="58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科目代码</w:t>
            </w:r>
          </w:p>
        </w:tc>
        <w:tc>
          <w:tcPr>
            <w:tcW w:w="222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科目名称</w:t>
            </w:r>
          </w:p>
        </w:tc>
        <w:tc>
          <w:tcPr>
            <w:tcW w:w="1438"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决算数</w:t>
            </w:r>
          </w:p>
        </w:tc>
        <w:tc>
          <w:tcPr>
            <w:tcW w:w="582"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科目代码</w:t>
            </w:r>
          </w:p>
        </w:tc>
        <w:tc>
          <w:tcPr>
            <w:tcW w:w="3618"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科目名称</w:t>
            </w:r>
          </w:p>
        </w:tc>
        <w:tc>
          <w:tcPr>
            <w:tcW w:w="1434"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决算数</w:t>
            </w:r>
          </w:p>
        </w:tc>
      </w:tr>
      <w:tr>
        <w:tblPrEx>
          <w:tblLayout w:type="fixed"/>
          <w:tblCellMar>
            <w:top w:w="15" w:type="dxa"/>
            <w:left w:w="15" w:type="dxa"/>
            <w:bottom w:w="15" w:type="dxa"/>
            <w:right w:w="15" w:type="dxa"/>
          </w:tblCellMar>
        </w:tblPrEx>
        <w:trPr>
          <w:trHeight w:val="300" w:hRule="atLeast"/>
        </w:trPr>
        <w:tc>
          <w:tcPr>
            <w:tcW w:w="582" w:type="dxa"/>
            <w:vMerge w:val="continue"/>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847" w:type="dxa"/>
            <w:vMerge w:val="continue"/>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37"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58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222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38"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582"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3618"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c>
          <w:tcPr>
            <w:tcW w:w="1434"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rPr>
                <w:rFonts w:hint="default" w:ascii="Times New Roman" w:hAnsi="Times New Roman" w:cs="Times New Roman"/>
                <w:sz w:val="20"/>
                <w:szCs w:val="20"/>
              </w:rPr>
            </w:pPr>
          </w:p>
        </w:tc>
      </w:tr>
      <w:tr>
        <w:tblPrEx>
          <w:tblLayout w:type="fixed"/>
          <w:tblCellMar>
            <w:top w:w="15" w:type="dxa"/>
            <w:left w:w="15" w:type="dxa"/>
            <w:bottom w:w="15" w:type="dxa"/>
            <w:right w:w="15" w:type="dxa"/>
          </w:tblCellMar>
        </w:tblPrEx>
        <w:trPr>
          <w:trHeight w:val="301" w:hRule="atLeast"/>
        </w:trPr>
        <w:tc>
          <w:tcPr>
            <w:tcW w:w="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w:t>
            </w:r>
          </w:p>
        </w:tc>
        <w:tc>
          <w:tcPr>
            <w:tcW w:w="284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工资福利支出</w:t>
            </w:r>
          </w:p>
        </w:tc>
        <w:tc>
          <w:tcPr>
            <w:tcW w:w="143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1,404,879.13</w:t>
            </w:r>
          </w:p>
        </w:tc>
        <w:tc>
          <w:tcPr>
            <w:tcW w:w="58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w:t>
            </w:r>
          </w:p>
        </w:tc>
        <w:tc>
          <w:tcPr>
            <w:tcW w:w="222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商品和服务支出</w:t>
            </w:r>
          </w:p>
        </w:tc>
        <w:tc>
          <w:tcPr>
            <w:tcW w:w="1438"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340,176.49</w:t>
            </w:r>
          </w:p>
        </w:tc>
        <w:tc>
          <w:tcPr>
            <w:tcW w:w="58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307</w:t>
            </w:r>
          </w:p>
        </w:tc>
        <w:tc>
          <w:tcPr>
            <w:tcW w:w="3618"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债务利息及费用支出</w:t>
            </w:r>
          </w:p>
        </w:tc>
        <w:tc>
          <w:tcPr>
            <w:tcW w:w="1434"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30101</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基本工资</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349,419.00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30201</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办公费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59,506.18</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30701</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国内债务付息</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30102</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津贴补贴</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308,708.00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30202</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印刷费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30702</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国外债务付息</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30103</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奖金</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353,809.00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30203</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咨询费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资本性支出</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30106</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伙食补助费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30204</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手续费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31001</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房屋建筑物购建</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30107</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绩效工资</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30205</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水费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31002</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办公设备购置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30108</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机关事业单位基本养老保险缴费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127,881.54</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30206</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电费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31003</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专用设备购置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30109</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职业年金缴费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41,886.48</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30207</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邮电费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40,632.00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31005</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基础设施建设</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30110</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职工基本医疗保险缴费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44,504.39</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30208</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取暖费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31006</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大型修缮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30111</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公务员医疗补助缴费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20,943.24</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30209</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物业管理费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31007</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信息网络及软件购置更新</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30112</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其他社会保障缴费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34,120.16</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30211</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差旅费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40,000.00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31008</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物资储备</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30113</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住房公积金</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114,007.32</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30212</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因公出国（境）费用</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31009</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土地补偿</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30114</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医疗费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9,600.00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30213</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维修（护）费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31010</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安置补助</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30199</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其他工资福利支出</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30214</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租赁费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31011</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地上附着物和青苗补偿</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对个人和家庭的补助</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2,120.00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30215</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会议费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31012</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拆迁补偿</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30301</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离休费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30216</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培训费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120.00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31013</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公务用车购置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30302</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退休费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30217</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公务接待费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3,211.00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31019</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其他交通工具购置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30303</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退职（役）费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30218</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专用材料费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31021</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文物和陈列品购置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30304</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抚恤金</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30224</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被装购置费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31022</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无形资产购置</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30305</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生活补助</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30225</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专用燃料费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31099</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其他资本性支出</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30306</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救济费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30226</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劳务费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399</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其他支出</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30307</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医疗费补助</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2,000.00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30227</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委托业务费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39907</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国家赔偿费用支出</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30308</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助学金</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30228</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工会经费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48,282.97</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39908</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对民间非营利组织和群众性自治组织补贴</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30309</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奖励金</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120.00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30229</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福利费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17,370.00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39909</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经常性赠与</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30310</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个人农业生产补贴</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30231</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公务用车运行维护费</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29,925.09</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39910</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资本性赠与</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30311</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代缴社会保险费</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30239</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其他交通费用</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56,160.00</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39999</w:t>
            </w: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其他支出</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30399</w:t>
            </w: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其他对个人和家庭的补助</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30240</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税金及附加费用</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22"/>
                <w:szCs w:val="22"/>
              </w:rPr>
            </w:pP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22"/>
                <w:szCs w:val="22"/>
              </w:rPr>
            </w:pP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58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22"/>
                <w:szCs w:val="22"/>
              </w:rPr>
            </w:pPr>
          </w:p>
        </w:tc>
        <w:tc>
          <w:tcPr>
            <w:tcW w:w="284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22"/>
                <w:szCs w:val="22"/>
              </w:rPr>
            </w:pP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30299</w:t>
            </w:r>
          </w:p>
        </w:tc>
        <w:tc>
          <w:tcPr>
            <w:tcW w:w="22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其他商品和服务支出</w:t>
            </w:r>
          </w:p>
        </w:tc>
        <w:tc>
          <w:tcPr>
            <w:tcW w:w="143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44,969.25</w:t>
            </w:r>
          </w:p>
        </w:tc>
        <w:tc>
          <w:tcPr>
            <w:tcW w:w="58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22"/>
                <w:szCs w:val="22"/>
              </w:rPr>
            </w:pPr>
          </w:p>
        </w:tc>
        <w:tc>
          <w:tcPr>
            <w:tcW w:w="36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kern w:val="0"/>
                <w:sz w:val="22"/>
                <w:szCs w:val="22"/>
              </w:rPr>
            </w:pP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kern w:val="0"/>
                <w:sz w:val="22"/>
                <w:szCs w:val="22"/>
              </w:rPr>
            </w:pPr>
          </w:p>
        </w:tc>
      </w:tr>
      <w:tr>
        <w:tblPrEx>
          <w:tblLayout w:type="fixed"/>
          <w:tblCellMar>
            <w:top w:w="15" w:type="dxa"/>
            <w:left w:w="15" w:type="dxa"/>
            <w:bottom w:w="15" w:type="dxa"/>
            <w:right w:w="15" w:type="dxa"/>
          </w:tblCellMar>
        </w:tblPrEx>
        <w:trPr>
          <w:trHeight w:val="301" w:hRule="atLeast"/>
        </w:trPr>
        <w:tc>
          <w:tcPr>
            <w:tcW w:w="342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人员经费合计</w:t>
            </w:r>
          </w:p>
        </w:tc>
        <w:tc>
          <w:tcPr>
            <w:tcW w:w="14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1,406,999.13</w:t>
            </w:r>
          </w:p>
        </w:tc>
        <w:tc>
          <w:tcPr>
            <w:tcW w:w="8440" w:type="dxa"/>
            <w:gridSpan w:val="5"/>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公用经费合计</w:t>
            </w:r>
          </w:p>
        </w:tc>
        <w:tc>
          <w:tcPr>
            <w:tcW w:w="143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340,176.49</w:t>
            </w:r>
          </w:p>
        </w:tc>
      </w:tr>
      <w:tr>
        <w:tblPrEx>
          <w:tblLayout w:type="fixed"/>
          <w:tblCellMar>
            <w:top w:w="15" w:type="dxa"/>
            <w:left w:w="15" w:type="dxa"/>
            <w:bottom w:w="15" w:type="dxa"/>
            <w:right w:w="15" w:type="dxa"/>
          </w:tblCellMar>
        </w:tblPrEx>
        <w:trPr>
          <w:trHeight w:val="301" w:hRule="atLeast"/>
        </w:trPr>
        <w:tc>
          <w:tcPr>
            <w:tcW w:w="1474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注：1.本表依据《一般公共预算财政拨款基本支出决算明细表》（财决08-1表）进行批复。</w:t>
            </w:r>
          </w:p>
        </w:tc>
      </w:tr>
      <w:tr>
        <w:tblPrEx>
          <w:tblLayout w:type="fixed"/>
          <w:tblCellMar>
            <w:top w:w="15" w:type="dxa"/>
            <w:left w:w="15" w:type="dxa"/>
            <w:bottom w:w="15" w:type="dxa"/>
            <w:right w:w="15" w:type="dxa"/>
          </w:tblCellMar>
        </w:tblPrEx>
        <w:trPr>
          <w:trHeight w:val="301" w:hRule="atLeast"/>
        </w:trPr>
        <w:tc>
          <w:tcPr>
            <w:tcW w:w="1474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2.本表以“万元”为金额单位（保留两位小数）。</w:t>
            </w:r>
          </w:p>
        </w:tc>
      </w:tr>
      <w:tr>
        <w:tblPrEx>
          <w:tblLayout w:type="fixed"/>
          <w:tblCellMar>
            <w:top w:w="15" w:type="dxa"/>
            <w:left w:w="15" w:type="dxa"/>
            <w:bottom w:w="15" w:type="dxa"/>
            <w:right w:w="15" w:type="dxa"/>
          </w:tblCellMar>
        </w:tblPrEx>
        <w:trPr>
          <w:trHeight w:val="301" w:hRule="atLeast"/>
        </w:trPr>
        <w:tc>
          <w:tcPr>
            <w:tcW w:w="1474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rPr>
            </w:pPr>
            <w:r>
              <w:rPr>
                <w:rFonts w:hint="eastAsia" w:ascii="宋体" w:hAnsi="宋体" w:eastAsia="宋体" w:cs="宋体"/>
                <w:i w:val="0"/>
                <w:color w:val="000000"/>
                <w:kern w:val="0"/>
                <w:sz w:val="22"/>
                <w:szCs w:val="22"/>
              </w:rPr>
              <w:t xml:space="preserve">    3.本套报表金额单位转换时可能存在尾数误差。          </w:t>
            </w:r>
          </w:p>
        </w:tc>
      </w:tr>
    </w:tbl>
    <w:p>
      <w:pPr>
        <w:pStyle w:val="14"/>
        <w:keepNext w:val="0"/>
        <w:keepLines w:val="0"/>
        <w:widowControl/>
        <w:suppressLineNumbers w:val="0"/>
        <w:spacing w:before="0" w:beforeAutospacing="0"/>
        <w:ind w:left="0" w:firstLine="600" w:firstLineChars="200"/>
        <w:jc w:val="left"/>
        <w:rPr>
          <w:rFonts w:hint="eastAsia" w:ascii="方正仿宋_GBK" w:hAnsi="方正仿宋_GBK" w:eastAsia="方正仿宋_GBK" w:cs="方正仿宋_GBK"/>
          <w:kern w:val="0"/>
          <w:sz w:val="30"/>
          <w:szCs w:val="30"/>
        </w:rPr>
        <w:sectPr>
          <w:pgSz w:w="16851" w:h="11915" w:orient="landscape"/>
          <w:pgMar w:top="1800" w:right="1440" w:bottom="1800" w:left="1440" w:header="851" w:footer="992" w:gutter="0"/>
          <w:cols w:space="0" w:num="1"/>
          <w:docGrid w:type="lines" w:linePitch="312" w:charSpace="0"/>
        </w:sectPr>
      </w:pPr>
      <w:r>
        <w:rPr>
          <w:rFonts w:hint="eastAsia" w:ascii="方正仿宋_GBK" w:hAnsi="方正仿宋_GBK" w:eastAsia="方正仿宋_GBK" w:cs="方正仿宋_GBK"/>
          <w:kern w:val="0"/>
          <w:sz w:val="30"/>
          <w:szCs w:val="30"/>
        </w:rPr>
        <w:t xml:space="preserve"> </w:t>
      </w:r>
    </w:p>
    <w:tbl>
      <w:tblPr>
        <w:tblStyle w:val="12"/>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625"/>
        <w:gridCol w:w="625"/>
        <w:gridCol w:w="2528"/>
        <w:gridCol w:w="1081"/>
        <w:gridCol w:w="626"/>
        <w:gridCol w:w="1080"/>
        <w:gridCol w:w="626"/>
        <w:gridCol w:w="1163"/>
        <w:gridCol w:w="627"/>
        <w:gridCol w:w="1081"/>
        <w:gridCol w:w="626"/>
        <w:gridCol w:w="1080"/>
        <w:gridCol w:w="626"/>
        <w:gridCol w:w="626"/>
        <w:gridCol w:w="626"/>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4740" w:type="dxa"/>
            <w:gridSpan w:val="17"/>
            <w:tcBorders>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shd w:val="clear" w:color="auto" w:fill="auto"/>
            <w:vAlign w:val="center"/>
          </w:tcPr>
          <w:p>
            <w:pPr>
              <w:keepNext w:val="0"/>
              <w:keepLines w:val="0"/>
              <w:widowControl/>
              <w:suppressLineNumbers w:val="0"/>
              <w:jc w:val="left"/>
              <w:rPr>
                <w:rFonts w:hint="eastAsia" w:ascii="Tahoma" w:hAnsi="Tahoma" w:eastAsia="Tahoma" w:cs="Tahoma"/>
                <w:i w:val="0"/>
                <w:color w:val="000000"/>
                <w:sz w:val="16"/>
                <w:szCs w:val="16"/>
                <w:u w:val="none"/>
              </w:rPr>
            </w:pPr>
          </w:p>
        </w:tc>
        <w:tc>
          <w:tcPr>
            <w:tcW w:w="625"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5"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2528"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1"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0"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163"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7"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1"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0"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874" w:type="dxa"/>
            <w:gridSpan w:val="3"/>
            <w:tcBorders>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t>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331" w:type="dxa"/>
            <w:gridSpan w:val="5"/>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部门：重庆市荣昌区退役军人事务局（本级）</w:t>
            </w:r>
          </w:p>
        </w:tc>
        <w:tc>
          <w:tcPr>
            <w:tcW w:w="626"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0"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163" w:type="dxa"/>
            <w:tcBorders>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2022年度</w:t>
            </w:r>
          </w:p>
        </w:tc>
        <w:tc>
          <w:tcPr>
            <w:tcW w:w="627"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1"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080"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626"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874" w:type="dxa"/>
            <w:gridSpan w:val="3"/>
            <w:tcBorders>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2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4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7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5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2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2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2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72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25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1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622" w:type="dxa"/>
            <w:vMerge w:val="restart"/>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722" w:type="dxa"/>
            <w:gridSpan w:val="3"/>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2528"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1"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0"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163"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7"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1"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080"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6"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2"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625" w:type="dxa"/>
            <w:vMerge w:val="restart"/>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625" w:type="dxa"/>
            <w:vMerge w:val="restart"/>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528"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81"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2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63"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27"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81"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2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2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62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62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2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5" w:type="dxa"/>
            <w:vMerge w:val="continue"/>
            <w:tcBorders>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625" w:type="dxa"/>
            <w:vMerge w:val="continue"/>
            <w:tcBorders>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2528"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116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10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722"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22"/>
                <w:szCs w:val="22"/>
                <w:u w:val="none"/>
              </w:rPr>
            </w:pPr>
          </w:p>
        </w:tc>
        <w:tc>
          <w:tcPr>
            <w:tcW w:w="2528" w:type="dxa"/>
            <w:tcBorders>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22"/>
                <w:szCs w:val="22"/>
                <w:u w:val="none"/>
              </w:rPr>
            </w:pPr>
          </w:p>
        </w:tc>
        <w:tc>
          <w:tcPr>
            <w:tcW w:w="10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116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108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108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6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4.本套报表金额单位转换时可能存在尾数误差。          </w:t>
            </w:r>
          </w:p>
        </w:tc>
      </w:tr>
    </w:tbl>
    <w:p>
      <w:pPr>
        <w:pStyle w:val="14"/>
        <w:keepNext w:val="0"/>
        <w:keepLines w:val="0"/>
        <w:widowControl/>
        <w:suppressLineNumbers w:val="0"/>
        <w:spacing w:before="0" w:beforeAutospacing="0"/>
        <w:ind w:left="0" w:firstLine="600" w:firstLineChars="200"/>
        <w:jc w:val="left"/>
        <w:rPr>
          <w:rFonts w:hint="eastAsia" w:ascii="方正仿宋_GBK" w:hAnsi="方正仿宋_GBK" w:eastAsia="方正仿宋_GBK" w:cs="方正仿宋_GBK"/>
          <w:kern w:val="0"/>
          <w:sz w:val="30"/>
          <w:szCs w:val="30"/>
        </w:rPr>
        <w:sectPr>
          <w:pgSz w:w="16851" w:h="11915" w:orient="landscape"/>
          <w:pgMar w:top="1800" w:right="1440" w:bottom="1800" w:left="1440" w:header="851" w:footer="992" w:gutter="0"/>
          <w:cols w:space="0" w:num="1"/>
          <w:docGrid w:type="lines" w:linePitch="312" w:charSpace="0"/>
        </w:sectPr>
      </w:pPr>
    </w:p>
    <w:tbl>
      <w:tblPr>
        <w:tblStyle w:val="12"/>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904"/>
        <w:gridCol w:w="904"/>
        <w:gridCol w:w="3676"/>
        <w:gridCol w:w="1678"/>
        <w:gridCol w:w="908"/>
        <w:gridCol w:w="1677"/>
        <w:gridCol w:w="905"/>
        <w:gridCol w:w="905"/>
        <w:gridCol w:w="905"/>
        <w:gridCol w:w="905"/>
        <w:gridCol w:w="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5" w:hRule="atLeast"/>
        </w:trPr>
        <w:tc>
          <w:tcPr>
            <w:tcW w:w="14740" w:type="dxa"/>
            <w:gridSpan w:val="12"/>
            <w:tcBorders>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shd w:val="clear" w:color="auto" w:fill="auto"/>
            <w:vAlign w:val="center"/>
          </w:tcPr>
          <w:p>
            <w:pPr>
              <w:keepNext w:val="0"/>
              <w:keepLines w:val="0"/>
              <w:widowControl/>
              <w:suppressLineNumbers w:val="0"/>
              <w:jc w:val="left"/>
              <w:rPr>
                <w:rFonts w:hint="eastAsia" w:ascii="Tahoma" w:hAnsi="Tahoma" w:eastAsia="Tahoma" w:cs="Tahoma"/>
                <w:i w:val="0"/>
                <w:color w:val="000000"/>
                <w:sz w:val="16"/>
                <w:szCs w:val="16"/>
                <w:u w:val="none"/>
              </w:rPr>
            </w:pPr>
          </w:p>
        </w:tc>
        <w:tc>
          <w:tcPr>
            <w:tcW w:w="904"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4"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3676"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678"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8"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677"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5"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5"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5"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806" w:type="dxa"/>
            <w:gridSpan w:val="2"/>
            <w:tcBorders>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公开</w:t>
            </w:r>
            <w:r>
              <w:rPr>
                <w:rFonts w:hint="eastAsia" w:ascii="宋体" w:hAnsi="宋体" w:eastAsia="宋体" w:cs="宋体"/>
                <w:i w:val="0"/>
                <w:color w:val="000000"/>
                <w:kern w:val="0"/>
                <w:sz w:val="22"/>
                <w:szCs w:val="22"/>
                <w:u w:val="none"/>
                <w:lang w:val="en-US" w:eastAsia="zh-CN" w:bidi="ar"/>
              </w:rPr>
              <w:t>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5956" w:type="dxa"/>
            <w:gridSpan w:val="4"/>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部门：重庆市荣昌区退役军人事务局（本级）</w:t>
            </w:r>
          </w:p>
        </w:tc>
        <w:tc>
          <w:tcPr>
            <w:tcW w:w="1678"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2585" w:type="dxa"/>
            <w:gridSpan w:val="2"/>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2022年度</w:t>
            </w:r>
          </w:p>
        </w:tc>
        <w:tc>
          <w:tcPr>
            <w:tcW w:w="905"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5"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905"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8"/>
                <w:szCs w:val="18"/>
                <w:u w:val="none"/>
              </w:rPr>
            </w:pPr>
          </w:p>
        </w:tc>
        <w:tc>
          <w:tcPr>
            <w:tcW w:w="1806" w:type="dxa"/>
            <w:gridSpan w:val="2"/>
            <w:tcBorders>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6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2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7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36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w:t>
            </w:r>
          </w:p>
        </w:tc>
        <w:tc>
          <w:tcPr>
            <w:tcW w:w="16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w:t>
            </w:r>
          </w:p>
        </w:tc>
        <w:tc>
          <w:tcPr>
            <w:tcW w:w="9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结转</w:t>
            </w:r>
          </w:p>
        </w:tc>
        <w:tc>
          <w:tcPr>
            <w:tcW w:w="901" w:type="dxa"/>
            <w:vMerge w:val="restart"/>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280" w:type="dxa"/>
            <w:gridSpan w:val="3"/>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367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678"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8"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677"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1"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280" w:type="dxa"/>
            <w:gridSpan w:val="3"/>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3676"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678"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8"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1677"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5" w:type="dxa"/>
            <w:vMerge w:val="continue"/>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1" w:type="dxa"/>
            <w:vMerge w:val="continue"/>
            <w:tcBorders>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04" w:type="dxa"/>
            <w:vMerge w:val="restart"/>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04" w:type="dxa"/>
            <w:vMerge w:val="restart"/>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67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78"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08"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77"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05"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5"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05"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05"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0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4" w:type="dxa"/>
            <w:vMerge w:val="continue"/>
            <w:tcBorders>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904" w:type="dxa"/>
            <w:vMerge w:val="continue"/>
            <w:tcBorders>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22"/>
                <w:szCs w:val="22"/>
                <w:u w:val="none"/>
              </w:rPr>
            </w:pPr>
          </w:p>
        </w:tc>
        <w:tc>
          <w:tcPr>
            <w:tcW w:w="3676" w:type="dxa"/>
            <w:tcBorders>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90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1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c>
          <w:tcPr>
            <w:tcW w:w="9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280"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22"/>
                <w:szCs w:val="22"/>
                <w:u w:val="none"/>
              </w:rPr>
            </w:pPr>
          </w:p>
        </w:tc>
        <w:tc>
          <w:tcPr>
            <w:tcW w:w="3676" w:type="dxa"/>
            <w:tcBorders>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22"/>
                <w:szCs w:val="22"/>
                <w:u w:val="none"/>
              </w:rPr>
            </w:pPr>
          </w:p>
        </w:tc>
        <w:tc>
          <w:tcPr>
            <w:tcW w:w="167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90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1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90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c>
          <w:tcPr>
            <w:tcW w:w="90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1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4.本套报表金额单位转换时可能存在尾数误差。          </w:t>
            </w:r>
          </w:p>
        </w:tc>
      </w:tr>
    </w:tbl>
    <w:p>
      <w:pPr>
        <w:pStyle w:val="14"/>
        <w:keepNext w:val="0"/>
        <w:keepLines w:val="0"/>
        <w:widowControl/>
        <w:suppressLineNumbers w:val="0"/>
        <w:spacing w:before="0" w:beforeAutospacing="0"/>
        <w:ind w:left="0" w:firstLine="600" w:firstLineChars="200"/>
        <w:jc w:val="left"/>
        <w:rPr>
          <w:rFonts w:hint="eastAsia" w:ascii="方正仿宋_GBK" w:hAnsi="方正仿宋_GBK" w:eastAsia="方正仿宋_GBK" w:cs="方正仿宋_GBK"/>
          <w:kern w:val="0"/>
          <w:sz w:val="30"/>
          <w:szCs w:val="30"/>
        </w:rPr>
        <w:sectPr>
          <w:pgSz w:w="16851" w:h="11915" w:orient="landscape"/>
          <w:pgMar w:top="1800" w:right="1440" w:bottom="1800" w:left="1440" w:header="851" w:footer="992" w:gutter="0"/>
          <w:cols w:space="0" w:num="1"/>
          <w:docGrid w:type="lines" w:linePitch="312" w:charSpace="0"/>
        </w:sectPr>
      </w:pPr>
    </w:p>
    <w:tbl>
      <w:tblPr>
        <w:tblStyle w:val="12"/>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03"/>
        <w:gridCol w:w="555"/>
        <w:gridCol w:w="1711"/>
        <w:gridCol w:w="4696"/>
        <w:gridCol w:w="498"/>
        <w:gridCol w:w="3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4740" w:type="dxa"/>
            <w:gridSpan w:val="6"/>
            <w:tcBorders>
              <w:right w:val="nil"/>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32"/>
                <w:szCs w:val="32"/>
                <w:u w:val="none"/>
              </w:rPr>
            </w:pPr>
            <w:r>
              <w:rPr>
                <w:rFonts w:hint="eastAsia" w:ascii="黑体" w:hAnsi="宋体" w:eastAsia="黑体" w:cs="黑体"/>
                <w:i w:val="0"/>
                <w:color w:val="000000"/>
                <w:kern w:val="0"/>
                <w:sz w:val="32"/>
                <w:szCs w:val="32"/>
                <w:u w:val="none"/>
                <w:lang w:val="en-US" w:eastAsia="zh-CN" w:bidi="ar"/>
              </w:rPr>
              <w:t>机构运行信息决算表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555"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711"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4696"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498" w:type="dxa"/>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3677" w:type="dxa"/>
            <w:tcBorders>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cs="宋体"/>
                <w:i w:val="0"/>
                <w:color w:val="000000"/>
                <w:kern w:val="0"/>
                <w:sz w:val="16"/>
                <w:szCs w:val="16"/>
                <w:u w:val="none"/>
                <w:lang w:val="en-US" w:eastAsia="zh-CN" w:bidi="ar"/>
              </w:rPr>
              <w:t>公开</w:t>
            </w:r>
            <w:r>
              <w:rPr>
                <w:rFonts w:hint="eastAsia" w:ascii="宋体" w:hAnsi="宋体" w:eastAsia="宋体" w:cs="宋体"/>
                <w:i w:val="0"/>
                <w:color w:val="000000"/>
                <w:kern w:val="0"/>
                <w:sz w:val="16"/>
                <w:szCs w:val="16"/>
                <w:u w:val="none"/>
                <w:lang w:val="en-US" w:eastAsia="zh-CN" w:bidi="ar"/>
              </w:rPr>
              <w:t>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部门：重庆市荣昌区退役军人事务局（本级）</w:t>
            </w:r>
          </w:p>
        </w:tc>
        <w:tc>
          <w:tcPr>
            <w:tcW w:w="555"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711" w:type="dxa"/>
            <w:tcBorders>
              <w:bottom w:val="single" w:color="auto"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16"/>
                <w:szCs w:val="16"/>
                <w:u w:val="none"/>
              </w:rPr>
            </w:pPr>
          </w:p>
        </w:tc>
        <w:tc>
          <w:tcPr>
            <w:tcW w:w="4696"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498" w:type="dxa"/>
            <w:tcBorders>
              <w:bottom w:val="single" w:color="auto"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3677" w:type="dxa"/>
            <w:tcBorders>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17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决算数</w:t>
            </w:r>
          </w:p>
        </w:tc>
        <w:tc>
          <w:tcPr>
            <w:tcW w:w="4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  目</w:t>
            </w:r>
          </w:p>
        </w:tc>
        <w:tc>
          <w:tcPr>
            <w:tcW w:w="4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行次</w:t>
            </w:r>
          </w:p>
        </w:tc>
        <w:tc>
          <w:tcPr>
            <w:tcW w:w="36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一、“三公”经费支出</w:t>
            </w:r>
          </w:p>
        </w:tc>
        <w:tc>
          <w:tcPr>
            <w:tcW w:w="555"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711"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96"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四、机关运行经费</w:t>
            </w:r>
          </w:p>
        </w:tc>
        <w:tc>
          <w:tcPr>
            <w:tcW w:w="498"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3677"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340,176.49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（一）支出合计</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33,136.09</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（一）行政单位</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340,176.49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1．因公出国（境）费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（二）参照公务员法管理事业单位</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2．公务用车购置及运行维护费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29,925.09</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五、资产信息</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（1）公务用车购置费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（一）车辆数合计（辆）</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（2）公务用车运行维护费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29,925.09</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1．副部（省）级及以上领导用车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3．公务接待费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3,211.00</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2．主要领导干部用车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（1）国内接待费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3,211.00</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3．机要通信用车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其中：外事接待费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4．应急保障用车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（2）国（境）外接待费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5．执法执勤用车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（二）相关统计数</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6．特种专业技术用车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1．因公出国（境）团组数（个）</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7．离退休干部用车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2．因公出国（境）人次数（人）</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8．其他用车</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3．公务用车购置数（辆）</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（二）单价100万元（含）以上设备（不含车辆）</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4．公务用车保有量（辆）</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六、政府采购支出信息</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5．国内公务接待批次（个）</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（一）政府采购支出合计</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其中：外事接待批次（个）</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1．政府采购货物支出</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6．国内公务接待人次（人）</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2．政府采购工程支出</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其中：外事接待人次（人）</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3．政府采购服务支出</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7．国（境）外公务接待批次（个）</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（二）政府采购授予中小企业合同金额</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8．国（境）外公务接待人次（人）</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其中：授予小微企业合同金额</w:t>
            </w: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二、会议费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3603"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三、培训费</w:t>
            </w:r>
          </w:p>
        </w:tc>
        <w:tc>
          <w:tcPr>
            <w:tcW w:w="55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171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120,120.00</w:t>
            </w:r>
          </w:p>
        </w:tc>
        <w:tc>
          <w:tcPr>
            <w:tcW w:w="46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49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367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74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注：1.本表依据《机构运行信息表》（财决附03表）进行批复。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2.本表导出打印时以“万元”为金额单位（保留两位小数）。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74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3.本套报表金额单位转换时可能存在尾数误差。</w:t>
            </w:r>
          </w:p>
        </w:tc>
      </w:tr>
    </w:tbl>
    <w:p>
      <w:pPr>
        <w:pStyle w:val="14"/>
        <w:keepNext w:val="0"/>
        <w:keepLines w:val="0"/>
        <w:widowControl/>
        <w:suppressLineNumbers w:val="0"/>
        <w:spacing w:before="0" w:beforeAutospacing="0"/>
        <w:ind w:left="0" w:firstLine="600" w:firstLineChars="200"/>
        <w:jc w:val="left"/>
        <w:rPr>
          <w:rFonts w:hint="eastAsia" w:ascii="方正仿宋_GBK" w:hAnsi="方正仿宋_GBK" w:eastAsia="方正仿宋_GBK" w:cs="方正仿宋_GBK"/>
          <w:kern w:val="0"/>
          <w:sz w:val="30"/>
          <w:szCs w:val="30"/>
        </w:rPr>
        <w:sectPr>
          <w:pgSz w:w="16851" w:h="11915" w:orient="landscape"/>
          <w:pgMar w:top="1800" w:right="1440" w:bottom="1800" w:left="1440" w:header="851" w:footer="992" w:gutter="0"/>
          <w:cols w:space="0" w:num="1"/>
          <w:docGrid w:type="lines" w:linePitch="312" w:charSpace="0"/>
        </w:sectPr>
      </w:pPr>
    </w:p>
    <w:tbl>
      <w:tblPr>
        <w:tblStyle w:val="12"/>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29"/>
        <w:gridCol w:w="1510"/>
        <w:gridCol w:w="939"/>
        <w:gridCol w:w="1623"/>
        <w:gridCol w:w="1383"/>
        <w:gridCol w:w="1384"/>
        <w:gridCol w:w="976"/>
        <w:gridCol w:w="979"/>
        <w:gridCol w:w="972"/>
        <w:gridCol w:w="915"/>
        <w:gridCol w:w="972"/>
        <w:gridCol w:w="1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8"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i w:val="0"/>
                <w:color w:val="000000"/>
                <w:sz w:val="16"/>
                <w:szCs w:val="16"/>
                <w:u w:val="none"/>
              </w:rPr>
            </w:pPr>
            <w:r>
              <w:rPr>
                <w:rFonts w:hint="eastAsia" w:ascii="微软雅黑" w:hAnsi="微软雅黑" w:eastAsia="微软雅黑" w:cs="微软雅黑"/>
                <w:b/>
                <w:i w:val="0"/>
                <w:color w:val="000000"/>
                <w:kern w:val="0"/>
                <w:sz w:val="32"/>
                <w:szCs w:val="32"/>
                <w:u w:val="none"/>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2"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1"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项目名称：</w:t>
            </w:r>
          </w:p>
        </w:tc>
        <w:tc>
          <w:tcPr>
            <w:tcW w:w="24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定期优抚生活补助</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项目编码：</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50015322T000002084118</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自评总分：</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96.67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16"/>
                <w:szCs w:val="16"/>
                <w:u w:val="none"/>
              </w:rPr>
            </w:pP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7"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项目主管部门：</w:t>
            </w:r>
          </w:p>
        </w:tc>
        <w:tc>
          <w:tcPr>
            <w:tcW w:w="24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131-重庆市荣昌区退役军人事务局</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财政归口处室：</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006-社保科</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部门联系人：</w:t>
            </w:r>
          </w:p>
        </w:tc>
        <w:tc>
          <w:tcPr>
            <w:tcW w:w="19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吴宣利</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联系电话：</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15923227251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2"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6"/>
                <w:szCs w:val="16"/>
                <w:u w:val="none"/>
              </w:rPr>
            </w:pPr>
            <w:r>
              <w:rPr>
                <w:rFonts w:hint="eastAsia" w:ascii="微软雅黑" w:hAnsi="微软雅黑" w:eastAsia="微软雅黑" w:cs="微软雅黑"/>
                <w:b/>
                <w:i w:val="0"/>
                <w:color w:val="808080"/>
                <w:kern w:val="0"/>
                <w:sz w:val="16"/>
                <w:szCs w:val="16"/>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16"/>
                <w:szCs w:val="16"/>
                <w:u w:val="none"/>
              </w:rPr>
            </w:pP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年初预算数</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全年（调整）预算数</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全年执行数</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执行率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执行率权重</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年度总金额</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45,920,000.00 </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47,430,000.00 </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45,920,000.00 </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30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其中：财政拨款</w:t>
            </w:r>
          </w:p>
        </w:tc>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45,920,000.00 </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47,430,000.00 </w:t>
            </w:r>
          </w:p>
        </w:tc>
        <w:tc>
          <w:tcPr>
            <w:tcW w:w="19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45,920,000.00 </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6"/>
                <w:szCs w:val="16"/>
                <w:u w:val="none"/>
              </w:rPr>
            </w:pPr>
            <w:r>
              <w:rPr>
                <w:rFonts w:hint="eastAsia" w:ascii="微软雅黑" w:hAnsi="微软雅黑" w:eastAsia="微软雅黑" w:cs="微软雅黑"/>
                <w:b/>
                <w:i w:val="0"/>
                <w:color w:val="808080"/>
                <w:kern w:val="0"/>
                <w:sz w:val="16"/>
                <w:szCs w:val="16"/>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年初绩效目标</w:t>
            </w:r>
          </w:p>
        </w:tc>
        <w:tc>
          <w:tcPr>
            <w:tcW w:w="47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全年（调整）绩效目标</w:t>
            </w:r>
          </w:p>
        </w:tc>
        <w:tc>
          <w:tcPr>
            <w:tcW w:w="441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8" w:hRule="atLeast"/>
        </w:trPr>
        <w:tc>
          <w:tcPr>
            <w:tcW w:w="560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发放优抚对象生活补助资金，让优抚对象的基本生活得到有效保障。</w:t>
            </w:r>
          </w:p>
        </w:tc>
        <w:tc>
          <w:tcPr>
            <w:tcW w:w="4722"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eastAsia" w:ascii="宋体" w:hAnsi="宋体" w:eastAsia="宋体" w:cs="宋体"/>
                <w:i w:val="0"/>
                <w:color w:val="000000"/>
                <w:sz w:val="16"/>
                <w:szCs w:val="16"/>
                <w:u w:val="none"/>
              </w:rPr>
            </w:pPr>
          </w:p>
        </w:tc>
        <w:tc>
          <w:tcPr>
            <w:tcW w:w="441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全年共计发放一次性经济补助人数218人，发放金额378万元。保障了一次性经济补助的按时足额发放，促进了退役士兵自主就业，维护了退役士兵合法权益，使退役士兵安置工作顺利开展。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6"/>
                <w:szCs w:val="16"/>
                <w:u w:val="none"/>
              </w:rPr>
            </w:pPr>
            <w:r>
              <w:rPr>
                <w:rFonts w:hint="eastAsia" w:ascii="微软雅黑" w:hAnsi="微软雅黑" w:eastAsia="微软雅黑" w:cs="微软雅黑"/>
                <w:b/>
                <w:i w:val="0"/>
                <w:color w:val="808080"/>
                <w:kern w:val="0"/>
                <w:sz w:val="16"/>
                <w:szCs w:val="16"/>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指标名称</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计量单位</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指标性质</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指标值</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全年完成值</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偏离度（%）</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得分系数（%）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指标权重</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指标得分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是否核心指标</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说明</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补助按时到位率</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政策标准执行度</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补助对象满意度</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1.01</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89.9</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26.97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bl>
    <w:p>
      <w:pPr>
        <w:pStyle w:val="14"/>
        <w:keepNext w:val="0"/>
        <w:keepLines w:val="0"/>
        <w:widowControl/>
        <w:suppressLineNumbers w:val="0"/>
        <w:spacing w:before="0" w:beforeAutospacing="0"/>
        <w:ind w:left="0" w:firstLine="600" w:firstLineChars="200"/>
        <w:jc w:val="left"/>
        <w:rPr>
          <w:rFonts w:hint="eastAsia" w:ascii="方正仿宋_GBK" w:hAnsi="方正仿宋_GBK" w:eastAsia="方正仿宋_GBK" w:cs="方正仿宋_GBK"/>
          <w:kern w:val="0"/>
          <w:sz w:val="30"/>
          <w:szCs w:val="30"/>
        </w:rPr>
        <w:sectPr>
          <w:pgSz w:w="16851" w:h="11915" w:orient="landscape"/>
          <w:pgMar w:top="1800" w:right="1440" w:bottom="1800" w:left="1440" w:header="851" w:footer="992" w:gutter="0"/>
          <w:cols w:space="0" w:num="1"/>
          <w:docGrid w:type="lines" w:linePitch="312" w:charSpace="0"/>
        </w:sectPr>
      </w:pPr>
    </w:p>
    <w:tbl>
      <w:tblPr>
        <w:tblStyle w:val="12"/>
        <w:tblW w:w="14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47"/>
        <w:gridCol w:w="1531"/>
        <w:gridCol w:w="937"/>
        <w:gridCol w:w="1623"/>
        <w:gridCol w:w="1382"/>
        <w:gridCol w:w="1385"/>
        <w:gridCol w:w="968"/>
        <w:gridCol w:w="971"/>
        <w:gridCol w:w="925"/>
        <w:gridCol w:w="923"/>
        <w:gridCol w:w="974"/>
        <w:gridCol w:w="15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1"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i w:val="0"/>
                <w:color w:val="000000"/>
                <w:sz w:val="16"/>
                <w:szCs w:val="16"/>
                <w:u w:val="none"/>
              </w:rPr>
            </w:pPr>
            <w:r>
              <w:rPr>
                <w:rFonts w:hint="eastAsia" w:ascii="微软雅黑" w:hAnsi="微软雅黑" w:eastAsia="微软雅黑" w:cs="微软雅黑"/>
                <w:b/>
                <w:i w:val="0"/>
                <w:color w:val="000000"/>
                <w:kern w:val="0"/>
                <w:sz w:val="32"/>
                <w:szCs w:val="32"/>
                <w:u w:val="none"/>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8"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公开11表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项目名称：</w:t>
            </w:r>
          </w:p>
        </w:tc>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自主就业退役士兵一次性经济补助</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项目编码：</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50015322T000002084048</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自评总分：</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99.40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b/>
                <w:i w:val="0"/>
                <w:color w:val="000000"/>
                <w:sz w:val="16"/>
                <w:szCs w:val="16"/>
                <w:u w:val="none"/>
              </w:rPr>
            </w:pPr>
          </w:p>
        </w:tc>
        <w:tc>
          <w:tcPr>
            <w:tcW w:w="2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项目主管部门：</w:t>
            </w:r>
          </w:p>
        </w:tc>
        <w:tc>
          <w:tcPr>
            <w:tcW w:w="24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131-重庆市荣昌区退役军人事务局</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财政归口处室：</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006-社保科</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部门联系人：</w:t>
            </w:r>
          </w:p>
        </w:tc>
        <w:tc>
          <w:tcPr>
            <w:tcW w:w="1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吴宣利</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联系电话：</w:t>
            </w:r>
          </w:p>
        </w:tc>
        <w:tc>
          <w:tcPr>
            <w:tcW w:w="2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15923227251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1"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6"/>
                <w:szCs w:val="16"/>
                <w:u w:val="none"/>
              </w:rPr>
            </w:pPr>
            <w:r>
              <w:rPr>
                <w:rFonts w:hint="eastAsia" w:ascii="微软雅黑" w:hAnsi="微软雅黑" w:eastAsia="微软雅黑" w:cs="微软雅黑"/>
                <w:b/>
                <w:i w:val="0"/>
                <w:color w:val="808080"/>
                <w:kern w:val="0"/>
                <w:sz w:val="16"/>
                <w:szCs w:val="16"/>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color w:val="000000"/>
                <w:sz w:val="16"/>
                <w:szCs w:val="16"/>
                <w:u w:val="none"/>
              </w:rPr>
            </w:pP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年初预算数</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全年（调整）预算数</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全年执行数</w:t>
            </w: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执行率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执行率权重</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5" w:hRule="atLeast"/>
        </w:trPr>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年度总金额</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3,680,000.00 </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3,930,000.00 </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3,680,000.00 </w:t>
            </w: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 w:hRule="atLeast"/>
        </w:trPr>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其中：财政拨款</w:t>
            </w:r>
          </w:p>
        </w:tc>
        <w:tc>
          <w:tcPr>
            <w:tcW w:w="25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3,680,000.00 </w:t>
            </w:r>
          </w:p>
        </w:tc>
        <w:tc>
          <w:tcPr>
            <w:tcW w:w="27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3,930,000.00 </w:t>
            </w:r>
          </w:p>
        </w:tc>
        <w:tc>
          <w:tcPr>
            <w:tcW w:w="19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3,680,000.00 </w:t>
            </w:r>
          </w:p>
        </w:tc>
        <w:tc>
          <w:tcPr>
            <w:tcW w:w="18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9"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6"/>
                <w:szCs w:val="16"/>
                <w:u w:val="none"/>
              </w:rPr>
            </w:pPr>
            <w:r>
              <w:rPr>
                <w:rFonts w:hint="eastAsia" w:ascii="微软雅黑" w:hAnsi="微软雅黑" w:eastAsia="微软雅黑" w:cs="微软雅黑"/>
                <w:b/>
                <w:i w:val="0"/>
                <w:color w:val="808080"/>
                <w:kern w:val="0"/>
                <w:sz w:val="16"/>
                <w:szCs w:val="16"/>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6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年初绩效目标</w:t>
            </w:r>
          </w:p>
        </w:tc>
        <w:tc>
          <w:tcPr>
            <w:tcW w:w="47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全年（调整）绩效目标</w:t>
            </w:r>
          </w:p>
        </w:tc>
        <w:tc>
          <w:tcPr>
            <w:tcW w:w="439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3" w:hRule="atLeast"/>
        </w:trPr>
        <w:tc>
          <w:tcPr>
            <w:tcW w:w="5638"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该项资金用于自主就业退役士兵的一次性经济补助金发放。</w:t>
            </w:r>
          </w:p>
        </w:tc>
        <w:tc>
          <w:tcPr>
            <w:tcW w:w="470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eastAsia" w:ascii="宋体" w:hAnsi="宋体" w:eastAsia="宋体" w:cs="宋体"/>
                <w:i w:val="0"/>
                <w:color w:val="000000"/>
                <w:sz w:val="16"/>
                <w:szCs w:val="16"/>
                <w:u w:val="none"/>
              </w:rPr>
            </w:pPr>
          </w:p>
        </w:tc>
        <w:tc>
          <w:tcPr>
            <w:tcW w:w="439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全年共计发放一次性经济补助人数218人，发放金额378万元。保障了一次性经济补助的按时足额发放，促进了退役士兵自主就业，维护了退役士兵合法权益，使退役士兵安置工作顺利开展。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74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808080"/>
                <w:sz w:val="16"/>
                <w:szCs w:val="16"/>
                <w:u w:val="none"/>
              </w:rPr>
            </w:pPr>
            <w:r>
              <w:rPr>
                <w:rFonts w:hint="eastAsia" w:ascii="微软雅黑" w:hAnsi="微软雅黑" w:eastAsia="微软雅黑" w:cs="微软雅黑"/>
                <w:b/>
                <w:i w:val="0"/>
                <w:color w:val="808080"/>
                <w:kern w:val="0"/>
                <w:sz w:val="16"/>
                <w:szCs w:val="16"/>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指标名称</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计量单位</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指标性质</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指标值</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全年完成值</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偏离度（%）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得分系数（%）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指标权重</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指标得分</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是否核心指标</w:t>
            </w: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说明</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补助按时到位率</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9"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待遇标准执行度</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2" w:hRule="atLeast"/>
        </w:trPr>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待遇对象满意度</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9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1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eastAsia" w:ascii="宋体" w:hAnsi="宋体" w:eastAsia="宋体" w:cs="宋体"/>
                <w:i w:val="0"/>
                <w:color w:val="000000"/>
                <w:sz w:val="16"/>
                <w:szCs w:val="16"/>
                <w:u w:val="none"/>
              </w:rPr>
            </w:pPr>
          </w:p>
        </w:tc>
      </w:tr>
    </w:tbl>
    <w:p>
      <w:pPr>
        <w:pStyle w:val="14"/>
        <w:keepNext w:val="0"/>
        <w:keepLines w:val="0"/>
        <w:widowControl/>
        <w:suppressLineNumbers w:val="0"/>
        <w:spacing w:before="0" w:beforeAutospacing="0"/>
        <w:ind w:left="0" w:firstLine="600" w:firstLineChars="200"/>
        <w:jc w:val="left"/>
        <w:rPr>
          <w:rFonts w:hint="eastAsia" w:ascii="方正仿宋_GBK" w:hAnsi="方正仿宋_GBK" w:eastAsia="方正仿宋_GBK" w:cs="方正仿宋_GBK"/>
          <w:kern w:val="0"/>
          <w:sz w:val="30"/>
          <w:szCs w:val="30"/>
        </w:rPr>
      </w:pPr>
    </w:p>
    <w:sectPr>
      <w:pgSz w:w="16851" w:h="11915" w:orient="landscape"/>
      <w:pgMar w:top="1800" w:right="1440" w:bottom="180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doNotCompress"/>
  <w:compat>
    <w:doNotExpandShiftReturn/>
    <w:doNotBreakWrappedTables/>
    <w:doNotWrapTextWithPunct/>
    <w:doNotUseEastAsianBreakRules/>
    <w:growAutofit/>
    <w:useFELayout/>
    <w:doNotUseIndentAsNumberingTabStop/>
    <w:useAltKinsokuLineBreakRules/>
    <w:compatSetting w:name="compatibilityMode" w:uri="http://schemas.microsoft.com/office/word" w:val="11"/>
  </w:compat>
  <w:rsids>
    <w:rsidRoot w:val="00000000"/>
    <w:rsid w:val="0B6D4739"/>
    <w:rsid w:val="1422431A"/>
    <w:rsid w:val="27437C25"/>
    <w:rsid w:val="2EEF0674"/>
    <w:rsid w:val="33F46E9D"/>
    <w:rsid w:val="353418AF"/>
    <w:rsid w:val="3AE60C94"/>
    <w:rsid w:val="3BA71A76"/>
    <w:rsid w:val="40840022"/>
    <w:rsid w:val="4458385B"/>
    <w:rsid w:val="46FE55B4"/>
    <w:rsid w:val="4ACB5930"/>
    <w:rsid w:val="5B5D0CC6"/>
    <w:rsid w:val="5F714B67"/>
    <w:rsid w:val="65F41327"/>
    <w:rsid w:val="705B1EDB"/>
    <w:rsid w:val="7D3314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0" w:beforeAutospacing="1" w:after="0" w:afterAutospacing="1"/>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0" w:beforeAutospacing="1" w:after="0" w:afterAutospacing="1"/>
      <w:ind w:left="0" w:right="0"/>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0" w:beforeAutospacing="1" w:after="0" w:afterAutospacing="1"/>
      <w:ind w:left="0" w:right="0"/>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0" w:beforeAutospacing="1" w:after="0" w:afterAutospacing="1"/>
      <w:ind w:left="0" w:right="0"/>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0" w:beforeAutospacing="1" w:after="0" w:afterAutospacing="1"/>
      <w:ind w:left="0" w:right="0"/>
      <w:jc w:val="left"/>
    </w:pPr>
    <w:rPr>
      <w:rFonts w:hint="eastAsia" w:ascii="宋体" w:hAnsi="宋体" w:eastAsia="宋体" w:cs="宋体"/>
      <w:b/>
      <w:kern w:val="0"/>
      <w:sz w:val="15"/>
      <w:szCs w:val="15"/>
      <w:lang w:val="en-US" w:eastAsia="zh-CN" w:bidi="ar"/>
    </w:rPr>
  </w:style>
  <w:style w:type="character" w:default="1" w:styleId="10">
    <w:name w:val="Default Paragraph Font"/>
    <w:unhideWhenUsed/>
    <w:qFormat/>
    <w:uiPriority w:val="99"/>
  </w:style>
  <w:style w:type="table" w:default="1" w:styleId="12">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11">
    <w:name w:val="Strong"/>
    <w:basedOn w:val="10"/>
    <w:qFormat/>
    <w:uiPriority w:val="0"/>
    <w:rPr>
      <w:b/>
    </w:rPr>
  </w:style>
  <w:style w:type="character" w:customStyle="1" w:styleId="13">
    <w:name w:val="15"/>
    <w:basedOn w:val="10"/>
    <w:qFormat/>
    <w:uiPriority w:val="0"/>
    <w:rPr>
      <w:rFonts w:hint="default" w:ascii="Times New Roman" w:hAnsi="Times New Roman" w:cs="Times New Roman"/>
    </w:rPr>
  </w:style>
  <w:style w:type="paragraph" w:customStyle="1" w:styleId="14">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5">
    <w:name w:val="19"/>
    <w:basedOn w:val="10"/>
    <w:qFormat/>
    <w:uiPriority w:val="0"/>
    <w:rPr>
      <w:rFonts w:hint="default" w:ascii="Times New Roman" w:hAnsi="Times New Roman" w:cs="Times New Roman"/>
      <w:b/>
    </w:rPr>
  </w:style>
  <w:style w:type="paragraph" w:customStyle="1" w:styleId="16">
    <w:name w:val="p36"/>
    <w:basedOn w:val="1"/>
    <w:qFormat/>
    <w:uiPriority w:val="0"/>
    <w:pPr>
      <w:keepNext w:val="0"/>
      <w:keepLines w:val="0"/>
      <w:widowControl/>
      <w:suppressLineNumbers w:val="0"/>
      <w:spacing w:before="100" w:beforeAutospacing="0" w:after="100" w:afterAutospacing="0"/>
      <w:ind w:left="0" w:right="0"/>
      <w:jc w:val="left"/>
    </w:pPr>
    <w:rPr>
      <w:rFonts w:hint="eastAsia" w:ascii="宋体" w:hAnsi="宋体" w:eastAsia="宋体" w:cs="宋体"/>
      <w:kern w:val="0"/>
      <w:sz w:val="24"/>
      <w:szCs w:val="24"/>
      <w:lang w:val="en-US" w:eastAsia="zh-CN" w:bidi="ar"/>
    </w:rPr>
  </w:style>
  <w:style w:type="character" w:customStyle="1" w:styleId="17">
    <w:name w:val="16"/>
    <w:basedOn w:val="10"/>
    <w:qFormat/>
    <w:uiPriority w:val="0"/>
    <w:rPr>
      <w:rFonts w:hint="default" w:ascii="Times New Roman" w:hAnsi="Times New Roman" w:cs="Times New Roman"/>
      <w:b/>
    </w:rPr>
  </w:style>
  <w:style w:type="character" w:customStyle="1" w:styleId="18">
    <w:name w:val="10"/>
    <w:basedOn w:val="10"/>
    <w:qFormat/>
    <w:uiPriority w:val="0"/>
    <w:rPr>
      <w:rFonts w:hint="default" w:ascii="Times New Roman" w:hAnsi="Times New Roman" w:cs="Times New Roman"/>
    </w:rPr>
  </w:style>
  <w:style w:type="character" w:customStyle="1" w:styleId="19">
    <w:name w:val="17"/>
    <w:basedOn w:val="10"/>
    <w:qFormat/>
    <w:uiPriority w:val="0"/>
    <w:rPr>
      <w:rFonts w:hint="default" w:ascii="Times New Roman" w:hAnsi="Times New Roman" w:cs="Times New Roman"/>
    </w:rPr>
  </w:style>
  <w:style w:type="character" w:customStyle="1" w:styleId="20">
    <w:name w:val="18"/>
    <w:basedOn w:val="10"/>
    <w:qFormat/>
    <w:uiPriority w:val="0"/>
    <w:rPr>
      <w:rFonts w:hint="default" w:ascii="Times New Roman" w:hAnsi="Times New Roman" w:cs="Times New Roman"/>
    </w:rPr>
  </w:style>
  <w:style w:type="paragraph" w:customStyle="1" w:styleId="21">
    <w:name w:val="普通(网站) Char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22">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3">
    <w:name w:val="HTML 预设格式 Char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4">
    <w:name w:val="pre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Characters>6013</Characters>
  <Lines>1</Lines>
  <Paragraphs>1</Paragraphs>
  <ScaleCrop>false</ScaleCrop>
  <LinksUpToDate>false</LinksUpToDate>
  <Application>WPS Office_10.8.0.6206_F1E327BC-269C-435d-A152-05C5408002CA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2023-09-09T07:24:00Z</dcterms:created>
  <dc:creator>gfq</dc:creator>
  <cp:lastModifiedBy>cw</cp:lastModifiedBy>
  <dcterms:modified xsi:type="dcterms:W3CDTF">2023-10-10T02:12:51Z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14851D06A47E4F1382D7101D7DBCCB53_12</vt:lpwstr>
  </property>
</Properties>
</file>