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b w:val="0"/>
          <w:bCs w:val="0"/>
          <w:sz w:val="52"/>
          <w:szCs w:val="52"/>
          <w:shd w:val="clear" w:color="auto" w:fill="FFFFFF"/>
        </w:rPr>
      </w:pPr>
      <w:r>
        <w:rPr>
          <w:rFonts w:ascii="方正小标宋_GBK" w:hAnsi="方正小标宋_GBK" w:eastAsia="方正小标宋_GBK" w:cs="方正小标宋_GBK"/>
          <w:b w:val="0"/>
          <w:bCs w:val="0"/>
          <w:sz w:val="52"/>
          <w:szCs w:val="52"/>
        </w:rPr>
        <w:t>重庆市荣昌区医疗保障局</w:t>
      </w:r>
      <w:r>
        <w:rPr>
          <w:rFonts w:hint="default" w:ascii="Times New Roman" w:hAnsi="Times New Roman" w:eastAsia="方正小标宋_GBK"/>
          <w:b w:val="0"/>
          <w:bCs w:val="0"/>
          <w:sz w:val="52"/>
          <w:szCs w:val="52"/>
          <w:shd w:val="clear" w:color="auto" w:fill="FFFFFF"/>
        </w:rPr>
        <w:t>2024</w:t>
      </w:r>
      <w:r>
        <w:rPr>
          <w:rFonts w:ascii="方正小标宋_GBK" w:hAnsi="方正小标宋_GBK" w:eastAsia="方正小标宋_GBK" w:cs="方正小标宋_GBK"/>
          <w:b w:val="0"/>
          <w:bCs w:val="0"/>
          <w:sz w:val="52"/>
          <w:szCs w:val="52"/>
          <w:shd w:val="clear" w:color="auto" w:fill="FFFFFF"/>
        </w:rPr>
        <w:t>年度</w:t>
      </w:r>
    </w:p>
    <w:p>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36"/>
          <w:szCs w:val="36"/>
          <w:shd w:val="clear" w:color="auto" w:fill="FFFFFF"/>
          <w:lang w:val="en-US" w:eastAsia="zh-CN"/>
        </w:rPr>
      </w:pPr>
      <w:r>
        <w:rPr>
          <w:rFonts w:ascii="方正小标宋_GBK" w:hAnsi="方正小标宋_GBK" w:eastAsia="方正小标宋_GBK" w:cs="方正小标宋_GBK"/>
          <w:b w:val="0"/>
          <w:bCs w:val="0"/>
          <w:sz w:val="52"/>
          <w:szCs w:val="52"/>
          <w:shd w:val="clear" w:color="auto" w:fill="FFFFFF"/>
        </w:rPr>
        <w:t>决算公开</w:t>
      </w:r>
      <w:r>
        <w:rPr>
          <w:rFonts w:hint="eastAsia" w:ascii="方正小标宋_GBK" w:hAnsi="方正小标宋_GBK" w:eastAsia="方正小标宋_GBK" w:cs="方正小标宋_GBK"/>
          <w:b w:val="0"/>
          <w:bCs w:val="0"/>
          <w:sz w:val="52"/>
          <w:szCs w:val="52"/>
          <w:shd w:val="clear" w:color="auto" w:fill="FFFFFF"/>
          <w:lang w:eastAsia="zh-CN"/>
        </w:rPr>
        <w:t>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bookmarkStart w:id="0" w:name="_GoBack"/>
      <w:bookmarkEnd w:id="0"/>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pStyle w:val="17"/>
        <w:keepNext w:val="0"/>
        <w:keepLines w:val="0"/>
        <w:widowControl/>
        <w:suppressLineNumbers w:val="0"/>
        <w:autoSpaceDE/>
        <w:autoSpaceDN w:val="0"/>
        <w:spacing w:before="0" w:beforeAutospacing="0" w:after="0" w:afterAutospacing="0"/>
        <w:ind w:left="0" w:firstLine="640"/>
        <w:jc w:val="both"/>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（一）职能职责</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 贯彻执行国家及重庆市医疗保险、生育保险、医疗救助等医疗保障制度的法律法规、规章、政策、规划和标准，拟订医疗保障规范性文件，拟订相关规划、政策、标准并组织实施。2. 贯彻执行医疗保障基金监督管理办法，建立健全医疗保障基金安全防控机制，推进医疗保障基金支付方式改革。3. 贯彻执行医疗保障筹资和待遇政策，完善动态调整和区域调剂平衡机制，贯彻落实城乡医疗保障待遇标准，贯彻落实与筹资水平相适应的待遇调整机制。组织实施长期护理保险制度改革方案。4. 贯彻落实药品、医用耗材、医疗服务项目、医疗服务设施等地方医保目录和支付标准，建立动态调整机制。组织实施医保目录准入谈判地方规则。5. 贯彻执行药品、医用耗材价格和医疗服务项目、医疗服务设施收费等政策，执行医保支付医药服务价格合理确定和动态调整机制，推动建立市场主导的社会医药服务价格形成机制，建立价格信息监测和信息发布制度。6. 监督实施药品、医用耗材的招标采购政策，指导药品、医用耗材招标采购平台的使用。7. 贯彻执行定点医药机构协议和支付管理办法并组织实施，建立健全医疗保障信用评价体系和信息披露制度，监督管理纳入医保范围内的医疗服务行为和医疗费用，依法查处医疗保障领域违法违规行为。8. 负责医疗保障经办管理、公共服务体系和信息化建设。贯彻执行异地就医管理和费用结算政策，建立健全医疗保障关系转移接续制度。9. 完成区委、区政府交办的其他任务。10. 职能转变。重庆市荣昌区医疗保障局要落实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11. 与有关部门的职责分工。重庆市荣昌区医疗保障局要建立与重庆市荣昌区发展和改革委员会、重庆市荣昌区卫生健康委员会、重庆市荣昌区市场监督管理局、重庆市荣昌区税务局等部门的沟通协商机制，加强制度、政策衔接，协同推进改革，提高医疗资源使用效率和医疗保障水平。12. 负责全区医疗保障参保管理和参保扩面工作，编制全区医疗保障的参保计划并组织实施。13. 负责全区医疗保障、医疗救助等待遇费用审核结算工作，负责离休干部和残疾军人等特殊人群医疗待遇费用审核结算工作。14. 承担全区医疗保险协议服务机构业务管理的事务性工作。15. 承担全区异地联网结算备案登记和支付结算等事务性工作。16. 承担医疗保障基金年度预算、决算报表的编制工作。承担全区医疗保障基金的收支和会计核算等事务性工作。17. 负责全区医疗保障网络系统的运行和维护工作。18. 负责全区医疗保障业务咨询、宣传、培训和参保对象医疗保障权益告知、 查询等服务工作。19. 负责全区医疗保障档案标准化建设工作。20. 承担全区医疗保险、 生育保险稽核的事务性工作。</w:t>
      </w:r>
    </w:p>
    <w:p>
      <w:pPr>
        <w:pStyle w:val="17"/>
        <w:keepNext w:val="0"/>
        <w:keepLines w:val="0"/>
        <w:widowControl/>
        <w:suppressLineNumbers w:val="0"/>
        <w:autoSpaceDE/>
        <w:autoSpaceDN w:val="0"/>
        <w:spacing w:before="0" w:beforeAutospacing="0" w:after="0" w:afterAutospacing="0"/>
        <w:ind w:left="0" w:firstLine="640"/>
        <w:jc w:val="both"/>
        <w:rPr>
          <w:rFonts w:hint="eastAsia" w:ascii="楷体" w:hAnsi="楷体" w:eastAsia="楷体" w:cs="楷体"/>
          <w:b w:val="0"/>
          <w:bCs w:val="0"/>
          <w:kern w:val="0"/>
          <w:sz w:val="32"/>
          <w:szCs w:val="32"/>
          <w:shd w:val="clear" w:fill="FFFFFF"/>
        </w:rPr>
      </w:pPr>
      <w:r>
        <w:rPr>
          <w:rFonts w:hint="eastAsia" w:ascii="楷体" w:hAnsi="楷体" w:eastAsia="楷体" w:cs="楷体"/>
          <w:b/>
          <w:bCs/>
          <w:kern w:val="0"/>
          <w:sz w:val="32"/>
          <w:szCs w:val="32"/>
          <w:shd w:val="clear" w:fill="FFFFFF"/>
        </w:rPr>
        <w:t>（二）机构设置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重庆市荣昌区医疗保障局：重庆市荣昌区医疗保障局是区政府工作部门，为正处级。重庆市荣昌区医疗保障局机关行政编制6名，目前实有人数6人。设局长1名，副局长1名。内设机构三个科室，分为</w:t>
      </w:r>
      <w:r>
        <w:rPr>
          <w:rFonts w:hint="eastAsia" w:ascii="方正仿宋_GBK" w:hAnsi="方正仿宋_GBK" w:eastAsia="方正仿宋_GBK" w:cs="方正仿宋_GBK"/>
          <w:kern w:val="0"/>
          <w:sz w:val="32"/>
          <w:szCs w:val="32"/>
          <w:shd w:val="clear" w:fill="FFFFFF"/>
          <w:lang w:eastAsia="zh-CN"/>
        </w:rPr>
        <w:t>办公室</w:t>
      </w:r>
      <w:r>
        <w:rPr>
          <w:rFonts w:hint="eastAsia" w:ascii="方正仿宋_GBK" w:hAnsi="方正仿宋_GBK" w:eastAsia="方正仿宋_GBK" w:cs="方正仿宋_GBK"/>
          <w:kern w:val="0"/>
          <w:sz w:val="32"/>
          <w:szCs w:val="32"/>
          <w:shd w:val="clear" w:fill="FFFFFF"/>
        </w:rPr>
        <w:t>、医药服务管理科、基金监督科，科级领导职数3名。</w:t>
      </w:r>
    </w:p>
    <w:p>
      <w:pPr>
        <w:pStyle w:val="17"/>
        <w:keepNext w:val="0"/>
        <w:keepLines w:val="0"/>
        <w:widowControl/>
        <w:suppressLineNumbers w:val="0"/>
        <w:autoSpaceDE/>
        <w:autoSpaceDN w:val="0"/>
        <w:spacing w:before="0" w:beforeAutospacing="0" w:after="0" w:afterAutospacing="0"/>
        <w:ind w:left="0" w:firstLine="640"/>
        <w:jc w:val="both"/>
        <w:rPr>
          <w:rFonts w:hint="eastAsia" w:ascii="楷体" w:hAnsi="楷体" w:eastAsia="楷体" w:cs="楷体"/>
          <w:b w:val="0"/>
          <w:bCs w:val="0"/>
          <w:kern w:val="0"/>
          <w:sz w:val="32"/>
          <w:szCs w:val="32"/>
          <w:shd w:val="clear" w:fill="FFFFFF"/>
          <w:lang w:val="en-US" w:eastAsia="zh-CN"/>
        </w:rPr>
      </w:pPr>
      <w:r>
        <w:rPr>
          <w:rFonts w:hint="eastAsia" w:ascii="楷体" w:hAnsi="楷体" w:eastAsia="楷体" w:cs="楷体"/>
          <w:b/>
          <w:bCs/>
          <w:kern w:val="0"/>
          <w:sz w:val="32"/>
          <w:szCs w:val="32"/>
          <w:shd w:val="clear" w:fill="FFFFFF"/>
        </w:rPr>
        <w:t>（</w:t>
      </w:r>
      <w:r>
        <w:rPr>
          <w:rFonts w:hint="eastAsia" w:ascii="楷体" w:hAnsi="楷体" w:eastAsia="楷体" w:cs="楷体"/>
          <w:b/>
          <w:bCs/>
          <w:kern w:val="0"/>
          <w:sz w:val="32"/>
          <w:szCs w:val="32"/>
          <w:shd w:val="clear" w:fill="FFFFFF"/>
          <w:lang w:val="en-US" w:eastAsia="zh-CN"/>
        </w:rPr>
        <w:t>三</w:t>
      </w:r>
      <w:r>
        <w:rPr>
          <w:rFonts w:hint="eastAsia" w:ascii="楷体" w:hAnsi="楷体" w:eastAsia="楷体" w:cs="楷体"/>
          <w:b/>
          <w:bCs/>
          <w:kern w:val="0"/>
          <w:sz w:val="32"/>
          <w:szCs w:val="32"/>
          <w:shd w:val="clear" w:fill="FFFFFF"/>
        </w:rPr>
        <w:t>）机构</w:t>
      </w:r>
      <w:r>
        <w:rPr>
          <w:rFonts w:hint="eastAsia" w:ascii="楷体" w:hAnsi="楷体" w:eastAsia="楷体" w:cs="楷体"/>
          <w:b/>
          <w:bCs/>
          <w:kern w:val="0"/>
          <w:sz w:val="32"/>
          <w:szCs w:val="32"/>
          <w:shd w:val="clear" w:fill="FFFFFF"/>
          <w:lang w:val="en-US" w:eastAsia="zh-CN"/>
        </w:rPr>
        <w:t>构成</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firstLine="640" w:firstLineChars="200"/>
        <w:jc w:val="both"/>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本部门有2个二级预算单位，分别是重庆市荣昌区</w:t>
      </w:r>
      <w:r>
        <w:rPr>
          <w:rFonts w:hint="eastAsia" w:ascii="方正仿宋_GBK" w:hAnsi="方正仿宋_GBK" w:eastAsia="方正仿宋_GBK" w:cs="方正仿宋_GBK"/>
          <w:kern w:val="0"/>
          <w:sz w:val="32"/>
          <w:szCs w:val="32"/>
          <w:shd w:val="clear" w:fill="FFFFFF"/>
        </w:rPr>
        <w:t>医疗保障局</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本级</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和重庆市荣昌区医疗保障事务中心。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1217.93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收、支与2023年度相比，增加74.84万元，增长6.6%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职工工资、社会保险、公积金增加，医保大厅建设和医保基金监管智能监控系统安装费用增加。</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1217.93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与2023年度相比，增加74.84万元，增长6.6%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职工工资、社会保险、公积金增加，医保大厅建设和医保基金监管智能监控系统安装费用增加。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1217.93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1217.93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与2023年度相比，增加74.84万元，增长6.6%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职工工资、社会保险、公积金增加，医保大厅建设和医保基金监管智能监控系统安装费用增加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898.22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319.71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26.3%</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
        </w:rPr>
        <w:t>本年末无结转结</w:t>
      </w:r>
      <w:r>
        <w:rPr>
          <w:rFonts w:hint="eastAsia" w:ascii="方正仿宋_GBK" w:hAnsi="方正仿宋_GBK" w:eastAsia="方正仿宋_GBK" w:cs="方正仿宋_GBK"/>
          <w:color w:val="auto"/>
          <w:kern w:val="0"/>
          <w:sz w:val="32"/>
          <w:szCs w:val="32"/>
          <w:shd w:val="clear" w:fill="FFFFFF"/>
          <w:lang w:val="en-US" w:eastAsia="zh-CN" w:bidi="ar"/>
        </w:rPr>
        <w:t>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1217.93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财政拨款收、支总计各增加74.84万元，增长6.6%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职工工资、社会保险、公积金增加，医保大厅建设和医保基金监管智能监控系统安装费用增加</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1217.93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与2023年度相比，增加74.84万元，增长6.6%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职工工资、社会保险、公积金增加，医保大厅建设和医保基金监管智能监控系统安装费用增加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较年初预算数减少810.59万元，下降40.0%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
        </w:rPr>
        <w:t>医保基金监管项目、医疗服务能力与提升项目资金减</w:t>
      </w:r>
      <w:r>
        <w:rPr>
          <w:rFonts w:hint="eastAsia" w:ascii="方正仿宋_GBK" w:hAnsi="方正仿宋_GBK" w:eastAsia="方正仿宋_GBK" w:cs="方正仿宋_GBK"/>
          <w:color w:val="auto"/>
          <w:kern w:val="0"/>
          <w:sz w:val="32"/>
          <w:szCs w:val="32"/>
          <w:shd w:val="clear" w:fill="FFFFFF"/>
          <w:lang w:val="en-US" w:eastAsia="zh-CN" w:bidi="ar"/>
        </w:rPr>
        <w:t>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1217.93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与2023年度相比，增加74.84万元，增长6.6%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职工工资、社会保险、公积金增加，医保大厅建设和医保基金监管智能监控系统安装费用增加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较年初预算数减少810.59万元，下降40.0%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
        </w:rPr>
        <w:t>医保基金监管项目、医疗服务能力与提升项目资金减</w:t>
      </w:r>
      <w:r>
        <w:rPr>
          <w:rFonts w:hint="eastAsia" w:ascii="方正仿宋_GBK" w:hAnsi="方正仿宋_GBK" w:eastAsia="方正仿宋_GBK" w:cs="方正仿宋_GBK"/>
          <w:color w:val="auto"/>
          <w:kern w:val="0"/>
          <w:sz w:val="32"/>
          <w:szCs w:val="32"/>
          <w:shd w:val="clear" w:fill="FFFFFF"/>
          <w:lang w:val="en-US" w:eastAsia="zh-CN" w:bidi="ar"/>
        </w:rPr>
        <w:t>少</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4.09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较年初预算数减少0.06万元，下降1.5%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
        </w:rPr>
        <w:t>干部教育培训减少。</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108.37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较年初预算数减少0.81万元，下降0.7%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与预算数基本持平。</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1046.81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较年初预算数减少809.49万元，下降43.6%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
        </w:rPr>
        <w:t>医保基金监管项目、医疗服务能力与提升项目资</w:t>
      </w:r>
      <w:r>
        <w:rPr>
          <w:rFonts w:hint="eastAsia" w:ascii="方正仿宋_GBK" w:hAnsi="方正仿宋_GBK" w:eastAsia="方正仿宋_GBK" w:cs="方正仿宋_GBK"/>
          <w:color w:val="auto"/>
          <w:kern w:val="0"/>
          <w:sz w:val="32"/>
          <w:szCs w:val="32"/>
          <w:shd w:val="clear" w:fill="FFFFFF"/>
          <w:lang w:val="en-US" w:eastAsia="zh-CN" w:bidi="ar"/>
        </w:rPr>
        <w:t>金减少</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58.65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较年初预算数减少0.23万元，下降0.4%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与预算数基本持平。</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898.22</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745.50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与2023年度相比，增加84.08万元，增长12.7%</w:t>
      </w:r>
      <w:r>
        <w:rPr>
          <w:rFonts w:ascii="方正仿宋_GBK" w:hAnsi="方正仿宋_GBK" w:eastAsia="方正仿宋_GBK" w:cs="方正仿宋_GBK"/>
          <w:sz w:val="32"/>
          <w:szCs w:val="32"/>
          <w:shd w:val="clear" w:color="auto" w:fill="FFFFFF"/>
        </w:rPr>
        <w:t>，主要原因是是</w:t>
      </w:r>
      <w:r>
        <w:rPr>
          <w:rFonts w:hint="eastAsia" w:ascii="方正仿宋_GBK" w:hAnsi="方正仿宋_GBK" w:eastAsia="方正仿宋_GBK" w:cs="方正仿宋_GBK"/>
          <w:sz w:val="32"/>
          <w:szCs w:val="32"/>
          <w:shd w:val="clear" w:color="auto" w:fill="FFFFFF"/>
          <w:lang w:eastAsia="zh-CN"/>
        </w:rPr>
        <w:t>职工工资、社会保险、公积金</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color="auto" w:fill="FFFFFF"/>
          <w:lang w:val="en-US" w:eastAsia="zh-CN" w:bidi="ar"/>
        </w:rPr>
        <w:t>基本工资、津贴补贴、奖金、社会保障缴费、住房公积金缴费等。</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152.71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与2023年度相比，减少16.88万元，下降10.0%</w:t>
      </w:r>
      <w:r>
        <w:rPr>
          <w:rFonts w:ascii="方正仿宋_GBK" w:hAnsi="方正仿宋_GBK" w:eastAsia="方正仿宋_GBK" w:cs="方正仿宋_GBK"/>
          <w:sz w:val="32"/>
          <w:szCs w:val="32"/>
          <w:shd w:val="clear" w:color="auto" w:fill="FFFFFF"/>
        </w:rPr>
        <w:t>，主要原因是</w:t>
      </w:r>
      <w:r>
        <w:rPr>
          <w:rFonts w:hint="eastAsia" w:ascii="仿宋" w:hAnsi="仿宋" w:eastAsia="仿宋"/>
          <w:color w:val="auto"/>
          <w:sz w:val="30"/>
          <w:szCs w:val="30"/>
        </w:rPr>
        <w:t>本</w:t>
      </w:r>
      <w:r>
        <w:rPr>
          <w:rFonts w:hint="eastAsia" w:ascii="仿宋" w:hAnsi="仿宋" w:eastAsia="仿宋"/>
          <w:color w:val="auto"/>
          <w:sz w:val="30"/>
          <w:szCs w:val="30"/>
          <w:lang w:eastAsia="zh-CN"/>
        </w:rPr>
        <w:t>部门</w:t>
      </w:r>
      <w:r>
        <w:rPr>
          <w:rFonts w:hint="eastAsia" w:ascii="仿宋" w:hAnsi="仿宋" w:eastAsia="仿宋"/>
          <w:color w:val="auto"/>
          <w:sz w:val="30"/>
          <w:szCs w:val="30"/>
        </w:rPr>
        <w:t>本年度厉行节约</w:t>
      </w:r>
      <w:r>
        <w:rPr>
          <w:rFonts w:hint="eastAsia" w:ascii="仿宋" w:hAnsi="仿宋" w:eastAsia="仿宋"/>
          <w:color w:val="auto"/>
          <w:sz w:val="30"/>
          <w:szCs w:val="30"/>
          <w:lang w:eastAsia="zh-CN"/>
        </w:rPr>
        <w:t>精简办公</w:t>
      </w:r>
      <w:r>
        <w:rPr>
          <w:rFonts w:hint="eastAsia" w:ascii="仿宋" w:hAnsi="仿宋" w:eastAsia="仿宋"/>
          <w:color w:val="auto"/>
          <w:sz w:val="30"/>
          <w:szCs w:val="30"/>
        </w:rPr>
        <w:t>大力压缩机关运行保障经</w:t>
      </w:r>
      <w:r>
        <w:rPr>
          <w:rFonts w:hint="eastAsia" w:ascii="仿宋" w:hAnsi="仿宋" w:eastAsia="仿宋"/>
          <w:color w:val="auto"/>
          <w:sz w:val="30"/>
          <w:szCs w:val="30"/>
          <w:lang w:eastAsia="zh-CN"/>
        </w:rPr>
        <w:t>费。</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color="auto" w:fill="FFFFFF"/>
          <w:lang w:val="en-US" w:eastAsia="zh-CN" w:bidi="ar"/>
        </w:rPr>
        <w:t>办公费、水电费、邮电费、物业管理费</w:t>
      </w:r>
      <w:r>
        <w:rPr>
          <w:rFonts w:hint="eastAsia" w:ascii="方正仿宋_GBK" w:hAnsi="方正仿宋_GBK" w:eastAsia="方正仿宋_GBK" w:cs="方正仿宋_GBK"/>
          <w:color w:val="auto"/>
          <w:kern w:val="0"/>
          <w:sz w:val="32"/>
          <w:szCs w:val="32"/>
          <w:shd w:val="clear" w:color="auto" w:fill="FFFFFF"/>
          <w:lang w:val="en-US" w:eastAsia="zh-CN" w:bidi="ar"/>
        </w:rPr>
        <w:t>等</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7"/>
        <w:keepNext w:val="0"/>
        <w:keepLines w:val="0"/>
        <w:pageBreakBefore w:val="0"/>
        <w:widowControl/>
        <w:numPr>
          <w:ilvl w:val="0"/>
          <w:numId w:val="0"/>
        </w:numPr>
        <w:suppressLineNumbers w:val="0"/>
        <w:kinsoku/>
        <w:wordWrap/>
        <w:overflowPunct/>
        <w:topLinePunct w:val="0"/>
        <w:autoSpaceDE/>
        <w:autoSpaceDN w:val="0"/>
        <w:bidi w:val="0"/>
        <w:adjustRightInd/>
        <w:snapToGrid/>
        <w:spacing w:before="0" w:beforeAutospacing="0" w:after="0" w:afterAutospacing="0"/>
        <w:ind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较年初预算数减少3.46万元，下降54.9%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严格执行《重庆市荣昌区人民政府办公室关于进一步深化财政管理改革实施政府过紧日子十条举措的通知》（荣昌府办发〔2020〕38号）文件精神，厉行节约。</w:t>
      </w:r>
      <w:r>
        <w:rPr>
          <w:rFonts w:hint="default" w:ascii="Times New Roman" w:hAnsi="Times New Roman" w:eastAsia="方正仿宋_GBK"/>
          <w:sz w:val="32"/>
          <w:szCs w:val="32"/>
          <w:shd w:val="clear" w:color="auto" w:fill="FFFFFF"/>
        </w:rPr>
        <w:t>较上年支出数减少0.66万元，下降18.9%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按上级文件要求，厉行节约，精简办公</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sz w:val="32"/>
          <w:szCs w:val="32"/>
          <w:shd w:val="clear" w:color="auto" w:fill="FFFFFF"/>
        </w:rPr>
        <w:t>公务人员公务出国（境）的国际旅费、国外城市间交通费、住宿费、伙食费、公杂费和其他费用。</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年度未发生公务车购置费支出。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年度未发生公务车购置费支出。</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年度未发生公务车购置费支出。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2.28</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公务车日常维修、燃料、保险以及停车费相关费用。</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较年初预算数减少0.22万元，下降8.8%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加强公务车管理，节省费用开支。</w:t>
      </w:r>
      <w:r>
        <w:rPr>
          <w:rFonts w:hint="default" w:ascii="Times New Roman" w:hAnsi="Times New Roman" w:eastAsia="方正仿宋_GBK"/>
          <w:sz w:val="32"/>
          <w:szCs w:val="32"/>
          <w:shd w:val="clear" w:color="auto" w:fill="FFFFFF"/>
        </w:rPr>
        <w:t>较上年支出数减少0.78万元，下降25.5%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加强公务车管理，节省费用开支。</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0.56</w:t>
      </w:r>
      <w:r>
        <w:rPr>
          <w:rFonts w:ascii="方正仿宋_GBK" w:hAnsi="方正仿宋_GBK" w:eastAsia="方正仿宋_GBK" w:cs="方正仿宋_GBK"/>
          <w:sz w:val="32"/>
          <w:szCs w:val="32"/>
          <w:shd w:val="clear" w:color="auto" w:fill="FFFFFF"/>
        </w:rPr>
        <w:t>万元，主要用于接待接待</w:t>
      </w:r>
      <w:r>
        <w:rPr>
          <w:rFonts w:hint="eastAsia" w:ascii="方正仿宋_GBK" w:hAnsi="方正仿宋_GBK" w:eastAsia="方正仿宋_GBK" w:cs="方正仿宋_GBK"/>
          <w:kern w:val="0"/>
          <w:sz w:val="32"/>
          <w:szCs w:val="32"/>
          <w:shd w:val="clear" w:fill="FFFFFF"/>
        </w:rPr>
        <w:t>上级领导</w:t>
      </w:r>
      <w:r>
        <w:rPr>
          <w:rFonts w:hint="eastAsia" w:ascii="方正仿宋_GBK" w:hAnsi="方正仿宋_GBK" w:eastAsia="方正仿宋_GBK" w:cs="方正仿宋_GBK"/>
          <w:kern w:val="0"/>
          <w:sz w:val="32"/>
          <w:szCs w:val="32"/>
          <w:shd w:val="clear" w:fill="FFFFFF"/>
          <w:lang w:eastAsia="zh-CN"/>
        </w:rPr>
        <w:t>指导</w:t>
      </w:r>
      <w:r>
        <w:rPr>
          <w:rFonts w:hint="eastAsia" w:ascii="方正仿宋_GBK" w:hAnsi="方正仿宋_GBK" w:eastAsia="方正仿宋_GBK" w:cs="方正仿宋_GBK"/>
          <w:kern w:val="0"/>
          <w:sz w:val="32"/>
          <w:szCs w:val="32"/>
          <w:shd w:val="clear" w:fill="FFFFFF"/>
        </w:rPr>
        <w:t>工作以及交叉检查的相关工作人员。</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较年初预算数减少3.24万元，下降85.3%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w:t>
      </w:r>
      <w:r>
        <w:rPr>
          <w:rFonts w:hint="eastAsia" w:ascii="方正仿宋_GBK" w:hAnsi="方正仿宋_GBK" w:eastAsia="方正仿宋_GBK" w:cs="方正仿宋_GBK"/>
          <w:kern w:val="0"/>
          <w:sz w:val="32"/>
          <w:szCs w:val="32"/>
          <w:shd w:val="clear" w:fill="FFFFFF"/>
          <w:lang w:eastAsia="zh-CN"/>
        </w:rPr>
        <w:t>严控“三公经费”支出。</w:t>
      </w:r>
      <w:r>
        <w:rPr>
          <w:rFonts w:hint="default" w:ascii="Times New Roman" w:hAnsi="Times New Roman" w:eastAsia="方正仿宋_GBK"/>
          <w:sz w:val="32"/>
          <w:szCs w:val="32"/>
          <w:shd w:val="clear" w:color="auto" w:fill="FFFFFF"/>
        </w:rPr>
        <w:t>较上年支出数增加0.13万元，增长30.2%</w:t>
      </w:r>
      <w:r>
        <w:rPr>
          <w:rFonts w:ascii="方正仿宋_GBK" w:hAnsi="方正仿宋_GBK" w:eastAsia="方正仿宋_GBK" w:cs="方正仿宋_GBK"/>
          <w:sz w:val="32"/>
          <w:szCs w:val="32"/>
          <w:shd w:val="clear" w:color="auto" w:fill="FFFFFF"/>
        </w:rPr>
        <w:t>，主要原因是接待</w:t>
      </w:r>
      <w:r>
        <w:rPr>
          <w:rFonts w:hint="eastAsia" w:ascii="方正仿宋_GBK" w:hAnsi="方正仿宋_GBK" w:eastAsia="方正仿宋_GBK" w:cs="方正仿宋_GBK"/>
          <w:color w:val="auto"/>
          <w:sz w:val="32"/>
          <w:szCs w:val="32"/>
          <w:shd w:val="clear" w:color="auto" w:fill="FFFFFF"/>
          <w:lang w:val="en-US" w:eastAsia="zh-CN"/>
        </w:rPr>
        <w:t>2024年大铜潼荣医保基金跨区域交叉检查工作</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86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64.90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2.28</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本年度未发生会议费费用。</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4.51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与2023年度相比，减少0.05万元，下降1.1%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职工教育培训减少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8.46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与2023年度相比，减少18.73万元，下降68.9%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严格执行</w:t>
      </w:r>
      <w:r>
        <w:rPr>
          <w:rFonts w:hint="eastAsia" w:ascii="方正仿宋_GBK" w:hAnsi="方正仿宋_GBK" w:eastAsia="方正仿宋_GBK" w:cs="方正仿宋_GBK"/>
          <w:color w:val="auto"/>
          <w:sz w:val="32"/>
          <w:szCs w:val="32"/>
          <w:shd w:val="clear" w:color="auto" w:fill="FFFFFF"/>
          <w:lang w:eastAsia="zh-CN"/>
        </w:rPr>
        <w:t>规范差旅费报销</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152.71</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办公费、水电费、邮电费、物业管理费等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较上年支出数减少16.88万元，下降10.0%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按上级要求</w:t>
      </w:r>
      <w:r>
        <w:rPr>
          <w:rFonts w:hint="eastAsia" w:ascii="方正仿宋_GBK" w:hAnsi="方正仿宋_GBK" w:eastAsia="方正仿宋_GBK" w:cs="方正仿宋_GBK"/>
          <w:color w:val="auto"/>
          <w:sz w:val="32"/>
          <w:szCs w:val="32"/>
          <w:shd w:val="clear" w:color="auto" w:fill="FFFFFF"/>
          <w:lang w:eastAsia="zh-CN"/>
        </w:rPr>
        <w:t>厉行节约，精简办公</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4.32</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4.32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4.32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0.0 %</w:t>
      </w:r>
      <w:r>
        <w:rPr>
          <w:rFonts w:ascii="方正仿宋_GBK" w:hAnsi="方正仿宋_GBK" w:eastAsia="方正仿宋_GBK" w:cs="方正仿宋_GBK"/>
          <w:sz w:val="32"/>
          <w:szCs w:val="32"/>
          <w:shd w:val="clear" w:color="auto" w:fill="FFFFFF"/>
        </w:rPr>
        <w:t>。主要用于采购采购</w:t>
      </w:r>
      <w:r>
        <w:rPr>
          <w:rFonts w:hint="eastAsia" w:ascii="方正仿宋_GBK" w:hAnsi="方正仿宋_GBK" w:eastAsia="方正仿宋_GBK" w:cs="方正仿宋_GBK"/>
          <w:color w:val="auto"/>
          <w:sz w:val="32"/>
          <w:szCs w:val="32"/>
          <w:shd w:val="clear" w:color="auto" w:fill="FFFFFF"/>
          <w:lang w:eastAsia="zh-CN"/>
        </w:rPr>
        <w:t>医保经办大厅及附属设施建设项目购空调</w:t>
      </w:r>
      <w:r>
        <w:rPr>
          <w:rFonts w:ascii="方正仿宋_GBK" w:hAnsi="方正仿宋_GBK" w:eastAsia="方正仿宋_GBK" w:cs="方正仿宋_GBK"/>
          <w:color w:val="auto"/>
          <w:sz w:val="32"/>
          <w:szCs w:val="32"/>
          <w:shd w:val="clear" w:color="auto" w:fill="FFFFFF"/>
        </w:rPr>
        <w:t>。</w:t>
      </w:r>
    </w:p>
    <w:p>
      <w:pPr>
        <w:pStyle w:val="6"/>
        <w:numPr>
          <w:ilvl w:val="0"/>
          <w:numId w:val="0"/>
        </w:numPr>
        <w:shd w:val="clear" w:color="auto" w:fill="FFFFFF"/>
        <w:ind w:firstLine="643" w:firstLineChars="200"/>
        <w:rPr>
          <w:rStyle w:val="10"/>
          <w:rFonts w:hint="eastAsia"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rPr>
        <w:t>预算绩效管理情况说明</w:t>
      </w:r>
    </w:p>
    <w:p>
      <w:pPr>
        <w:pStyle w:val="11"/>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eastAsia="zh-CN" w:bidi="ar"/>
        </w:rPr>
        <w:t>部门</w:t>
      </w:r>
      <w:r>
        <w:rPr>
          <w:rFonts w:hint="eastAsia" w:ascii="楷体" w:hAnsi="楷体" w:eastAsia="楷体" w:cs="楷体"/>
          <w:b/>
          <w:bCs/>
          <w:sz w:val="32"/>
          <w:szCs w:val="32"/>
          <w:shd w:val="clear" w:color="auto" w:fill="FFFFFF"/>
          <w:lang w:bidi="ar"/>
        </w:rPr>
        <w:t>自评情况</w:t>
      </w:r>
    </w:p>
    <w:p>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bidi="ar"/>
        </w:rPr>
      </w:pPr>
      <w:r>
        <w:rPr>
          <w:rFonts w:hint="eastAsia" w:ascii="方正仿宋_GBK" w:hAnsi="方正仿宋_GBK" w:eastAsia="方正仿宋_GBK" w:cs="方正仿宋_GBK"/>
          <w:sz w:val="32"/>
          <w:szCs w:val="32"/>
          <w:shd w:val="clear" w:color="auto" w:fill="FFFFFF"/>
          <w:lang w:bidi="ar"/>
        </w:rPr>
        <w:t>根据预算绩效管理要求，我部门对部门整体和</w:t>
      </w:r>
      <w:r>
        <w:rPr>
          <w:rFonts w:hint="eastAsia" w:ascii="方正仿宋_GBK" w:hAnsi="方正仿宋_GBK" w:eastAsia="方正仿宋_GBK" w:cs="方正仿宋_GBK"/>
          <w:sz w:val="32"/>
          <w:szCs w:val="32"/>
          <w:shd w:val="clear" w:color="auto" w:fill="FFFFFF"/>
          <w:lang w:val="en-US" w:eastAsia="zh-CN" w:bidi="ar"/>
        </w:rPr>
        <w:t>7</w:t>
      </w:r>
      <w:r>
        <w:rPr>
          <w:rFonts w:hint="eastAsia" w:ascii="方正仿宋_GBK" w:hAnsi="方正仿宋_GBK" w:eastAsia="方正仿宋_GBK" w:cs="方正仿宋_GBK"/>
          <w:sz w:val="32"/>
          <w:szCs w:val="32"/>
          <w:shd w:val="clear" w:color="auto" w:fill="FFFFFF"/>
          <w:lang w:bidi="ar"/>
        </w:rPr>
        <w:t>个项目开展了绩效自评，涉及项目支出资金</w:t>
      </w:r>
      <w:r>
        <w:rPr>
          <w:rFonts w:hint="eastAsia" w:ascii="方正仿宋_GBK" w:hAnsi="方正仿宋_GBK" w:eastAsia="方正仿宋_GBK" w:cs="方正仿宋_GBK"/>
          <w:sz w:val="32"/>
          <w:szCs w:val="32"/>
          <w:shd w:val="clear" w:color="auto" w:fill="FFFFFF"/>
          <w:lang w:val="en-US" w:eastAsia="zh-CN" w:bidi="ar"/>
        </w:rPr>
        <w:t>319.71</w:t>
      </w:r>
      <w:r>
        <w:rPr>
          <w:rFonts w:hint="eastAsia" w:ascii="方正仿宋_GBK" w:hAnsi="方正仿宋_GBK" w:eastAsia="方正仿宋_GBK" w:cs="方正仿宋_GBK"/>
          <w:sz w:val="32"/>
          <w:szCs w:val="32"/>
          <w:shd w:val="clear" w:color="auto" w:fill="FFFFFF"/>
          <w:lang w:bidi="ar"/>
        </w:rPr>
        <w:t>万元</w:t>
      </w:r>
      <w:r>
        <w:rPr>
          <w:rFonts w:hint="eastAsia" w:ascii="方正仿宋_GBK" w:hAnsi="方正仿宋_GBK" w:eastAsia="方正仿宋_GBK" w:cs="方正仿宋_GBK"/>
          <w:sz w:val="32"/>
          <w:szCs w:val="32"/>
          <w:shd w:val="clear" w:color="auto" w:fill="FFFFFF"/>
          <w:lang w:eastAsia="zh-CN" w:bidi="ar"/>
        </w:rPr>
        <w:t>。部门整体绩效自评表和项目绩效自评表如下：</w:t>
      </w:r>
    </w:p>
    <w:p>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bidi="ar"/>
        </w:rPr>
      </w:pPr>
      <w:r>
        <w:rPr>
          <w:rFonts w:hint="eastAsia" w:ascii="方正仿宋_GBK" w:hAnsi="方正仿宋_GBK" w:eastAsia="方正仿宋_GBK" w:cs="方正仿宋_GBK"/>
          <w:sz w:val="32"/>
          <w:szCs w:val="32"/>
          <w:shd w:val="clear" w:color="auto" w:fill="FFFFFF"/>
          <w:lang w:val="en-US" w:eastAsia="zh-CN" w:bidi="ar"/>
        </w:rPr>
        <w:t>1.</w:t>
      </w:r>
      <w:r>
        <w:rPr>
          <w:rFonts w:hint="eastAsia" w:ascii="方正仿宋_GBK" w:hAnsi="方正仿宋_GBK" w:eastAsia="方正仿宋_GBK" w:cs="方正仿宋_GBK"/>
          <w:sz w:val="32"/>
          <w:szCs w:val="32"/>
          <w:shd w:val="clear" w:color="auto" w:fill="FFFFFF"/>
          <w:lang w:eastAsia="zh-CN" w:bidi="ar"/>
        </w:rPr>
        <w:t>部门整体绩效自评表</w:t>
      </w:r>
    </w:p>
    <w:tbl>
      <w:tblPr>
        <w:tblStyle w:val="7"/>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6"/>
        <w:gridCol w:w="482"/>
        <w:gridCol w:w="482"/>
        <w:gridCol w:w="1099"/>
        <w:gridCol w:w="919"/>
        <w:gridCol w:w="1324"/>
        <w:gridCol w:w="591"/>
        <w:gridCol w:w="1140"/>
        <w:gridCol w:w="588"/>
        <w:gridCol w:w="624"/>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重庆市荣昌区医疗保障局整体自评</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50015300024P000034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张晓媛</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46251612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20,285,150.86 </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12,179,290.12 </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12,179,290.12 </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20,285,150.86 </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12,179,290.12 </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12,179,290.12 </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20,285,150.86 </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12,179,290.12 </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12,179,290.12 </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97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贯彻执行国家及重庆市医疗保险、生育保险、医疗救助等医疗保障制度的法律法规、规章、政策、规划和标准；贯彻执行医疗保障基金监督管理办法，建立健全医疗保障基金安全防控机制；贯彻执行医疗保障筹资和待遇政策，贯彻落实城乡医疗保障待遇标准；监督实施药品、医用耗材的招标采购政策，指导药品、医用耗材招标采购平台的使用； 贯彻执行定点医药机构协议和支付管理办法并组织实施，监督管理纳入医保范围内的医疗服务行为和医疗费用，依法查处医疗保障领域违法违规行为。今年预计基本医疗保险参保人数大于等于68万人，门诊和住院医疗救助人次大于等于120000人次，协议机构检查率及检查问题处理率大于等于95%，检查结果公开率大于等于95%，服务对象满意度大于等于90%。</w:t>
            </w:r>
          </w:p>
        </w:tc>
        <w:tc>
          <w:tcPr>
            <w:tcW w:w="397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2024年我局认真贯彻执行了各项职责职能赋予的任务要求。区内门诊和住院医疗救助人次为145188人次，协议机构检查率100%、基本医疗保险参保人数为69.33万人，检查问题处理率以及检查结果公开率均达到100%，服务对象满意度为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基本医疗保险参保人数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万人</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区内门诊和住院医疗救助人次数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145188</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20.99</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协议机构检查率</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检查问题处理率</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检查结果公开率</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2"/>
        <w:autoSpaceDE w:val="0"/>
        <w:spacing w:before="0" w:beforeAutospacing="0" w:line="600" w:lineRule="exact"/>
        <w:ind w:firstLine="640" w:firstLineChars="200"/>
        <w:rPr>
          <w:rFonts w:hint="eastAsia"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32"/>
          <w:szCs w:val="32"/>
          <w:shd w:val="clear" w:color="auto" w:fill="FFFFFF"/>
          <w:lang w:val="en-US" w:eastAsia="zh-CN" w:bidi="ar"/>
        </w:rPr>
        <w:t>2.</w:t>
      </w:r>
      <w:r>
        <w:rPr>
          <w:rFonts w:hint="eastAsia" w:ascii="方正仿宋_GBK" w:hAnsi="方正仿宋_GBK" w:eastAsia="方正仿宋_GBK" w:cs="方正仿宋_GBK"/>
          <w:sz w:val="32"/>
          <w:szCs w:val="32"/>
          <w:shd w:val="clear" w:color="auto" w:fill="FFFFFF"/>
          <w:lang w:eastAsia="zh-CN" w:bidi="ar"/>
        </w:rPr>
        <w:t>部门项目支出绩效自评表</w:t>
      </w:r>
    </w:p>
    <w:tbl>
      <w:tblPr>
        <w:tblStyle w:val="7"/>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7"/>
        <w:gridCol w:w="478"/>
        <w:gridCol w:w="568"/>
        <w:gridCol w:w="918"/>
        <w:gridCol w:w="963"/>
        <w:gridCol w:w="1578"/>
        <w:gridCol w:w="587"/>
        <w:gridCol w:w="1138"/>
        <w:gridCol w:w="492"/>
        <w:gridCol w:w="612"/>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医疗服务与保障能力提升</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50015323T000003536330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张晓媛</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46251612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4,703,054.00 </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1,109,516.00 </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1,109,516.00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4,703,054.00 </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1,109,516.00 </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1,109,516.00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4,703,054.00 </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1,109,516.00 </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1,109,516.00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5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10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251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提升综合监管、医保法制建设、基金预警和风险防控、医保支付方式改革、医药价格监控和招采落地监控、宣传引导、经办服务、医保标准化水平、人才队伍建设、“两病”工作落地</w:t>
            </w:r>
          </w:p>
        </w:tc>
        <w:tc>
          <w:tcPr>
            <w:tcW w:w="426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10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完成年初设定的绩效目标，召开医保工作会议4次，组织经办人员参加市局业务培训，自行组织区内DRG付费工作和职工普通门诊统筹培训会，基本医疗参保人数69.33万人，定点医疗机构监督检查覆盖率100%，跨省异地就医直接结算率99.35%，参保人员对医保服务的满意度达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基本医疗参保人数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万人</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69.33</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定点医疗机构监督检查覆盖率</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跨省异地就医直接结算率</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99.35</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跨省异地就医直接结算机构扩面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医保标准化水平</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显著提高</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医保经办服务能力</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有所提高</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参保人员对医保服务的满意度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2"/>
        <w:spacing w:before="0" w:beforeAutospacing="0"/>
        <w:rPr>
          <w:rFonts w:hint="eastAsia" w:ascii="方正仿宋_GBK" w:hAnsi="方正仿宋_GBK" w:eastAsia="方正仿宋_GBK" w:cs="方正仿宋_GBK"/>
          <w:sz w:val="32"/>
          <w:szCs w:val="32"/>
          <w:shd w:val="clear" w:color="auto" w:fill="FFFFFF"/>
        </w:rPr>
      </w:pPr>
    </w:p>
    <w:tbl>
      <w:tblPr>
        <w:tblStyle w:val="7"/>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1"/>
        <w:gridCol w:w="482"/>
        <w:gridCol w:w="482"/>
        <w:gridCol w:w="954"/>
        <w:gridCol w:w="1281"/>
        <w:gridCol w:w="1281"/>
        <w:gridCol w:w="591"/>
        <w:gridCol w:w="894"/>
        <w:gridCol w:w="482"/>
        <w:gridCol w:w="689"/>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医疗保障基金监管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50015322T000000084952</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唐宇然</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46257677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213,000.00 </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3,443.97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3,443.97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213,000.00 </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3,443.97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3,443.97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213,000.00 </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3,443.97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3,443.97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39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04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239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宣传贯彻《医疗保障基金使用监督管理条例》，打击欺诈骗保行为，确保基金安全平稳运行</w:t>
            </w:r>
          </w:p>
        </w:tc>
        <w:tc>
          <w:tcPr>
            <w:tcW w:w="404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全年认真宣传贯彻《医疗保障基金使用监督管理条例》，严厉打击欺诈骗保行为，确保了基金安全平稳运行。查处违约金及罚金金585.84万元，协议机构检查率95%，检查结果公开率95%，检查人员无被投诉情况发生。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查处违约金及罚金金额</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585.84</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290.56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2024年重庆市开展了打击欺诈骗保专项整治工作，加大了对协议机构的监督检查力度。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协议机构检查率</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检查结果公开率</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检查人员被投诉次数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进一步加强对检查人员管理，提高业务技能和职业素质。</w:t>
            </w:r>
          </w:p>
        </w:tc>
      </w:tr>
    </w:tbl>
    <w:p>
      <w:pPr>
        <w:pStyle w:val="12"/>
        <w:spacing w:before="0" w:beforeAutospacing="0"/>
        <w:rPr>
          <w:rFonts w:hint="eastAsia" w:ascii="方正仿宋_GBK" w:hAnsi="方正仿宋_GBK" w:eastAsia="方正仿宋_GBK" w:cs="方正仿宋_GBK"/>
          <w:sz w:val="32"/>
          <w:szCs w:val="32"/>
          <w:shd w:val="clear" w:color="auto" w:fill="FFFFFF"/>
        </w:rPr>
      </w:pPr>
    </w:p>
    <w:tbl>
      <w:tblPr>
        <w:tblStyle w:val="7"/>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3"/>
        <w:gridCol w:w="614"/>
        <w:gridCol w:w="614"/>
        <w:gridCol w:w="973"/>
        <w:gridCol w:w="1144"/>
        <w:gridCol w:w="1423"/>
        <w:gridCol w:w="592"/>
        <w:gridCol w:w="792"/>
        <w:gridCol w:w="492"/>
        <w:gridCol w:w="684"/>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2022年中央财政医疗服务与保障能力提升（医疗保障能力提升部分）</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50015322T000002082951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张晓媛</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46251612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737,652.30 </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73,734.00 </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73,734.00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737,652.30 </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73,734.00 </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73,734.00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737,652.30 </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73,734.00 </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73,734.00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75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95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275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提升医保基金综合监管、提高基本医疗保险参保人数、医保政策宣传引导、经办服务能力提升、</w:t>
            </w:r>
          </w:p>
        </w:tc>
        <w:tc>
          <w:tcPr>
            <w:tcW w:w="395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提升医保基金综合监管、提高基本医疗保险参保人数、医保政策宣传引导、经办服务能力提升、</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完成了年初设定的绩效目标，基本医疗保险参保人数59.33万人，定点医疗机构监督检查覆盖率100%，跨省异地就医直接结算率99.35%，参保人员对医保服务的满意度达95%。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基本医疗保险参保人数</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万人</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69.33</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定点医疗机构监督检查覆盖率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跨省异地就医直接结算率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99.35</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41.93</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跨省异地就医直接结算扩面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参保人员对医保服务的满意度</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1"/>
        <w:autoSpaceDE w:val="0"/>
        <w:ind w:firstLine="640"/>
        <w:rPr>
          <w:rFonts w:hint="eastAsia" w:ascii="楷体" w:hAnsi="楷体" w:eastAsia="楷体" w:cs="楷体"/>
          <w:b/>
          <w:bCs/>
          <w:sz w:val="32"/>
          <w:szCs w:val="32"/>
          <w:shd w:val="clear" w:color="auto" w:fill="FFFFFF"/>
          <w:lang w:bidi="ar"/>
        </w:rPr>
      </w:pPr>
    </w:p>
    <w:tbl>
      <w:tblPr>
        <w:tblStyle w:val="7"/>
        <w:tblW w:w="8880"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15"/>
        <w:gridCol w:w="546"/>
        <w:gridCol w:w="546"/>
        <w:gridCol w:w="1016"/>
        <w:gridCol w:w="675"/>
        <w:gridCol w:w="1272"/>
        <w:gridCol w:w="693"/>
        <w:gridCol w:w="670"/>
        <w:gridCol w:w="494"/>
        <w:gridCol w:w="684"/>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荣昌区离休干部医疗费</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50015322T000000091332</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瞿万里</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46773305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334,819.01 </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334,819.01 </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334,819.01 </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334,819.01 </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334,819.01 </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334,819.01 </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12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3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312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保障全区离休干部医疗费按规定报销</w:t>
            </w:r>
          </w:p>
        </w:tc>
        <w:tc>
          <w:tcPr>
            <w:tcW w:w="331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一、离休干部医疗报销人次指标值130人次，全年完成值219人次。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二、离休干部医疗费报销结算率和及时报销率指标值98%以上，全年完成值100%。我中心及时结算和报销离休干部医疗费用，实行至少每半月结算和拨付一次。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三、受益离休干部覆盖率和满意度指标值95%，全年完成值100%。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离休干部医疗报销人次</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68.46</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人员就诊人次具有不可控性。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离休干部医疗费报销结算率</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离休干部医疗费及时报销率</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受益离休干部覆盖率</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受益离休干部满意度</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2"/>
        <w:spacing w:before="0" w:beforeAutospacing="0"/>
        <w:rPr>
          <w:rStyle w:val="13"/>
          <w:rFonts w:hint="eastAsia" w:ascii="方正仿宋_GBK" w:hAnsi="方正仿宋_GBK" w:eastAsia="方正仿宋_GBK" w:cs="方正仿宋_GBK"/>
          <w:color w:val="FF0000"/>
          <w:sz w:val="32"/>
          <w:szCs w:val="32"/>
          <w:shd w:val="clear" w:color="auto" w:fill="FFFFFF"/>
        </w:rPr>
      </w:pPr>
    </w:p>
    <w:tbl>
      <w:tblPr>
        <w:tblStyle w:val="7"/>
        <w:tblW w:w="885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30"/>
        <w:gridCol w:w="556"/>
        <w:gridCol w:w="556"/>
        <w:gridCol w:w="845"/>
        <w:gridCol w:w="746"/>
        <w:gridCol w:w="978"/>
        <w:gridCol w:w="730"/>
        <w:gridCol w:w="734"/>
        <w:gridCol w:w="492"/>
        <w:gridCol w:w="600"/>
        <w:gridCol w:w="1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医疗保险档案管理费</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50015322T000000091340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任廷方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46772981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260,000.00 </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156,718.36 </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156,718.36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260,000.00 </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156,718.36 </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156,718.36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260,000.00 </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156,718.36 </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156,718.36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规范管理各类医疗保险档案</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档案制度建设，严格按照《社会保险业务资料与保管期限表》规定，做好各类档案的收集归档工作。指导业务科室正确归类，确保所有档案编目准确、整齐规范、调阅方便。档案完好率为100%，免费向社会公众提供查阅1788人次，群众满意度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档案资料完好率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全年免费向社会公众提供查阅服务接待人次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1788</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2"/>
        <w:spacing w:before="0" w:beforeAutospacing="0"/>
        <w:rPr>
          <w:rStyle w:val="13"/>
          <w:rFonts w:hint="eastAsia" w:ascii="方正仿宋_GBK" w:hAnsi="方正仿宋_GBK" w:eastAsia="方正仿宋_GBK" w:cs="方正仿宋_GBK"/>
          <w:color w:val="FF0000"/>
          <w:sz w:val="32"/>
          <w:szCs w:val="32"/>
          <w:shd w:val="clear" w:color="auto" w:fill="FFFFFF"/>
        </w:rPr>
      </w:pPr>
    </w:p>
    <w:tbl>
      <w:tblPr>
        <w:tblStyle w:val="7"/>
        <w:tblW w:w="8820"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93"/>
        <w:gridCol w:w="648"/>
        <w:gridCol w:w="648"/>
        <w:gridCol w:w="878"/>
        <w:gridCol w:w="740"/>
        <w:gridCol w:w="1270"/>
        <w:gridCol w:w="607"/>
        <w:gridCol w:w="819"/>
        <w:gridCol w:w="504"/>
        <w:gridCol w:w="600"/>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医保信息系统建设和运维</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50015322T000000091333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刘诚</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46251972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105,750.00 </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105,750.00 </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105,750.00 </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105,750.00 </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105,750.00 </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105,750.00 </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1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4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316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保障医疗、生育保险、公务员、医疗救助、离休、残军医疗保障等相关软件、硬件、网络正常使用。</w:t>
            </w:r>
          </w:p>
        </w:tc>
        <w:tc>
          <w:tcPr>
            <w:tcW w:w="343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2023年全面完成了年初绩效目标，确保了医保相关软件、硬件、网络正常使用。系统修复处理时间小于24小时，定点医药机构用户数量为965个，设备利用率达到99%，使用人员满意度达96%。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用户数量</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965</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系统故障修复处理时间</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设备利用率</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使用人员满意度</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2"/>
        <w:spacing w:before="0" w:beforeAutospacing="0"/>
        <w:rPr>
          <w:rStyle w:val="13"/>
          <w:rFonts w:hint="eastAsia" w:ascii="方正仿宋_GBK" w:hAnsi="方正仿宋_GBK" w:eastAsia="方正仿宋_GBK" w:cs="方正仿宋_GBK"/>
          <w:color w:val="FF0000"/>
          <w:sz w:val="32"/>
          <w:szCs w:val="32"/>
          <w:shd w:val="clear" w:color="auto" w:fill="FFFFFF"/>
        </w:rPr>
      </w:pPr>
    </w:p>
    <w:tbl>
      <w:tblPr>
        <w:tblStyle w:val="7"/>
        <w:tblW w:w="885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65"/>
        <w:gridCol w:w="532"/>
        <w:gridCol w:w="532"/>
        <w:gridCol w:w="1002"/>
        <w:gridCol w:w="591"/>
        <w:gridCol w:w="1329"/>
        <w:gridCol w:w="608"/>
        <w:gridCol w:w="893"/>
        <w:gridCol w:w="499"/>
        <w:gridCol w:w="657"/>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荣昌区残疾军人医疗费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50015322T000000091335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瞿万里</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46773305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3,500,000.00 </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1,413,122.95 </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1,413,122.95 </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3,500,000.00 </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1,413,122.95 </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1,413,122.95 </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3,500,000.00 </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1,413,122.95 </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1,413,122.95 </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42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保障全区残疾军人医疗费按规定报销</w:t>
            </w:r>
          </w:p>
        </w:tc>
        <w:tc>
          <w:tcPr>
            <w:tcW w:w="34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一、残疾军人医疗报销指标值260人次，全年完成值340人次。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二、残疾军人医疗费报销结算率和及时报销率指标值98%以上，全年完成值100%。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三、受益残疾军人覆盖率和满意度指标值95%以上，全年完成值100%。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残疾军人医疗报销人次</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30.77</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人员就诊人次具有不可控性。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残疾军人医疗费报销结算率</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残疾军人医疗费及时报销率</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受益残疾军人覆盖率</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受益残疾军人满意度</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1"/>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sz w:val="32"/>
          <w:szCs w:val="32"/>
          <w:highlight w:val="none"/>
          <w:shd w:val="clear" w:color="auto" w:fill="FFFFFF"/>
          <w:lang w:eastAsia="zh-CN" w:bidi="ar"/>
        </w:rPr>
      </w:pPr>
      <w:r>
        <w:rPr>
          <w:rFonts w:hint="eastAsia" w:ascii="方正仿宋_GBK" w:hAnsi="方正仿宋_GBK" w:eastAsia="方正仿宋_GBK" w:cs="方正仿宋_GBK"/>
          <w:b w:val="0"/>
          <w:bCs w:val="0"/>
          <w:sz w:val="32"/>
          <w:szCs w:val="32"/>
          <w:highlight w:val="none"/>
          <w:shd w:val="clear" w:color="auto" w:fill="FFFFFF"/>
          <w:lang w:eastAsia="zh-CN" w:bidi="ar"/>
        </w:rPr>
        <w:t>我部门未组织开展绩效评价。</w:t>
      </w:r>
    </w:p>
    <w:p>
      <w:pPr>
        <w:pStyle w:val="11"/>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Style w:val="10"/>
          <w:rFonts w:hint="eastAsia" w:ascii="黑体" w:hAnsi="黑体" w:eastAsia="黑体" w:cs="黑体"/>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
        </w:rPr>
        <w:t>区</w:t>
      </w:r>
      <w:r>
        <w:rPr>
          <w:rFonts w:hint="eastAsia" w:ascii="方正仿宋_GBK" w:hAnsi="方正仿宋_GBK" w:eastAsia="方正仿宋_GBK" w:cs="方正仿宋_GBK"/>
          <w:sz w:val="32"/>
          <w:szCs w:val="32"/>
          <w:shd w:val="clear" w:color="auto" w:fill="FFFFFF"/>
          <w:lang w:bidi="ar"/>
        </w:rPr>
        <w:t>财政局</w:t>
      </w:r>
      <w:r>
        <w:rPr>
          <w:rFonts w:hint="eastAsia" w:ascii="方正仿宋_GBK" w:hAnsi="方正仿宋_GBK" w:eastAsia="方正仿宋_GBK" w:cs="方正仿宋_GBK"/>
          <w:sz w:val="32"/>
          <w:szCs w:val="32"/>
          <w:shd w:val="clear" w:color="auto" w:fill="FFFFFF"/>
          <w:lang w:eastAsia="zh-CN" w:bidi="ar"/>
        </w:rPr>
        <w:t>未</w:t>
      </w:r>
      <w:r>
        <w:rPr>
          <w:rFonts w:hint="eastAsia" w:ascii="方正仿宋_GBK" w:hAnsi="方正仿宋_GBK" w:eastAsia="方正仿宋_GBK" w:cs="方正仿宋_GBK"/>
          <w:sz w:val="32"/>
          <w:szCs w:val="32"/>
          <w:shd w:val="clear" w:color="auto" w:fill="FFFFFF"/>
          <w:lang w:bidi="ar"/>
        </w:rPr>
        <w:t>委托第三方对我部门</w:t>
      </w:r>
      <w:r>
        <w:rPr>
          <w:rFonts w:hint="eastAsia" w:ascii="方正仿宋_GBK" w:hAnsi="方正仿宋_GBK" w:eastAsia="方正仿宋_GBK" w:cs="方正仿宋_GBK"/>
          <w:sz w:val="32"/>
          <w:szCs w:val="32"/>
          <w:shd w:val="clear" w:color="auto" w:fill="FFFFFF"/>
          <w:lang w:eastAsia="zh-CN" w:bidi="ar"/>
        </w:rPr>
        <w:t>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11"/>
        <w:autoSpaceDE w:val="0"/>
        <w:spacing w:line="596" w:lineRule="exact"/>
        <w:ind w:firstLine="64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本部门决算公开信息反馈和联系方式：</w:t>
      </w:r>
      <w:r>
        <w:rPr>
          <w:rFonts w:hint="eastAsia" w:ascii="方正仿宋_GBK" w:hAnsi="方正仿宋_GBK" w:eastAsia="方正仿宋_GBK" w:cs="方正仿宋_GBK"/>
          <w:sz w:val="32"/>
          <w:szCs w:val="32"/>
          <w:shd w:val="clear" w:color="auto" w:fill="FFFFFF"/>
          <w:lang w:eastAsia="zh-CN"/>
        </w:rPr>
        <w:t>黄</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芸</w:t>
      </w:r>
    </w:p>
    <w:p>
      <w:pPr>
        <w:pStyle w:val="11"/>
        <w:autoSpaceDE w:val="0"/>
        <w:spacing w:line="596" w:lineRule="exact"/>
        <w:ind w:firstLine="640"/>
        <w:jc w:val="both"/>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023－46251612</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重庆市荣昌区医疗保障局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1,217.93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重庆市荣昌区医疗保障局</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1,217.93</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1,217.93</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1,046.81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1,046.81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840.86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840.86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662.46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662.46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重庆市荣昌区医疗保障局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1,217.93</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898.22</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319.71</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1,046.81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727.10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319.71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840.86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662.46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178.40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662.46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重庆市荣昌区医疗保障局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重庆市荣昌区医疗保障局</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1,217.93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898.22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319.71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727.10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141.31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662.46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662.46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重庆市荣昌区医疗保障局</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737.49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152.71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114.02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232.69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745.50</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152.71</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重庆市荣昌区医疗保障局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重庆市荣昌区医疗保障局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重庆市荣昌区医疗保障局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152.71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122.31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A68AE"/>
    <w:rsid w:val="00FB7EF0"/>
    <w:rsid w:val="0125439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560910"/>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2F942C6"/>
    <w:rsid w:val="13871C70"/>
    <w:rsid w:val="139D5716"/>
    <w:rsid w:val="13A71CB4"/>
    <w:rsid w:val="13AF1D43"/>
    <w:rsid w:val="13CE1647"/>
    <w:rsid w:val="13DA0C25"/>
    <w:rsid w:val="13FD55AB"/>
    <w:rsid w:val="14200702"/>
    <w:rsid w:val="143365C3"/>
    <w:rsid w:val="14907817"/>
    <w:rsid w:val="163A6CEE"/>
    <w:rsid w:val="16556AB6"/>
    <w:rsid w:val="173708E3"/>
    <w:rsid w:val="174C19C7"/>
    <w:rsid w:val="17686BEC"/>
    <w:rsid w:val="17C374FC"/>
    <w:rsid w:val="189079DC"/>
    <w:rsid w:val="189B0D0B"/>
    <w:rsid w:val="18AF4F5C"/>
    <w:rsid w:val="18B43F7C"/>
    <w:rsid w:val="194A1770"/>
    <w:rsid w:val="19B906A4"/>
    <w:rsid w:val="1AC951F0"/>
    <w:rsid w:val="1B6F15B6"/>
    <w:rsid w:val="1BAA2EDC"/>
    <w:rsid w:val="1C5C0973"/>
    <w:rsid w:val="1CA55E64"/>
    <w:rsid w:val="1D014A01"/>
    <w:rsid w:val="1D022362"/>
    <w:rsid w:val="1D1B04B0"/>
    <w:rsid w:val="1D6534C4"/>
    <w:rsid w:val="1DA94A90"/>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1944CC"/>
    <w:rsid w:val="24B92327"/>
    <w:rsid w:val="24C14514"/>
    <w:rsid w:val="2533755C"/>
    <w:rsid w:val="25791755"/>
    <w:rsid w:val="26396DF4"/>
    <w:rsid w:val="27167136"/>
    <w:rsid w:val="271F69A2"/>
    <w:rsid w:val="27B23302"/>
    <w:rsid w:val="28AF6F9C"/>
    <w:rsid w:val="29310A5F"/>
    <w:rsid w:val="29C37A35"/>
    <w:rsid w:val="2A076083"/>
    <w:rsid w:val="2A0E0DF5"/>
    <w:rsid w:val="2A73162E"/>
    <w:rsid w:val="2AFA5866"/>
    <w:rsid w:val="2B167953"/>
    <w:rsid w:val="2B200583"/>
    <w:rsid w:val="2B220436"/>
    <w:rsid w:val="2B8209DE"/>
    <w:rsid w:val="2C6762A3"/>
    <w:rsid w:val="2EBF7B3E"/>
    <w:rsid w:val="2EDE1934"/>
    <w:rsid w:val="2FCA4B37"/>
    <w:rsid w:val="2FE029D7"/>
    <w:rsid w:val="2FE04225"/>
    <w:rsid w:val="2FE71845"/>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3F86B3A"/>
    <w:rsid w:val="342D7BC6"/>
    <w:rsid w:val="34475F39"/>
    <w:rsid w:val="34A8682F"/>
    <w:rsid w:val="34D92688"/>
    <w:rsid w:val="3518762A"/>
    <w:rsid w:val="352930DB"/>
    <w:rsid w:val="35573069"/>
    <w:rsid w:val="355F6038"/>
    <w:rsid w:val="358C217E"/>
    <w:rsid w:val="35937598"/>
    <w:rsid w:val="35A64384"/>
    <w:rsid w:val="368C4583"/>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953605"/>
    <w:rsid w:val="3C566AD6"/>
    <w:rsid w:val="3C6A5B02"/>
    <w:rsid w:val="3CD45FD0"/>
    <w:rsid w:val="3D2757A1"/>
    <w:rsid w:val="3D3D4FC4"/>
    <w:rsid w:val="3DDF3AB1"/>
    <w:rsid w:val="3E1D0952"/>
    <w:rsid w:val="3E42660A"/>
    <w:rsid w:val="3E7555B1"/>
    <w:rsid w:val="3E787ED9"/>
    <w:rsid w:val="3EEC37F3"/>
    <w:rsid w:val="3F032E93"/>
    <w:rsid w:val="3F0527E5"/>
    <w:rsid w:val="3F356E8E"/>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8F3759"/>
    <w:rsid w:val="42D9093D"/>
    <w:rsid w:val="42E86A87"/>
    <w:rsid w:val="43307B09"/>
    <w:rsid w:val="43470647"/>
    <w:rsid w:val="43586B55"/>
    <w:rsid w:val="438D0E97"/>
    <w:rsid w:val="43BB152F"/>
    <w:rsid w:val="44494994"/>
    <w:rsid w:val="44B96DCF"/>
    <w:rsid w:val="44C37687"/>
    <w:rsid w:val="45247A48"/>
    <w:rsid w:val="45CB699A"/>
    <w:rsid w:val="465B470D"/>
    <w:rsid w:val="469D6AD4"/>
    <w:rsid w:val="46A12D13"/>
    <w:rsid w:val="471E6C84"/>
    <w:rsid w:val="4748792B"/>
    <w:rsid w:val="475D719D"/>
    <w:rsid w:val="47674801"/>
    <w:rsid w:val="478229E3"/>
    <w:rsid w:val="48225EF7"/>
    <w:rsid w:val="488F422B"/>
    <w:rsid w:val="48E36915"/>
    <w:rsid w:val="495C4A24"/>
    <w:rsid w:val="497135DF"/>
    <w:rsid w:val="4A1605D9"/>
    <w:rsid w:val="4A263DF2"/>
    <w:rsid w:val="4A6F6675"/>
    <w:rsid w:val="4ABF0746"/>
    <w:rsid w:val="4B0502DF"/>
    <w:rsid w:val="4B135857"/>
    <w:rsid w:val="4B7951CB"/>
    <w:rsid w:val="4B7C315C"/>
    <w:rsid w:val="4CCF773C"/>
    <w:rsid w:val="4D212D6C"/>
    <w:rsid w:val="4DAC4ACA"/>
    <w:rsid w:val="4DBE01D2"/>
    <w:rsid w:val="4E7E2016"/>
    <w:rsid w:val="4EC46D53"/>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5F788F"/>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274DB7"/>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4D7C0C"/>
    <w:rsid w:val="6883293E"/>
    <w:rsid w:val="688412AD"/>
    <w:rsid w:val="68EB1B71"/>
    <w:rsid w:val="69475C96"/>
    <w:rsid w:val="6AAD2300"/>
    <w:rsid w:val="6B474EF5"/>
    <w:rsid w:val="6BBF53FD"/>
    <w:rsid w:val="6C560CAE"/>
    <w:rsid w:val="6C576495"/>
    <w:rsid w:val="6D903FF5"/>
    <w:rsid w:val="6DA955B8"/>
    <w:rsid w:val="6DE346AB"/>
    <w:rsid w:val="6DE5391A"/>
    <w:rsid w:val="6E1014DC"/>
    <w:rsid w:val="6EEA5552"/>
    <w:rsid w:val="6EFD1324"/>
    <w:rsid w:val="6F5A53AC"/>
    <w:rsid w:val="6FAC003D"/>
    <w:rsid w:val="6FE55E12"/>
    <w:rsid w:val="6FF86018"/>
    <w:rsid w:val="6FFB2E76"/>
    <w:rsid w:val="708F6F7F"/>
    <w:rsid w:val="70D94BD3"/>
    <w:rsid w:val="71C34D91"/>
    <w:rsid w:val="72BB492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A9C361F"/>
    <w:rsid w:val="7ACF5693"/>
    <w:rsid w:val="7AEA5180"/>
    <w:rsid w:val="7B420052"/>
    <w:rsid w:val="7B656FC6"/>
    <w:rsid w:val="7B861484"/>
    <w:rsid w:val="7BD06A28"/>
    <w:rsid w:val="7C1C10AA"/>
    <w:rsid w:val="7C3A7C0B"/>
    <w:rsid w:val="7C5248E4"/>
    <w:rsid w:val="7C566698"/>
    <w:rsid w:val="7C5866A3"/>
    <w:rsid w:val="7CD865A7"/>
    <w:rsid w:val="7D0F0D9C"/>
    <w:rsid w:val="7D7406BB"/>
    <w:rsid w:val="7DE94331"/>
    <w:rsid w:val="7E43579A"/>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7">
    <w:name w:val="p0"/>
    <w:basedOn w:val="1"/>
    <w:qFormat/>
    <w:uiPriority w:val="0"/>
    <w:pPr>
      <w:spacing w:before="0" w:beforeAutospacing="0" w:after="0" w:afterAutospacing="0"/>
      <w:ind w:left="0" w:right="0"/>
      <w:jc w:val="left"/>
    </w:pPr>
    <w:rPr>
      <w:rFonts w:hint="default" w:ascii="Times New Roman" w:hAnsi="Times New Roman" w:eastAsia="宋体" w:cs="Times New Roman"/>
      <w:kern w:val="0"/>
      <w:sz w:val="32"/>
      <w:szCs w:val="3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0</TotalTime>
  <ScaleCrop>false</ScaleCrop>
  <LinksUpToDate>false</LinksUpToDate>
  <CharactersWithSpaces>26302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2025-09-29T05:40:03Z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