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52"/>
          <w:szCs w:val="52"/>
        </w:rPr>
      </w:pPr>
      <w:r>
        <w:rPr>
          <w:rFonts w:ascii="方正小标宋_GBK" w:hAnsi="方正小标宋_GBK" w:eastAsia="方正小标宋_GBK" w:cs="方正小标宋_GBK"/>
          <w:sz w:val="52"/>
          <w:szCs w:val="52"/>
        </w:rPr>
        <w:t>重庆市荣昌区医疗保障事务中心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52"/>
          <w:szCs w:val="52"/>
          <w:shd w:val="clear" w:color="auto" w:fill="FFFFFF"/>
          <w:lang w:eastAsia="zh-CN"/>
        </w:rPr>
      </w:pPr>
      <w:r>
        <w:rPr>
          <w:rFonts w:hint="default" w:ascii="Times New Roman" w:hAnsi="Times New Roman" w:eastAsia="方正小标宋_GBK" w:cs="Times New Roman"/>
          <w:sz w:val="52"/>
          <w:szCs w:val="52"/>
          <w:shd w:val="clear" w:color="auto" w:fill="FFFFFF"/>
        </w:rPr>
        <w:t>2024</w:t>
      </w:r>
      <w:r>
        <w:rPr>
          <w:rFonts w:ascii="方正小标宋_GBK" w:hAnsi="方正小标宋_GBK" w:eastAsia="方正小标宋_GBK" w:cs="方正小标宋_GBK"/>
          <w:sz w:val="52"/>
          <w:szCs w:val="52"/>
          <w:shd w:val="clear" w:color="auto" w:fill="FFFFFF"/>
        </w:rPr>
        <w:t>年度决算公开</w:t>
      </w:r>
      <w:r>
        <w:rPr>
          <w:rFonts w:hint="eastAsia" w:ascii="方正小标宋_GBK" w:hAnsi="方正小标宋_GBK" w:eastAsia="方正小标宋_GBK" w:cs="方正小标宋_GBK"/>
          <w:sz w:val="52"/>
          <w:szCs w:val="52"/>
          <w:shd w:val="clear" w:color="auto" w:fill="FFFFFF"/>
          <w:lang w:eastAsia="zh-CN"/>
        </w:rPr>
        <w:t>说明</w:t>
      </w: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17"/>
        <w:keepNext w:val="0"/>
        <w:keepLines w:val="0"/>
        <w:widowControl/>
        <w:suppressLineNumbers w:val="0"/>
        <w:autoSpaceDE/>
        <w:autoSpaceDN w:val="0"/>
        <w:spacing w:before="0" w:beforeAutospacing="0" w:after="0" w:afterAutospacing="0"/>
        <w:ind w:left="0" w:firstLine="640"/>
        <w:jc w:val="both"/>
        <w:rPr>
          <w:rFonts w:hint="default" w:ascii="方正楷体_GBK" w:hAnsi="方正楷体_GBK" w:eastAsia="方正楷体_GBK" w:cs="方正楷体_GBK"/>
          <w:b w:val="0"/>
          <w:bCs w:val="0"/>
          <w:kern w:val="0"/>
          <w:sz w:val="32"/>
          <w:szCs w:val="32"/>
          <w:shd w:val="clear" w:fill="FFFFFF"/>
        </w:rPr>
      </w:pPr>
      <w:r>
        <w:rPr>
          <w:rFonts w:hint="eastAsia" w:ascii="楷体" w:hAnsi="楷体" w:eastAsia="楷体" w:cs="楷体"/>
          <w:b/>
          <w:bCs/>
          <w:kern w:val="0"/>
          <w:sz w:val="32"/>
          <w:szCs w:val="32"/>
          <w:shd w:val="clear" w:fill="FFFFFF"/>
        </w:rPr>
        <w:t>（一）职能职责</w:t>
      </w:r>
    </w:p>
    <w:p>
      <w:pPr>
        <w:pStyle w:val="17"/>
        <w:keepNext w:val="0"/>
        <w:keepLines w:val="0"/>
        <w:widowControl/>
        <w:suppressLineNumbers w:val="0"/>
        <w:autoSpaceDE w:val="0"/>
        <w:autoSpaceDN/>
        <w:spacing w:before="0" w:beforeAutospacing="0" w:after="0" w:afterAutospacing="0"/>
        <w:ind w:left="0" w:firstLine="64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贯彻执行国家及重庆市医疗保险、生育保险、医疗救助等医疗保障制度的法律法规、规章、政策、规划和标准。2、负责全区医疗保障参保管理和参保扩面工作，编制全区医疗保障的参保计划并组织实施。3、负责全区医疗保障、医疗救助等待遇费用审核结算工作，负责离休干部和残疾军人等特殊人群医疗待遇费用审核结算工作。4、承担全区医疗保险协议服务机构业务管理的事务性工作。5、承担全区异地联网结算备案登记和支付结算等事务性工作。6、承担医疗保障基金年度预算、决算报表的编制工作。承担全区医疗保障基金的收支和会计核算等事务性工作。7、负责全区医疗保障网络系统的运行和维护工作。8、负责全区医疗保障业务咨询、宣传、培训和参保对象医疗保障权益告知、查询等服务工作。9、负责全区医疗保障档案标准化建设工作。</w:t>
      </w:r>
      <w:r>
        <w:rPr>
          <w:rFonts w:hint="eastAsia" w:ascii="方正仿宋_GBK" w:hAnsi="方正仿宋_GBK" w:eastAsia="方正仿宋_GBK" w:cs="方正仿宋_GBK"/>
          <w:kern w:val="0"/>
          <w:sz w:val="32"/>
          <w:szCs w:val="32"/>
          <w:shd w:val="clear" w:fill="FFFFFF"/>
          <w:lang w:val="en-US" w:eastAsia="zh-CN"/>
        </w:rPr>
        <w:t>10、承担全区医疗保险、生育保险稽核的事务性工作。</w:t>
      </w:r>
    </w:p>
    <w:p>
      <w:pPr>
        <w:pStyle w:val="17"/>
        <w:keepNext w:val="0"/>
        <w:keepLines w:val="0"/>
        <w:widowControl/>
        <w:suppressLineNumbers w:val="0"/>
        <w:autoSpaceDE/>
        <w:autoSpaceDN w:val="0"/>
        <w:spacing w:before="0" w:beforeAutospacing="0" w:after="0" w:afterAutospacing="0"/>
        <w:ind w:left="0" w:firstLine="640"/>
        <w:jc w:val="both"/>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（二）机构设置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rPr>
        <w:t>重庆市荣昌区医疗保障事务中心为区医保局管理的副处级财政全额拨款事业单位（公益一类）。重庆市荣昌区医疗保障事务中心事业编制31名，目前实有人数2</w:t>
      </w:r>
      <w:r>
        <w:rPr>
          <w:rFonts w:hint="eastAsia" w:ascii="方正仿宋_GBK" w:hAnsi="方正仿宋_GBK" w:eastAsia="方正仿宋_GBK" w:cs="方正仿宋_GBK"/>
          <w:kern w:val="0"/>
          <w:sz w:val="32"/>
          <w:szCs w:val="32"/>
          <w:shd w:val="clear" w:fill="FFFFFF"/>
          <w:lang w:val="en-US" w:eastAsia="zh-CN"/>
        </w:rPr>
        <w:t>9</w:t>
      </w:r>
      <w:r>
        <w:rPr>
          <w:rFonts w:hint="eastAsia" w:ascii="方正仿宋_GBK" w:hAnsi="方正仿宋_GBK" w:eastAsia="方正仿宋_GBK" w:cs="方正仿宋_GBK"/>
          <w:kern w:val="0"/>
          <w:sz w:val="32"/>
          <w:szCs w:val="32"/>
          <w:shd w:val="clear" w:fill="FFFFFF"/>
        </w:rPr>
        <w:t>人。其中：主任1名，副主任2名；内设机构七个科室，分别为综合科、参保科、待遇审核科、异地就医科、基金科、信息科、医药价格和招标采购科，领导职数7名。</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w:t>
      </w: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收、支与2023年度相比，减少14.45万元，下降1.5%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与2023年度相比，减少14.45万元，下降1.5%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与2023年度相比，减少14.45万元，下降1.5%</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722.76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201.04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21.8%</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零</w:t>
      </w:r>
      <w:r>
        <w:rPr>
          <w:rFonts w:ascii="方正仿宋_GBK" w:hAnsi="方正仿宋_GBK" w:eastAsia="方正仿宋_GBK" w:cs="方正仿宋_GBK"/>
          <w:sz w:val="32"/>
          <w:szCs w:val="32"/>
          <w:shd w:val="clear" w:color="auto" w:fill="FFFFFF"/>
        </w:rPr>
        <w:t>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零</w:t>
      </w:r>
      <w:r>
        <w:rPr>
          <w:rFonts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本年未无</w:t>
      </w:r>
      <w:r>
        <w:rPr>
          <w:rFonts w:hint="eastAsia" w:ascii="方正仿宋_GBK" w:hAnsi="方正仿宋_GBK" w:eastAsia="方正仿宋_GBK" w:cs="方正仿宋_GBK"/>
          <w:color w:val="auto"/>
          <w:sz w:val="32"/>
          <w:szCs w:val="32"/>
          <w:shd w:val="clear" w:color="auto" w:fill="FFFFFF"/>
          <w:lang w:eastAsia="zh-CN"/>
        </w:rPr>
        <w:t>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财政拨款收、支总计各减少14.45万元，下降1.5%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与2023年度相比，减少14.45万元，下降1.5%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shd w:val="clear" w:color="auto" w:fill="FFFFFF"/>
        </w:rPr>
        <w:t>较年初预算数减少361.84万元，下降28.1%。主要原因是</w:t>
      </w:r>
      <w:r>
        <w:rPr>
          <w:rFonts w:hint="eastAsia" w:ascii="方正仿宋_GBK" w:hAnsi="方正仿宋_GBK" w:eastAsia="方正仿宋_GBK" w:cs="方正仿宋_GBK"/>
          <w:kern w:val="0"/>
          <w:sz w:val="32"/>
          <w:szCs w:val="32"/>
          <w:shd w:val="clear" w:fill="FFFFFF"/>
          <w:lang w:val="en-US" w:eastAsia="zh-CN" w:bidi="ar"/>
        </w:rPr>
        <w:t>离休干部医疗费项目资金及残疾军人医疗费项目资金较预算减少。</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shd w:val="clear" w:color="auto" w:fill="FFFFFF"/>
          <w:lang w:eastAsia="zh-CN"/>
        </w:rPr>
        <w:t>零</w:t>
      </w:r>
      <w:r>
        <w:rPr>
          <w:rFonts w:hint="eastAsia" w:ascii="方正仿宋_GBK" w:hAnsi="方正仿宋_GBK" w:eastAsia="方正仿宋_GBK" w:cs="方正仿宋_GBK"/>
          <w:sz w:val="32"/>
          <w:szCs w:val="32"/>
          <w:shd w:val="clear" w:color="auto" w:fill="FFFFFF"/>
        </w:rPr>
        <w:t>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923.80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与2023年度相比，减少14.45万元，下降1.5%</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color w:val="auto"/>
          <w:sz w:val="32"/>
          <w:szCs w:val="32"/>
          <w:lang w:val="en-US" w:eastAsia="zh-CN"/>
        </w:rPr>
        <w:t>离休干部的医疗费用减少</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年初预算数减少361.84万元，下降28.1%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离休干部医疗费项目资金及残疾军人医疗费项目资金较预算减少。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numPr>
          <w:ilvl w:val="0"/>
          <w:numId w:val="2"/>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较年初预算数减少0.02万元，下降0.6%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干部教育培训减少。</w:t>
      </w:r>
    </w:p>
    <w:p>
      <w:pPr>
        <w:pStyle w:val="6"/>
        <w:numPr>
          <w:ilvl w:val="0"/>
          <w:numId w:val="2"/>
        </w:numPr>
        <w:snapToGrid w:val="0"/>
        <w:spacing w:before="0" w:beforeAutospacing="0" w:after="0" w:afterAutospacing="0" w:line="596" w:lineRule="exact"/>
        <w:ind w:left="0" w:leftChars="0"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85.18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较年初预算数减少0.80万元，下降0.9%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788.01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较年初预算数减少360.72万元，下降31.4%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
        </w:rPr>
        <w:t>离休干部医疗费项目资金及残疾军人医疗费项目资金较</w:t>
      </w:r>
      <w:r>
        <w:rPr>
          <w:rFonts w:hint="eastAsia" w:ascii="方正仿宋_GBK" w:hAnsi="方正仿宋_GBK" w:eastAsia="方正仿宋_GBK" w:cs="方正仿宋_GBK"/>
          <w:color w:val="auto"/>
          <w:kern w:val="0"/>
          <w:sz w:val="32"/>
          <w:szCs w:val="32"/>
          <w:shd w:val="clear" w:fill="FFFFFF"/>
          <w:lang w:val="en-US" w:eastAsia="zh-CN" w:bidi="ar"/>
        </w:rPr>
        <w:t>预算减少</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47.27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较年初预算数减少0.30万元，下降0.6%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与预算数基本持平。</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零</w:t>
      </w:r>
      <w:r>
        <w:rPr>
          <w:rFonts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722.76</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600.45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与2023年度相比，增加69.63万元，增长13.1%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职工工资、社会保险和公积金增加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lang w:val="en-US" w:eastAsia="zh-CN" w:bidi="ar"/>
        </w:rPr>
        <w:t>基本工资、津贴补贴、奖金、社会保障缴费、住房公积金缴费等。</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122.31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与2023年度相比，减少14.95万元，下降10.9%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rPr>
        <w:t>本单位本年度厉行节约</w:t>
      </w:r>
      <w:r>
        <w:rPr>
          <w:rFonts w:hint="eastAsia" w:ascii="方正仿宋_GBK" w:hAnsi="方正仿宋_GBK" w:eastAsia="方正仿宋_GBK" w:cs="方正仿宋_GBK"/>
          <w:color w:val="auto"/>
          <w:sz w:val="32"/>
          <w:szCs w:val="32"/>
          <w:lang w:eastAsia="zh-CN"/>
        </w:rPr>
        <w:t>精简办公</w:t>
      </w:r>
      <w:r>
        <w:rPr>
          <w:rFonts w:hint="eastAsia" w:ascii="方正仿宋_GBK" w:hAnsi="方正仿宋_GBK" w:eastAsia="方正仿宋_GBK" w:cs="方正仿宋_GBK"/>
          <w:color w:val="auto"/>
          <w:sz w:val="32"/>
          <w:szCs w:val="32"/>
        </w:rPr>
        <w:t>大力压缩机关运行保障经</w:t>
      </w:r>
      <w:r>
        <w:rPr>
          <w:rFonts w:hint="eastAsia" w:ascii="方正仿宋_GBK" w:hAnsi="方正仿宋_GBK" w:eastAsia="方正仿宋_GBK" w:cs="方正仿宋_GBK"/>
          <w:color w:val="auto"/>
          <w:sz w:val="32"/>
          <w:szCs w:val="32"/>
          <w:lang w:eastAsia="zh-CN"/>
        </w:rPr>
        <w:t>费。</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lang w:val="en-US" w:eastAsia="zh-CN" w:bidi="ar"/>
        </w:rPr>
        <w:t>办公费、水电费、邮电费、物业管理费</w:t>
      </w:r>
      <w:r>
        <w:rPr>
          <w:rFonts w:hint="eastAsia" w:ascii="方正仿宋_GBK" w:hAnsi="方正仿宋_GBK" w:eastAsia="方正仿宋_GBK" w:cs="方正仿宋_GBK"/>
          <w:color w:val="auto"/>
          <w:kern w:val="0"/>
          <w:sz w:val="32"/>
          <w:szCs w:val="32"/>
          <w:shd w:val="clear" w:color="auto" w:fill="FFFFFF"/>
          <w:lang w:val="en-US" w:eastAsia="zh-CN" w:bidi="ar"/>
        </w:rPr>
        <w:t>等</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left="0" w:leftChars="0" w:firstLine="643" w:firstLineChars="2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较年初预算数减少2.65万元，下降88.3%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严格执行《重庆市荣昌区人民政府办公室关于进一步深化财政管理改革实施政府过紧日子十条举措的通知》（荣昌府办发〔2020〕38号）文件精神，厉行节约。</w:t>
      </w:r>
      <w:r>
        <w:rPr>
          <w:rFonts w:hint="default" w:ascii="Times New Roman" w:hAnsi="Times New Roman" w:eastAsia="方正仿宋_GBK"/>
          <w:sz w:val="32"/>
          <w:szCs w:val="32"/>
          <w:shd w:val="clear" w:color="auto" w:fill="FFFFFF"/>
        </w:rPr>
        <w:t>较上年支出数增加0.21万元，增长150.0%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为了深入贯彻落实</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国务院办公厅关于加强医疗保障基金使用常态化监管的实施意见</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（国办发</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17号</w:t>
      </w:r>
      <w:r>
        <w:rPr>
          <w:rFonts w:hint="eastAsia" w:ascii="方正仿宋_GBK" w:hAnsi="方正仿宋_GBK" w:eastAsia="方正仿宋_GBK" w:cs="方正仿宋_GBK"/>
          <w:sz w:val="32"/>
          <w:szCs w:val="32"/>
          <w:shd w:val="clear" w:color="auto" w:fill="FFFFFF"/>
          <w:lang w:eastAsia="zh-CN"/>
        </w:rPr>
        <w:t>）文件精神，进行了</w:t>
      </w:r>
      <w:r>
        <w:rPr>
          <w:rFonts w:hint="eastAsia" w:ascii="方正仿宋_GBK" w:hAnsi="方正仿宋_GBK" w:eastAsia="方正仿宋_GBK" w:cs="方正仿宋_GBK"/>
          <w:color w:val="auto"/>
          <w:sz w:val="32"/>
          <w:szCs w:val="32"/>
          <w:shd w:val="clear" w:color="auto" w:fill="FFFFFF"/>
          <w:lang w:val="en-US" w:eastAsia="zh-CN"/>
        </w:rPr>
        <w:t>2024年大铜潼荣医保基金跨区域交叉检查导致公务接待增加。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年度本单位因公出国（境）费用0.00万元，主要是用于</w:t>
      </w:r>
      <w:r>
        <w:rPr>
          <w:rFonts w:hint="eastAsia" w:ascii="方正仿宋_GBK" w:hAnsi="方正仿宋_GBK" w:eastAsia="方正仿宋_GBK" w:cs="方正仿宋_GBK"/>
          <w:sz w:val="32"/>
          <w:szCs w:val="32"/>
          <w:shd w:val="clear" w:color="auto" w:fill="FFFFFF"/>
        </w:rPr>
        <w:t>公务人员公务出国（境）的国际旅费、国外城市间交通费、住宿费、伙食费、公杂费和其他费用。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r>
        <w:rPr>
          <w:rFonts w:hint="eastAsia" w:ascii="方正仿宋_GBK" w:hAnsi="方正仿宋_GBK" w:eastAsia="方正仿宋_GBK" w:cs="方正仿宋_GBK"/>
          <w:sz w:val="32"/>
          <w:szCs w:val="32"/>
          <w:shd w:val="clear" w:color="auto" w:fill="FFFFFF"/>
          <w:lang w:eastAsia="zh-CN"/>
        </w:rPr>
        <w:t>。</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购买公务用车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本单位202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kern w:val="0"/>
          <w:sz w:val="32"/>
          <w:szCs w:val="32"/>
          <w:shd w:val="clear" w:fill="FFFFFF"/>
        </w:rPr>
        <w:t>本单位202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年度未发生公务车购置费支出。</w:t>
      </w:r>
    </w:p>
    <w:p>
      <w:pPr>
        <w:pStyle w:val="17"/>
        <w:keepNext w:val="0"/>
        <w:keepLines w:val="0"/>
        <w:pageBreakBefore w:val="0"/>
        <w:widowControl/>
        <w:numPr>
          <w:ilvl w:val="0"/>
          <w:numId w:val="0"/>
        </w:numPr>
        <w:suppressLineNumbers w:val="0"/>
        <w:kinsoku/>
        <w:wordWrap/>
        <w:overflowPunct/>
        <w:topLinePunct w:val="0"/>
        <w:autoSpaceDE/>
        <w:autoSpaceDN w:val="0"/>
        <w:bidi w:val="0"/>
        <w:adjustRightInd/>
        <w:snapToGrid/>
        <w:spacing w:before="0" w:beforeAutospacing="0" w:after="0" w:afterAutospacing="0"/>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公务车日常维修、燃料、保险以及停车费相关费用。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本单位无公车。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本单位无公车。</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2024年大铜潼荣医保基金跨区域交叉检查工作</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较年初预算数减少2.65万元，下降88.3%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eastAsia="zh-CN"/>
        </w:rPr>
        <w:t>严控“三公经费”支出。</w:t>
      </w:r>
      <w:r>
        <w:rPr>
          <w:rFonts w:hint="default" w:ascii="Times New Roman" w:hAnsi="Times New Roman" w:eastAsia="方正仿宋_GBK"/>
          <w:sz w:val="32"/>
          <w:szCs w:val="32"/>
          <w:shd w:val="clear" w:color="auto" w:fill="FFFFFF"/>
        </w:rPr>
        <w:t>较上年支出数增加0.21万元，增长150.0%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为了深入贯彻落实</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国务院办公厅关于加强医疗保障基金使用常态化监管的实施意见</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（国办发</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17号</w:t>
      </w:r>
      <w:r>
        <w:rPr>
          <w:rFonts w:hint="eastAsia" w:ascii="方正仿宋_GBK" w:hAnsi="方正仿宋_GBK" w:eastAsia="方正仿宋_GBK" w:cs="方正仿宋_GBK"/>
          <w:sz w:val="32"/>
          <w:szCs w:val="32"/>
          <w:shd w:val="clear" w:color="auto" w:fill="FFFFFF"/>
          <w:lang w:eastAsia="zh-CN"/>
        </w:rPr>
        <w:t>）文件精神，进行了</w:t>
      </w:r>
      <w:r>
        <w:rPr>
          <w:rFonts w:hint="eastAsia" w:ascii="方正仿宋_GBK" w:hAnsi="方正仿宋_GBK" w:eastAsia="方正仿宋_GBK" w:cs="方正仿宋_GBK"/>
          <w:color w:val="auto"/>
          <w:sz w:val="32"/>
          <w:szCs w:val="32"/>
          <w:shd w:val="clear" w:color="auto" w:fill="FFFFFF"/>
          <w:lang w:val="en-US" w:eastAsia="zh-CN"/>
        </w:rPr>
        <w:t>2024年大铜潼荣医保基金跨区域交叉检查导致公务接待增加。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69.04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本年度未发生会议费费</w:t>
      </w:r>
      <w:r>
        <w:rPr>
          <w:rFonts w:hint="eastAsia" w:ascii="方正仿宋_GBK" w:hAnsi="方正仿宋_GBK" w:eastAsia="方正仿宋_GBK" w:cs="方正仿宋_GBK"/>
          <w:color w:val="auto"/>
          <w:sz w:val="32"/>
          <w:szCs w:val="32"/>
          <w:shd w:val="clear" w:color="auto" w:fill="FFFFFF"/>
          <w:lang w:val="en-US" w:eastAsia="zh-CN"/>
        </w:rPr>
        <w:t>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增加了职工远程教育费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5.33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与2023年度相比，减少12.75万元，下降70.5%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w:t>
      </w:r>
      <w:r>
        <w:rPr>
          <w:rFonts w:hint="eastAsia" w:ascii="方正仿宋_GBK" w:hAnsi="方正仿宋_GBK" w:eastAsia="方正仿宋_GBK" w:cs="方正仿宋_GBK"/>
          <w:color w:val="auto"/>
          <w:sz w:val="32"/>
          <w:szCs w:val="32"/>
          <w:shd w:val="clear" w:color="auto" w:fill="FFFFFF"/>
          <w:lang w:eastAsia="zh-CN"/>
        </w:rPr>
        <w:t>规范差旅费报销</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122.31</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color="auto" w:fill="FFFFFF"/>
          <w:lang w:val="en-US" w:eastAsia="zh-CN" w:bidi="ar"/>
        </w:rPr>
        <w:t>办公费、水电费、邮电费、物业管理费等。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较上年支出数减少14.95万元，下降10.9%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rPr>
        <w:t>本单位本年度厉行节约</w:t>
      </w:r>
      <w:r>
        <w:rPr>
          <w:rFonts w:hint="eastAsia" w:ascii="方正仿宋_GBK" w:hAnsi="方正仿宋_GBK" w:eastAsia="方正仿宋_GBK" w:cs="方正仿宋_GBK"/>
          <w:color w:val="auto"/>
          <w:sz w:val="32"/>
          <w:szCs w:val="32"/>
          <w:lang w:eastAsia="zh-CN"/>
        </w:rPr>
        <w:t>精简办公</w:t>
      </w:r>
      <w:r>
        <w:rPr>
          <w:rFonts w:hint="eastAsia" w:ascii="方正仿宋_GBK" w:hAnsi="方正仿宋_GBK" w:eastAsia="方正仿宋_GBK" w:cs="方正仿宋_GBK"/>
          <w:color w:val="auto"/>
          <w:sz w:val="32"/>
          <w:szCs w:val="32"/>
        </w:rPr>
        <w:t>大力压缩机关运行保障经</w:t>
      </w:r>
      <w:r>
        <w:rPr>
          <w:rFonts w:hint="eastAsia" w:ascii="方正仿宋_GBK" w:hAnsi="方正仿宋_GBK" w:eastAsia="方正仿宋_GBK" w:cs="方正仿宋_GBK"/>
          <w:color w:val="auto"/>
          <w:sz w:val="32"/>
          <w:szCs w:val="32"/>
          <w:lang w:eastAsia="zh-CN"/>
        </w:rPr>
        <w:t>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numPr>
          <w:ilvl w:val="0"/>
          <w:numId w:val="3"/>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pPr>
        <w:pStyle w:val="11"/>
        <w:keepNext w:val="0"/>
        <w:keepLines w:val="0"/>
        <w:pageBreakBefore w:val="0"/>
        <w:widowControl/>
        <w:numPr>
          <w:ilvl w:val="0"/>
          <w:numId w:val="0"/>
        </w:numPr>
        <w:kinsoku/>
        <w:wordWrap/>
        <w:overflowPunct/>
        <w:topLinePunct w:val="0"/>
        <w:autoSpaceDE w:val="0"/>
        <w:autoSpaceDN/>
        <w:bidi w:val="0"/>
        <w:adjustRightInd/>
        <w:snapToGrid/>
        <w:spacing w:line="596" w:lineRule="exact"/>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
        </w:rPr>
        <w:t>202</w:t>
      </w:r>
      <w:r>
        <w:rPr>
          <w:rFonts w:hint="eastAsia" w:ascii="方正仿宋_GBK" w:hAnsi="方正仿宋_GBK" w:eastAsia="方正仿宋_GBK" w:cs="方正仿宋_GBK"/>
          <w:kern w:val="0"/>
          <w:sz w:val="32"/>
          <w:szCs w:val="32"/>
          <w:shd w:val="clear" w:color="auto" w:fill="FFFFFF"/>
          <w:lang w:val="en-US" w:eastAsia="zh-CN" w:bidi="ar"/>
        </w:rPr>
        <w:t>4</w:t>
      </w:r>
      <w:r>
        <w:rPr>
          <w:rFonts w:hint="default" w:ascii="方正仿宋_GBK" w:hAnsi="方正仿宋_GBK" w:eastAsia="方正仿宋_GBK" w:cs="方正仿宋_GBK"/>
          <w:kern w:val="0"/>
          <w:sz w:val="32"/>
          <w:szCs w:val="32"/>
          <w:shd w:val="clear" w:color="auto" w:fill="FFFFFF"/>
          <w:lang w:val="en-US" w:eastAsia="zh-CN" w:bidi="ar"/>
        </w:rPr>
        <w:t>年度</w:t>
      </w:r>
      <w:r>
        <w:rPr>
          <w:rFonts w:hint="eastAsia" w:ascii="方正仿宋_GBK" w:hAnsi="方正仿宋_GBK" w:eastAsia="方正仿宋_GBK" w:cs="方正仿宋_GBK"/>
          <w:kern w:val="0"/>
          <w:sz w:val="32"/>
          <w:szCs w:val="32"/>
          <w:shd w:val="clear" w:color="auto" w:fill="FFFFFF"/>
          <w:lang w:val="en-US" w:eastAsia="zh-CN" w:bidi="ar"/>
        </w:rPr>
        <w:t>我</w:t>
      </w:r>
      <w:r>
        <w:rPr>
          <w:rFonts w:hint="default" w:ascii="方正仿宋_GBK" w:hAnsi="方正仿宋_GBK" w:eastAsia="方正仿宋_GBK" w:cs="方正仿宋_GBK"/>
          <w:kern w:val="0"/>
          <w:sz w:val="32"/>
          <w:szCs w:val="32"/>
          <w:shd w:val="clear" w:color="auto" w:fill="FFFFFF"/>
          <w:lang w:val="en-US" w:eastAsia="zh-CN" w:bidi="ar"/>
        </w:rPr>
        <w:t>单位</w:t>
      </w:r>
      <w:r>
        <w:rPr>
          <w:rFonts w:hint="eastAsia" w:ascii="方正仿宋_GBK" w:hAnsi="方正仿宋_GBK" w:eastAsia="方正仿宋_GBK" w:cs="方正仿宋_GBK"/>
          <w:kern w:val="0"/>
          <w:sz w:val="32"/>
          <w:szCs w:val="32"/>
          <w:shd w:val="clear" w:color="auto" w:fill="FFFFFF"/>
          <w:lang w:val="en-US" w:eastAsia="zh-CN" w:bidi="ar"/>
        </w:rPr>
        <w:t>未发生政府采购事项，无相关经费支出。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11"/>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autoSpaceDE w:val="0"/>
        <w:spacing w:before="0" w:beforeAutospacing="0" w:line="60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根据预算绩效管理要求，我单位对</w:t>
      </w:r>
      <w:r>
        <w:rPr>
          <w:rFonts w:hint="eastAsia" w:ascii="方正仿宋_GBK" w:hAnsi="方正仿宋_GBK" w:eastAsia="方正仿宋_GBK" w:cs="方正仿宋_GBK"/>
          <w:sz w:val="32"/>
          <w:szCs w:val="32"/>
          <w:shd w:val="clear" w:color="auto" w:fill="FFFFFF"/>
          <w:lang w:eastAsia="zh-CN" w:bidi="ar"/>
        </w:rPr>
        <w:t>整体和</w:t>
      </w:r>
      <w:r>
        <w:rPr>
          <w:rFonts w:hint="eastAsia" w:ascii="方正仿宋_GBK" w:hAnsi="方正仿宋_GBK" w:eastAsia="方正仿宋_GBK" w:cs="方正仿宋_GBK"/>
          <w:kern w:val="0"/>
          <w:sz w:val="32"/>
          <w:szCs w:val="32"/>
          <w:shd w:val="clear" w:color="auto" w:fill="FFFFFF"/>
          <w:lang w:val="en-US" w:eastAsia="zh-CN" w:bidi="ar"/>
        </w:rPr>
        <w:t>4个项目开展了绩效自评，涉及财政拨款资金</w:t>
      </w:r>
      <w:r>
        <w:rPr>
          <w:rFonts w:hint="eastAsia" w:ascii="方正仿宋_GBK" w:hAnsi="方正仿宋_GBK" w:eastAsia="方正仿宋_GBK" w:cs="方正仿宋_GBK"/>
          <w:kern w:val="0"/>
          <w:sz w:val="32"/>
          <w:szCs w:val="32"/>
          <w:highlight w:val="none"/>
          <w:shd w:val="clear" w:color="auto" w:fill="FFFFFF"/>
          <w:lang w:val="en-US" w:eastAsia="zh-CN" w:bidi="ar"/>
        </w:rPr>
        <w:t>201.04万</w:t>
      </w:r>
      <w:r>
        <w:rPr>
          <w:rFonts w:hint="eastAsia" w:ascii="方正仿宋_GBK" w:hAnsi="方正仿宋_GBK" w:eastAsia="方正仿宋_GBK" w:cs="方正仿宋_GBK"/>
          <w:kern w:val="0"/>
          <w:sz w:val="32"/>
          <w:szCs w:val="32"/>
          <w:shd w:val="clear" w:color="auto" w:fill="FFFFFF"/>
          <w:lang w:val="en-US" w:eastAsia="zh-CN" w:bidi="ar"/>
        </w:rPr>
        <w:t>元。</w:t>
      </w:r>
      <w:r>
        <w:rPr>
          <w:rFonts w:hint="eastAsia" w:ascii="方正仿宋_GBK" w:hAnsi="方正仿宋_GBK" w:eastAsia="方正仿宋_GBK" w:cs="方正仿宋_GBK"/>
          <w:sz w:val="32"/>
          <w:szCs w:val="32"/>
          <w:shd w:val="clear" w:color="auto" w:fill="FFFFFF"/>
          <w:lang w:eastAsia="zh-CN" w:bidi="ar"/>
        </w:rPr>
        <w:t>单位整体绩效自评表和项目绩效自评表如下：</w:t>
      </w:r>
    </w:p>
    <w:p>
      <w:pPr>
        <w:pStyle w:val="12"/>
        <w:autoSpaceDE w:val="0"/>
        <w:spacing w:before="0" w:beforeAutospacing="0" w:line="600" w:lineRule="exact"/>
        <w:ind w:firstLine="640" w:firstLineChars="200"/>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1.</w:t>
      </w:r>
      <w:r>
        <w:rPr>
          <w:rFonts w:hint="eastAsia" w:ascii="方正仿宋_GBK" w:hAnsi="方正仿宋_GBK" w:eastAsia="方正仿宋_GBK" w:cs="方正仿宋_GBK"/>
          <w:sz w:val="32"/>
          <w:szCs w:val="32"/>
          <w:shd w:val="clear" w:color="auto" w:fill="FFFFFF"/>
          <w:lang w:eastAsia="zh-CN" w:bidi="ar"/>
        </w:rPr>
        <w:t>单位项目支出绩效自评表</w:t>
      </w:r>
    </w:p>
    <w:tbl>
      <w:tblPr>
        <w:tblStyle w:val="7"/>
        <w:tblW w:w="8880"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5"/>
        <w:gridCol w:w="546"/>
        <w:gridCol w:w="546"/>
        <w:gridCol w:w="1016"/>
        <w:gridCol w:w="675"/>
        <w:gridCol w:w="1272"/>
        <w:gridCol w:w="693"/>
        <w:gridCol w:w="670"/>
        <w:gridCol w:w="494"/>
        <w:gridCol w:w="684"/>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荣昌区离休干部医疗费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50015322T000000091332</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瞿万里</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334,819.01 </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1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1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保障全区离休干部医疗费按规定报销</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一、离休干部医疗报销人次指标值130人次，全年完成值219人次。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二、离休干部医疗费报销结算率和及时报销率指标值98%以上，全年完成值100%。我中心及时结算和报销离休干部医疗费用，实行至少每半月结算和拨付一次。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三、受益离休干部覆盖率和满意度指标值95%，全年完成值100%。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离休干部医疗报销人次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人员就诊人次具有不可控性。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离休干部医疗费报销结算率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离休干部医疗费及时报销率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受益离休干部覆盖率</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受益离休干部满意度</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5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0"/>
        <w:gridCol w:w="556"/>
        <w:gridCol w:w="556"/>
        <w:gridCol w:w="845"/>
        <w:gridCol w:w="746"/>
        <w:gridCol w:w="978"/>
        <w:gridCol w:w="730"/>
        <w:gridCol w:w="734"/>
        <w:gridCol w:w="492"/>
        <w:gridCol w:w="600"/>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医疗保险档案管理费</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50015322T000000091340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任廷方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260,000.00 </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156,718.36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规范管理各类医疗保险档案</w:t>
            </w:r>
          </w:p>
        </w:tc>
        <w:tc>
          <w:tcPr>
            <w:tcW w:w="318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档案制度建设，严格按照《社会保险业务资料与保管期限表》规定，做好各类档案的收集归档工作。指导业务科室正确归类，确保所有档案编目准确、整齐规范、调阅方便。档案完好率为100%，免费向社会公众提供查阅1788人次，群众满意度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档案资料完好率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全年免费向社会公众提供查阅服务接待人次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2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3"/>
        <w:gridCol w:w="648"/>
        <w:gridCol w:w="648"/>
        <w:gridCol w:w="878"/>
        <w:gridCol w:w="740"/>
        <w:gridCol w:w="1270"/>
        <w:gridCol w:w="607"/>
        <w:gridCol w:w="819"/>
        <w:gridCol w:w="504"/>
        <w:gridCol w:w="60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医保信息系统建设和运维</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刘诚</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46251972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105,750.00 </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1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16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保障医疗、生育保险、公务员、医疗救助、离休、残军医疗保障等相关软件、硬件、网络正常使用。</w:t>
            </w:r>
          </w:p>
        </w:tc>
        <w:tc>
          <w:tcPr>
            <w:tcW w:w="343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2023年全面完成了年初绩效目标，确保了医保相关软件、硬件、网络正常使用。系统修复处理时间小于24小时，定点医药机构用户数量为965个，设备利用率达到99%，使用人员满意度达96%。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用户数量</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系统故障修复处理时间</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设备利用率</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使用人员满意度</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2"/>
        <w:spacing w:before="0" w:beforeAutospacing="0"/>
        <w:rPr>
          <w:rStyle w:val="13"/>
          <w:rFonts w:hint="eastAsia" w:ascii="方正仿宋_GBK" w:hAnsi="方正仿宋_GBK" w:eastAsia="方正仿宋_GBK" w:cs="方正仿宋_GBK"/>
          <w:color w:val="FF0000"/>
          <w:sz w:val="32"/>
          <w:szCs w:val="32"/>
          <w:shd w:val="clear" w:color="auto" w:fill="FFFFFF"/>
        </w:rPr>
      </w:pPr>
    </w:p>
    <w:tbl>
      <w:tblPr>
        <w:tblStyle w:val="7"/>
        <w:tblW w:w="885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5"/>
        <w:gridCol w:w="532"/>
        <w:gridCol w:w="532"/>
        <w:gridCol w:w="1002"/>
        <w:gridCol w:w="591"/>
        <w:gridCol w:w="1329"/>
        <w:gridCol w:w="608"/>
        <w:gridCol w:w="893"/>
        <w:gridCol w:w="499"/>
        <w:gridCol w:w="657"/>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荣昌区残疾军人医疗费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瞿万里</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1,413,122.95 </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保障全区残疾军人医疗费按规定报销</w:t>
            </w:r>
          </w:p>
        </w:tc>
        <w:tc>
          <w:tcPr>
            <w:tcW w:w="34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一、残疾军人医疗报销指标值260人次，全年完成值340人次。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二、残疾军人医疗费报销结算率和及时报销率指标值98%以上，全年完成值100%。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三、受益残疾军人覆盖率和满意度指标值95%以上，全年完成值100%。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56"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残疾军人医疗报销人次</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人员就诊人次具有不可控性。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残疾军人医疗费报销结算率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残疾军人医疗费及时报销率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受益残疾军人覆盖率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受益残疾军人满意度</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1"/>
        <w:autoSpaceDE w:val="0"/>
        <w:ind w:left="0" w:leftChars="0" w:firstLine="640" w:firstLineChars="200"/>
        <w:rPr>
          <w:rFonts w:hint="eastAsia" w:ascii="方正仿宋_GBK" w:hAnsi="方正仿宋_GBK" w:eastAsia="方正仿宋_GBK" w:cs="方正仿宋_GBK"/>
          <w:b w:val="0"/>
          <w:bCs w:val="0"/>
          <w:sz w:val="32"/>
          <w:szCs w:val="32"/>
          <w:shd w:val="clear" w:color="auto" w:fill="FFFFFF"/>
          <w:lang w:val="en-US" w:eastAsia="zh-CN" w:bidi="ar"/>
        </w:rPr>
      </w:pPr>
    </w:p>
    <w:p>
      <w:pPr>
        <w:pStyle w:val="11"/>
        <w:autoSpaceDE w:val="0"/>
        <w:ind w:left="0" w:leftChars="0" w:firstLine="640" w:firstLineChars="200"/>
        <w:rPr>
          <w:rFonts w:hint="default" w:ascii="方正仿宋_GBK" w:hAnsi="方正仿宋_GBK" w:eastAsia="方正仿宋_GBK" w:cs="方正仿宋_GBK"/>
          <w:b w:val="0"/>
          <w:bCs w:val="0"/>
          <w:sz w:val="32"/>
          <w:szCs w:val="32"/>
          <w:shd w:val="clear" w:color="auto" w:fill="FFFFFF"/>
          <w:lang w:val="en-US" w:eastAsia="zh-CN" w:bidi="ar"/>
        </w:rPr>
      </w:pPr>
      <w:r>
        <w:rPr>
          <w:rFonts w:hint="eastAsia" w:ascii="方正仿宋_GBK" w:hAnsi="方正仿宋_GBK" w:eastAsia="方正仿宋_GBK" w:cs="方正仿宋_GBK"/>
          <w:b w:val="0"/>
          <w:bCs w:val="0"/>
          <w:sz w:val="32"/>
          <w:szCs w:val="32"/>
          <w:shd w:val="clear" w:color="auto" w:fill="FFFFFF"/>
          <w:lang w:val="en-US" w:eastAsia="zh-CN" w:bidi="ar"/>
        </w:rPr>
        <w:t>2.</w:t>
      </w:r>
      <w:r>
        <w:rPr>
          <w:rFonts w:hint="eastAsia" w:ascii="方正仿宋_GBK" w:hAnsi="方正仿宋_GBK" w:eastAsia="方正仿宋_GBK" w:cs="方正仿宋_GBK"/>
          <w:b w:val="0"/>
          <w:bCs w:val="0"/>
          <w:sz w:val="32"/>
          <w:szCs w:val="32"/>
          <w:shd w:val="clear" w:color="auto" w:fill="FFFFFF"/>
          <w:lang w:eastAsia="zh-CN" w:bidi="ar"/>
        </w:rPr>
        <w:t>单位整体绩效自评表</w:t>
      </w:r>
      <w:r>
        <w:rPr>
          <w:rFonts w:hint="eastAsia" w:ascii="方正仿宋_GBK" w:hAnsi="方正仿宋_GBK" w:eastAsia="方正仿宋_GBK" w:cs="方正仿宋_GBK"/>
          <w:b w:val="0"/>
          <w:bCs w:val="0"/>
          <w:sz w:val="32"/>
          <w:szCs w:val="32"/>
          <w:shd w:val="clear" w:color="auto" w:fill="FFFFFF"/>
          <w:lang w:val="en-US" w:eastAsia="zh-CN" w:bidi="ar"/>
        </w:rPr>
        <w:t>:</w:t>
      </w: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77"/>
        <w:gridCol w:w="383"/>
        <w:gridCol w:w="383"/>
        <w:gridCol w:w="1126"/>
        <w:gridCol w:w="565"/>
        <w:gridCol w:w="1384"/>
        <w:gridCol w:w="600"/>
        <w:gridCol w:w="907"/>
        <w:gridCol w:w="531"/>
        <w:gridCol w:w="705"/>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重庆市荣昌区医疗保障中心整体自评</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50015322T000000091335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134-重庆市荣昌区医疗保障局</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瞿万里</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46773305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12</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856</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404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0 </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12</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856</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404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0 </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12</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856</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404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0 </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238</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047</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43</w:t>
            </w:r>
            <w:r>
              <w:rPr>
                <w:rFonts w:hint="eastAsia" w:ascii="宋体" w:hAnsi="宋体" w:eastAsia="宋体" w:cs="宋体"/>
                <w:i w:val="0"/>
                <w:color w:val="000000"/>
                <w:kern w:val="0"/>
                <w:sz w:val="22"/>
                <w:szCs w:val="22"/>
                <w:u w:val="none"/>
                <w:lang w:val="en-US" w:eastAsia="zh-CN" w:bidi="ar"/>
              </w:rPr>
              <w:t xml:space="preserve">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0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30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保障全区残疾军人医疗费按规定报销，保障全区离休干部医疗费按规定报销，规范管理各类医疗保险档案，保障医疗、生育保险、公务员、医疗救助、离休、残军医疗保障等相关软件、硬件、网络正常使用。</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报销指标值260人次，全年完成值340人次；残疾军人医疗费报销结算率和及时报销率指标值98%以上，全年完成值100%；受益残疾军人覆盖率和满意度指标值95%以上，全年完成值100%；离休干部医疗报销人次指标值130人次，全年完成值219人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离休干部医疗费报销结算率和及时报销率指标值98%以上，全年完成值100%，我中心及时结算和报销离休干部医疗费用，实行至少每半月结算和拨付一次；受益离休干部覆盖率和满意度指标值95%，全年完成值100%。加强档案制度建设，严格按照《社会保险业务资料与保管期限表》规定，做好各类档案的收集归档工作。指导业务科室正确归类，确保所有档案编目准确、整齐规范、调阅方便。档案完好率为100%，免费向社会公众提供查阅1788人次，群众满意度为100%。2024年全面完成了年初绩效目标，确保了医保相关软件、硬件、网络正常使用。系统修复处理时间小于24小时，定点医药机构用户数量为965个，设备利用率达到99%，使用人员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7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残疾军人医疗报销人次</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人员就诊人次具有不可控性。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残疾军人医疗费报销结算率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残疾军人医疗费及时报销率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受益残疾军人覆盖率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受益残疾军人满意度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1"/>
        <w:autoSpaceDE w:val="0"/>
        <w:ind w:left="0" w:leftChars="0" w:firstLine="0" w:firstLineChars="0"/>
        <w:rPr>
          <w:rFonts w:hint="eastAsia" w:ascii="楷体" w:hAnsi="楷体" w:eastAsia="楷体" w:cs="楷体"/>
          <w:b/>
          <w:bCs/>
          <w:sz w:val="32"/>
          <w:szCs w:val="32"/>
          <w:shd w:val="clear" w:color="auto" w:fill="FFFFFF"/>
          <w:lang w:bidi="ar"/>
        </w:rPr>
      </w:pPr>
    </w:p>
    <w:p>
      <w:pPr>
        <w:pStyle w:val="11"/>
        <w:autoSpaceDE w:val="0"/>
        <w:ind w:left="0" w:leftChars="0" w:firstLine="643" w:firstLineChars="20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Style w:val="10"/>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eastAsia="zh-CN" w:bidi="ar"/>
        </w:rPr>
        <w:t>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eastAsia="zh-CN"/>
        </w:rPr>
        <w:t>黄</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eastAsia="zh-CN"/>
        </w:rPr>
        <w:t>芸</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val="en-US" w:eastAsia="zh-CN"/>
        </w:rPr>
        <w:t>023－46251612</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1923"/>
        <w:gridCol w:w="4272"/>
        <w:gridCol w:w="4248"/>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2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424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217"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重庆市荣昌区医疗保障事务中心</w:t>
            </w:r>
          </w:p>
        </w:tc>
        <w:tc>
          <w:tcPr>
            <w:tcW w:w="42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424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52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923.80</w:t>
            </w: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923"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923.80</w:t>
            </w: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9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24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923.80</w:t>
            </w:r>
            <w:r>
              <w:rPr>
                <w:rFonts w:ascii="Times New Roman" w:hAnsi="Times New Roman"/>
                <w:color w:val="000000"/>
                <w:sz w:val="20"/>
                <w:u w:color="auto"/>
              </w:rPr>
              <w:t xml:space="preserve"> </w:t>
            </w:r>
          </w:p>
        </w:tc>
        <w:tc>
          <w:tcPr>
            <w:tcW w:w="42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24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重庆市荣昌区医疗保障事务中心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重庆市荣昌区医疗保障事务中心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722.76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201.04</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重庆市荣昌区医疗保障事务中心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重庆市荣昌区医疗保障事务中心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重庆市荣昌区医疗保障事务中心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600.45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重庆市荣昌区医疗保障事务中心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重庆市荣昌区医疗保障事务中心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重庆市荣昌区医疗保障事务中心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9B70B"/>
    <w:multiLevelType w:val="singleLevel"/>
    <w:tmpl w:val="8C09B70B"/>
    <w:lvl w:ilvl="0" w:tentative="0">
      <w:start w:val="4"/>
      <w:numFmt w:val="chineseCounting"/>
      <w:suff w:val="nothing"/>
      <w:lvlText w:val="（%1）"/>
      <w:lvlJc w:val="left"/>
      <w:rPr>
        <w:rFonts w:hint="eastAsia"/>
      </w:rPr>
    </w:lvl>
  </w:abstractNum>
  <w:abstractNum w:abstractNumId="1">
    <w:nsid w:val="F6B4C358"/>
    <w:multiLevelType w:val="singleLevel"/>
    <w:tmpl w:val="F6B4C358"/>
    <w:lvl w:ilvl="0" w:tentative="0">
      <w:start w:val="1"/>
      <w:numFmt w:val="decimal"/>
      <w:suff w:val="nothing"/>
      <w:lvlText w:val="（%1）"/>
      <w:lvlJc w:val="left"/>
    </w:lvl>
  </w:abstractNum>
  <w:abstractNum w:abstractNumId="2">
    <w:nsid w:val="14486A77"/>
    <w:multiLevelType w:val="singleLevel"/>
    <w:tmpl w:val="14486A7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25ADA"/>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B46468"/>
    <w:rsid w:val="035E4C70"/>
    <w:rsid w:val="036E2DA9"/>
    <w:rsid w:val="03B87EA0"/>
    <w:rsid w:val="03E3214F"/>
    <w:rsid w:val="044C50BA"/>
    <w:rsid w:val="05BC6D49"/>
    <w:rsid w:val="06051F4F"/>
    <w:rsid w:val="06153157"/>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555C83"/>
    <w:rsid w:val="0D564363"/>
    <w:rsid w:val="0D673E11"/>
    <w:rsid w:val="0DDA54E4"/>
    <w:rsid w:val="0E3A5F83"/>
    <w:rsid w:val="0EB8590A"/>
    <w:rsid w:val="0F836721"/>
    <w:rsid w:val="0FA25D96"/>
    <w:rsid w:val="0FBD3C60"/>
    <w:rsid w:val="107B59E5"/>
    <w:rsid w:val="10EC0126"/>
    <w:rsid w:val="10F70B9A"/>
    <w:rsid w:val="111445C7"/>
    <w:rsid w:val="114278C6"/>
    <w:rsid w:val="1158083A"/>
    <w:rsid w:val="11643A4B"/>
    <w:rsid w:val="11ED0F98"/>
    <w:rsid w:val="11F03528"/>
    <w:rsid w:val="12C921C4"/>
    <w:rsid w:val="13871C70"/>
    <w:rsid w:val="139B03D1"/>
    <w:rsid w:val="13A71CB4"/>
    <w:rsid w:val="13AF1D43"/>
    <w:rsid w:val="13CE1647"/>
    <w:rsid w:val="13FD55AB"/>
    <w:rsid w:val="14200702"/>
    <w:rsid w:val="14370EA1"/>
    <w:rsid w:val="145D6F41"/>
    <w:rsid w:val="146A3495"/>
    <w:rsid w:val="14A6310E"/>
    <w:rsid w:val="163A6CEE"/>
    <w:rsid w:val="16D73178"/>
    <w:rsid w:val="173708E3"/>
    <w:rsid w:val="173E30D8"/>
    <w:rsid w:val="17C374FC"/>
    <w:rsid w:val="182E4AB6"/>
    <w:rsid w:val="189079DC"/>
    <w:rsid w:val="189B0D0B"/>
    <w:rsid w:val="18B43F7C"/>
    <w:rsid w:val="191C433B"/>
    <w:rsid w:val="194A1770"/>
    <w:rsid w:val="19B906A4"/>
    <w:rsid w:val="1AFF57A1"/>
    <w:rsid w:val="1B6D1056"/>
    <w:rsid w:val="1B6F15B6"/>
    <w:rsid w:val="1BAA2EDC"/>
    <w:rsid w:val="1C6118C2"/>
    <w:rsid w:val="1CA55E64"/>
    <w:rsid w:val="1D014A01"/>
    <w:rsid w:val="1D022362"/>
    <w:rsid w:val="1D1B04B0"/>
    <w:rsid w:val="1D6D311C"/>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0672C"/>
    <w:rsid w:val="22403BD3"/>
    <w:rsid w:val="235417B6"/>
    <w:rsid w:val="241A1F75"/>
    <w:rsid w:val="24B92327"/>
    <w:rsid w:val="24C14514"/>
    <w:rsid w:val="2533755C"/>
    <w:rsid w:val="25791755"/>
    <w:rsid w:val="26396DF4"/>
    <w:rsid w:val="267A0B1E"/>
    <w:rsid w:val="27167136"/>
    <w:rsid w:val="271B442C"/>
    <w:rsid w:val="271E23E6"/>
    <w:rsid w:val="27B23302"/>
    <w:rsid w:val="27DB4552"/>
    <w:rsid w:val="28727DFE"/>
    <w:rsid w:val="29310A5F"/>
    <w:rsid w:val="29C37A35"/>
    <w:rsid w:val="2A076083"/>
    <w:rsid w:val="2A227E0E"/>
    <w:rsid w:val="2A73162E"/>
    <w:rsid w:val="2AAC3CEC"/>
    <w:rsid w:val="2B157BE8"/>
    <w:rsid w:val="2B167953"/>
    <w:rsid w:val="2B200583"/>
    <w:rsid w:val="2B8209DE"/>
    <w:rsid w:val="2B821C91"/>
    <w:rsid w:val="2BC71F6D"/>
    <w:rsid w:val="2BF81A22"/>
    <w:rsid w:val="2C636760"/>
    <w:rsid w:val="2C6762A3"/>
    <w:rsid w:val="2DB95F2F"/>
    <w:rsid w:val="2DF41D09"/>
    <w:rsid w:val="2E4B51EB"/>
    <w:rsid w:val="2F0A1A5D"/>
    <w:rsid w:val="2FCA4B37"/>
    <w:rsid w:val="2FE029D7"/>
    <w:rsid w:val="2FF06E00"/>
    <w:rsid w:val="30586FEC"/>
    <w:rsid w:val="315F0B22"/>
    <w:rsid w:val="31D84415"/>
    <w:rsid w:val="320E2F5A"/>
    <w:rsid w:val="32285F6F"/>
    <w:rsid w:val="32770556"/>
    <w:rsid w:val="329C0913"/>
    <w:rsid w:val="32AA0460"/>
    <w:rsid w:val="3337290D"/>
    <w:rsid w:val="33E31118"/>
    <w:rsid w:val="33EF7674"/>
    <w:rsid w:val="342D7BC6"/>
    <w:rsid w:val="343A20C5"/>
    <w:rsid w:val="352930DB"/>
    <w:rsid w:val="35573069"/>
    <w:rsid w:val="355F6038"/>
    <w:rsid w:val="358C217E"/>
    <w:rsid w:val="35CE3275"/>
    <w:rsid w:val="364201C0"/>
    <w:rsid w:val="36C9128A"/>
    <w:rsid w:val="37841E99"/>
    <w:rsid w:val="37BF1123"/>
    <w:rsid w:val="383C3F15"/>
    <w:rsid w:val="38BE4696"/>
    <w:rsid w:val="3939115E"/>
    <w:rsid w:val="3949547D"/>
    <w:rsid w:val="39A87862"/>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CF3442B"/>
    <w:rsid w:val="3D2757A1"/>
    <w:rsid w:val="3D3D4FC4"/>
    <w:rsid w:val="3DDF3AB1"/>
    <w:rsid w:val="3E1D0952"/>
    <w:rsid w:val="3E42660A"/>
    <w:rsid w:val="3E7555B1"/>
    <w:rsid w:val="3E787ED9"/>
    <w:rsid w:val="3F032E93"/>
    <w:rsid w:val="3F0527E5"/>
    <w:rsid w:val="3F4C52C6"/>
    <w:rsid w:val="3F694D83"/>
    <w:rsid w:val="3F885DCC"/>
    <w:rsid w:val="3FC07729"/>
    <w:rsid w:val="3FCD675E"/>
    <w:rsid w:val="4004000C"/>
    <w:rsid w:val="40BD5482"/>
    <w:rsid w:val="411B6CE5"/>
    <w:rsid w:val="412070D7"/>
    <w:rsid w:val="41314E40"/>
    <w:rsid w:val="41E0734B"/>
    <w:rsid w:val="426C1EA8"/>
    <w:rsid w:val="42736402"/>
    <w:rsid w:val="429930F8"/>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084E52"/>
    <w:rsid w:val="4A263DF2"/>
    <w:rsid w:val="4A2F278B"/>
    <w:rsid w:val="4A6F6675"/>
    <w:rsid w:val="4AEE2560"/>
    <w:rsid w:val="4B135857"/>
    <w:rsid w:val="4B7951CB"/>
    <w:rsid w:val="4B7C315C"/>
    <w:rsid w:val="4C9316A8"/>
    <w:rsid w:val="4D1F53CA"/>
    <w:rsid w:val="4DAC4ACA"/>
    <w:rsid w:val="4DBD2B0B"/>
    <w:rsid w:val="4DBE01D2"/>
    <w:rsid w:val="4F0C6BA3"/>
    <w:rsid w:val="4F186D58"/>
    <w:rsid w:val="50EE46A8"/>
    <w:rsid w:val="50F06B6E"/>
    <w:rsid w:val="51D21804"/>
    <w:rsid w:val="52234D33"/>
    <w:rsid w:val="522F6E0C"/>
    <w:rsid w:val="52463BA1"/>
    <w:rsid w:val="52B41EA3"/>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5E327E"/>
    <w:rsid w:val="567700D3"/>
    <w:rsid w:val="569E5A73"/>
    <w:rsid w:val="56FF7E9E"/>
    <w:rsid w:val="578867FC"/>
    <w:rsid w:val="5842572D"/>
    <w:rsid w:val="58FA3E9C"/>
    <w:rsid w:val="59900963"/>
    <w:rsid w:val="59C71F63"/>
    <w:rsid w:val="5A3B59D6"/>
    <w:rsid w:val="5AD134D8"/>
    <w:rsid w:val="5BF41F67"/>
    <w:rsid w:val="5C263CE4"/>
    <w:rsid w:val="5C5D2777"/>
    <w:rsid w:val="5CF66BF3"/>
    <w:rsid w:val="5D290C69"/>
    <w:rsid w:val="5D6A3830"/>
    <w:rsid w:val="5DA80C2C"/>
    <w:rsid w:val="5DC313E2"/>
    <w:rsid w:val="5F2D4A41"/>
    <w:rsid w:val="608C191F"/>
    <w:rsid w:val="60C74F6C"/>
    <w:rsid w:val="60F24FB6"/>
    <w:rsid w:val="61015958"/>
    <w:rsid w:val="61025A59"/>
    <w:rsid w:val="611028E0"/>
    <w:rsid w:val="613D5BBC"/>
    <w:rsid w:val="614D1181"/>
    <w:rsid w:val="61536C39"/>
    <w:rsid w:val="61D10E34"/>
    <w:rsid w:val="62182B29"/>
    <w:rsid w:val="62944DD7"/>
    <w:rsid w:val="62A77E05"/>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4A5598"/>
    <w:rsid w:val="72DB435C"/>
    <w:rsid w:val="72E2613A"/>
    <w:rsid w:val="72F771F4"/>
    <w:rsid w:val="73934AD2"/>
    <w:rsid w:val="750837F0"/>
    <w:rsid w:val="754758CF"/>
    <w:rsid w:val="75595ECD"/>
    <w:rsid w:val="764F62AB"/>
    <w:rsid w:val="765C45EC"/>
    <w:rsid w:val="768A7619"/>
    <w:rsid w:val="76A36B03"/>
    <w:rsid w:val="772E1EBA"/>
    <w:rsid w:val="77957809"/>
    <w:rsid w:val="781926BC"/>
    <w:rsid w:val="782155DB"/>
    <w:rsid w:val="796D60A4"/>
    <w:rsid w:val="797A664A"/>
    <w:rsid w:val="79A031D5"/>
    <w:rsid w:val="79B47FDF"/>
    <w:rsid w:val="79E569A9"/>
    <w:rsid w:val="7A1525F7"/>
    <w:rsid w:val="7ADD6F56"/>
    <w:rsid w:val="7B420052"/>
    <w:rsid w:val="7BD06A28"/>
    <w:rsid w:val="7C3A7C0B"/>
    <w:rsid w:val="7C5248E4"/>
    <w:rsid w:val="7C566698"/>
    <w:rsid w:val="7C5866A3"/>
    <w:rsid w:val="7D432652"/>
    <w:rsid w:val="7D7406BB"/>
    <w:rsid w:val="7DE94331"/>
    <w:rsid w:val="7EEE5CFB"/>
    <w:rsid w:val="7F446A19"/>
    <w:rsid w:val="7F7452B9"/>
    <w:rsid w:val="7F8B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2025-09-29T05:40:43Z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