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7CE5AB">
      <w:pPr>
        <w:spacing w:line="560" w:lineRule="exact"/>
        <w:ind w:firstLine="0" w:firstLineChars="0"/>
        <w:jc w:val="center"/>
        <w:rPr>
          <w:rFonts w:hint="default" w:ascii="Times New Roman" w:hAnsi="Times New Roman" w:eastAsia="方正小标宋_GBK" w:cs="Times New Roman"/>
          <w:color w:val="000000"/>
          <w:kern w:val="0"/>
          <w:sz w:val="44"/>
          <w:szCs w:val="44"/>
        </w:rPr>
      </w:pPr>
    </w:p>
    <w:p w14:paraId="62B2E5AD">
      <w:pPr>
        <w:spacing w:line="560" w:lineRule="exact"/>
        <w:ind w:firstLine="0" w:firstLineChars="0"/>
        <w:jc w:val="center"/>
        <w:rPr>
          <w:rFonts w:hint="default" w:ascii="Times New Roman" w:hAnsi="Times New Roman" w:eastAsia="方正小标宋_GBK" w:cs="Times New Roman"/>
          <w:color w:val="000000"/>
          <w:kern w:val="0"/>
          <w:sz w:val="44"/>
          <w:szCs w:val="44"/>
        </w:rPr>
      </w:pPr>
    </w:p>
    <w:p w14:paraId="63A622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</w:pPr>
      <w:bookmarkStart w:id="0" w:name="OLE_LINK2"/>
      <w:bookmarkStart w:id="1" w:name="_Toc16294"/>
      <w:bookmarkStart w:id="2" w:name="_Toc32490"/>
      <w:bookmarkStart w:id="3" w:name="OLE_LINK9"/>
      <w:r>
        <w:rPr>
          <w:rFonts w:hint="eastAsia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荣昌广顺“</w:t>
      </w:r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10</w:t>
      </w:r>
      <w:r>
        <w:rPr>
          <w:rFonts w:hint="eastAsia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·</w:t>
      </w:r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22</w:t>
      </w:r>
      <w:r>
        <w:rPr>
          <w:rFonts w:hint="eastAsia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”一般道路交通事</w:t>
      </w:r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故</w:t>
      </w:r>
      <w:bookmarkEnd w:id="0"/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防范和整改落实</w:t>
      </w:r>
      <w:bookmarkEnd w:id="1"/>
      <w:bookmarkEnd w:id="2"/>
      <w:bookmarkStart w:id="4" w:name="_Toc20151"/>
      <w:bookmarkStart w:id="5" w:name="_Toc30326"/>
      <w:r>
        <w:rPr>
          <w:rFonts w:hint="default" w:ascii="Times New Roman" w:hAnsi="Times New Roman" w:eastAsia="方正小标宋_GBK" w:cs="Times New Roman"/>
          <w:spacing w:val="0"/>
          <w:kern w:val="2"/>
          <w:sz w:val="44"/>
          <w:szCs w:val="44"/>
          <w:lang w:val="en-US" w:eastAsia="zh-CN" w:bidi="ar-SA"/>
        </w:rPr>
        <w:t>情况评估报告</w:t>
      </w:r>
      <w:bookmarkEnd w:id="4"/>
      <w:bookmarkEnd w:id="5"/>
    </w:p>
    <w:bookmarkEnd w:id="3"/>
    <w:p w14:paraId="1A4AD381">
      <w:pPr>
        <w:snapToGrid w:val="0"/>
        <w:spacing w:line="560" w:lineRule="exact"/>
        <w:ind w:firstLine="0" w:firstLineChars="0"/>
        <w:jc w:val="center"/>
        <w:outlineLvl w:val="9"/>
        <w:rPr>
          <w:rFonts w:hint="default" w:ascii="Times New Roman" w:hAnsi="Times New Roman" w:eastAsia="方正楷体_GBK" w:cs="Times New Roman"/>
          <w:szCs w:val="32"/>
        </w:rPr>
      </w:pPr>
      <w:r>
        <w:rPr>
          <w:rFonts w:hint="default" w:ascii="Times New Roman" w:hAnsi="Times New Roman" w:eastAsia="方正楷体_GBK" w:cs="Times New Roman"/>
          <w:szCs w:val="32"/>
        </w:rPr>
        <w:t xml:space="preserve"> </w:t>
      </w:r>
    </w:p>
    <w:p w14:paraId="4772F078">
      <w:pPr>
        <w:snapToGrid w:val="0"/>
        <w:spacing w:line="560" w:lineRule="exact"/>
        <w:ind w:firstLine="420" w:firstLineChars="200"/>
        <w:outlineLvl w:val="9"/>
        <w:rPr>
          <w:rFonts w:hint="default" w:ascii="Times New Roman" w:hAnsi="Times New Roman" w:cs="Times New Roman"/>
          <w:szCs w:val="32"/>
        </w:rPr>
      </w:pPr>
    </w:p>
    <w:p w14:paraId="6AD6F30E">
      <w:pPr>
        <w:snapToGrid w:val="0"/>
        <w:spacing w:line="560" w:lineRule="exact"/>
        <w:ind w:firstLine="420" w:firstLineChars="200"/>
        <w:outlineLvl w:val="9"/>
        <w:rPr>
          <w:rFonts w:hint="default" w:ascii="Times New Roman" w:hAnsi="Times New Roman" w:cs="Times New Roman"/>
          <w:szCs w:val="32"/>
        </w:rPr>
      </w:pPr>
    </w:p>
    <w:p w14:paraId="2ADE8610">
      <w:pPr>
        <w:snapToGrid w:val="0"/>
        <w:spacing w:line="560" w:lineRule="exact"/>
        <w:ind w:firstLine="420" w:firstLineChars="200"/>
        <w:outlineLvl w:val="9"/>
        <w:rPr>
          <w:rFonts w:hint="default" w:ascii="Times New Roman" w:hAnsi="Times New Roman" w:cs="Times New Roman"/>
          <w:szCs w:val="32"/>
        </w:rPr>
      </w:pPr>
    </w:p>
    <w:p w14:paraId="14A1A355">
      <w:pPr>
        <w:snapToGrid w:val="0"/>
        <w:spacing w:line="560" w:lineRule="exact"/>
        <w:ind w:firstLine="420" w:firstLineChars="200"/>
        <w:outlineLvl w:val="9"/>
        <w:rPr>
          <w:rFonts w:hint="default" w:ascii="Times New Roman" w:hAnsi="Times New Roman" w:cs="Times New Roman"/>
          <w:szCs w:val="32"/>
        </w:rPr>
      </w:pPr>
    </w:p>
    <w:p w14:paraId="76B94908">
      <w:pPr>
        <w:snapToGrid w:val="0"/>
        <w:spacing w:line="560" w:lineRule="exact"/>
        <w:ind w:firstLine="0" w:firstLineChars="0"/>
        <w:outlineLvl w:val="9"/>
        <w:rPr>
          <w:rFonts w:hint="default" w:ascii="Times New Roman" w:hAnsi="Times New Roman" w:cs="Times New Roman"/>
          <w:szCs w:val="32"/>
          <w:highlight w:val="yellow"/>
        </w:rPr>
      </w:pPr>
    </w:p>
    <w:p w14:paraId="7AAAAC18">
      <w:pPr>
        <w:pStyle w:val="19"/>
        <w:outlineLvl w:val="9"/>
        <w:rPr>
          <w:rFonts w:hint="default" w:ascii="Times New Roman" w:hAnsi="Times New Roman" w:cs="Times New Roman"/>
          <w:szCs w:val="32"/>
        </w:rPr>
      </w:pPr>
    </w:p>
    <w:p w14:paraId="2766E42A">
      <w:pPr>
        <w:outlineLvl w:val="9"/>
        <w:rPr>
          <w:rFonts w:hint="default" w:ascii="Times New Roman" w:hAnsi="Times New Roman" w:cs="Times New Roman"/>
          <w:szCs w:val="32"/>
        </w:rPr>
      </w:pPr>
    </w:p>
    <w:p w14:paraId="27D04886">
      <w:pPr>
        <w:pStyle w:val="19"/>
        <w:outlineLvl w:val="9"/>
        <w:rPr>
          <w:rFonts w:hint="default" w:ascii="Times New Roman" w:hAnsi="Times New Roman" w:cs="Times New Roman"/>
          <w:szCs w:val="32"/>
        </w:rPr>
      </w:pPr>
    </w:p>
    <w:p w14:paraId="37E55D70">
      <w:pPr>
        <w:outlineLvl w:val="9"/>
        <w:rPr>
          <w:rFonts w:hint="default" w:ascii="Times New Roman" w:hAnsi="Times New Roman" w:cs="Times New Roman"/>
        </w:rPr>
      </w:pPr>
    </w:p>
    <w:p w14:paraId="1ED8EB78">
      <w:pPr>
        <w:snapToGrid w:val="0"/>
        <w:spacing w:line="560" w:lineRule="exact"/>
        <w:ind w:firstLine="0" w:firstLineChars="0"/>
        <w:outlineLvl w:val="9"/>
        <w:rPr>
          <w:rFonts w:hint="default" w:ascii="Times New Roman" w:hAnsi="Times New Roman" w:cs="Times New Roman"/>
          <w:szCs w:val="32"/>
        </w:rPr>
      </w:pPr>
    </w:p>
    <w:p w14:paraId="554FA06C">
      <w:pPr>
        <w:snapToGrid w:val="0"/>
        <w:spacing w:line="560" w:lineRule="exact"/>
        <w:ind w:firstLine="0" w:firstLineChars="0"/>
        <w:outlineLvl w:val="9"/>
        <w:rPr>
          <w:rFonts w:hint="default" w:ascii="Times New Roman" w:hAnsi="Times New Roman" w:cs="Times New Roman"/>
          <w:szCs w:val="32"/>
        </w:rPr>
      </w:pPr>
    </w:p>
    <w:p w14:paraId="5FF71BBC">
      <w:pPr>
        <w:snapToGrid w:val="0"/>
        <w:spacing w:line="560" w:lineRule="exact"/>
        <w:ind w:firstLine="0" w:firstLineChars="0"/>
        <w:jc w:val="center"/>
        <w:outlineLvl w:val="9"/>
        <w:rPr>
          <w:rFonts w:hint="default" w:ascii="Times New Roman" w:hAnsi="Times New Roman" w:cs="Times New Roman"/>
          <w:b/>
          <w:bCs/>
          <w:szCs w:val="32"/>
        </w:rPr>
      </w:pPr>
      <w:bookmarkStart w:id="6" w:name="_Toc26324"/>
      <w:bookmarkStart w:id="7" w:name="_Toc32197"/>
      <w:bookmarkStart w:id="8" w:name="_Toc11461"/>
    </w:p>
    <w:p w14:paraId="107F565F">
      <w:pPr>
        <w:snapToGrid w:val="0"/>
        <w:spacing w:line="560" w:lineRule="exact"/>
        <w:ind w:firstLine="0" w:firstLineChars="0"/>
        <w:jc w:val="both"/>
        <w:outlineLvl w:val="9"/>
        <w:rPr>
          <w:rFonts w:hint="default" w:ascii="Times New Roman" w:hAnsi="Times New Roman" w:cs="Times New Roman"/>
          <w:b/>
          <w:bCs/>
          <w:szCs w:val="32"/>
        </w:rPr>
      </w:pPr>
    </w:p>
    <w:p w14:paraId="0116CEA6">
      <w:pPr>
        <w:snapToGrid w:val="0"/>
        <w:spacing w:line="560" w:lineRule="exact"/>
        <w:ind w:firstLine="0" w:firstLineChars="0"/>
        <w:jc w:val="center"/>
        <w:outlineLvl w:val="9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bookmarkStart w:id="9" w:name="_Toc28434"/>
      <w:bookmarkStart w:id="10" w:name="_Toc23734"/>
      <w:bookmarkStart w:id="11" w:name="_Toc26156"/>
    </w:p>
    <w:p w14:paraId="6A26F9C5">
      <w:pPr>
        <w:bidi w:val="0"/>
        <w:ind w:left="0" w:leftChars="0" w:right="0" w:rightChars="0" w:firstLine="0" w:firstLineChars="0"/>
        <w:jc w:val="center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12" w:name="_Toc20718"/>
      <w:bookmarkStart w:id="13" w:name="_Toc1235575134"/>
      <w:bookmarkStart w:id="14" w:name="_Toc248336577"/>
      <w:bookmarkStart w:id="15" w:name="_Toc1079658906"/>
      <w:bookmarkStart w:id="16" w:name="_Toc8621"/>
      <w:r>
        <w:rPr>
          <w:rFonts w:hint="default" w:ascii="Times New Roman" w:hAnsi="Times New Roman" w:eastAsia="方正仿宋_GBK" w:cs="Times New Roman"/>
          <w:sz w:val="32"/>
          <w:szCs w:val="32"/>
        </w:rPr>
        <w:t>重庆市荣昌区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安全生产委员会</w:t>
      </w:r>
      <w:bookmarkEnd w:id="16"/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办公室</w:t>
      </w:r>
    </w:p>
    <w:p w14:paraId="2AC56985">
      <w:pPr>
        <w:bidi w:val="0"/>
        <w:ind w:left="0" w:leftChars="0" w:right="0" w:rightChars="0" w:firstLine="0" w:firstLineChars="0"/>
        <w:jc w:val="center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17" w:name="_Toc13183"/>
      <w:bookmarkStart w:id="18" w:name="_Toc11489"/>
      <w:r>
        <w:rPr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  <w:bookmarkEnd w:id="17"/>
      <w:bookmarkEnd w:id="18"/>
    </w:p>
    <w:p w14:paraId="12777863">
      <w:pPr>
        <w:keepNext w:val="0"/>
        <w:keepLines w:val="0"/>
        <w:pageBreakBefore w:val="0"/>
        <w:widowControl w:val="0"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sectPr>
          <w:pgSz w:w="11905" w:h="16838"/>
          <w:pgMar w:top="2098" w:right="1474" w:bottom="1984" w:left="1587" w:header="850" w:footer="1134" w:gutter="0"/>
          <w:pgNumType w:fmt="numberInDash" w:start="1"/>
          <w:cols w:space="0" w:num="1"/>
          <w:titlePg/>
          <w:rtlGutter w:val="0"/>
          <w:docGrid w:type="lines" w:linePitch="584" w:charSpace="0"/>
        </w:sectPr>
      </w:pPr>
      <w:bookmarkStart w:id="19" w:name="_Toc31833"/>
    </w:p>
    <w:p w14:paraId="04442C2F">
      <w:pPr>
        <w:pStyle w:val="19"/>
        <w:rPr>
          <w:rFonts w:hint="default" w:ascii="Times New Roman" w:hAnsi="Times New Roman" w:cs="Times New Roman"/>
          <w:lang w:val="en-US" w:eastAsia="zh-CN"/>
        </w:rPr>
      </w:pPr>
    </w:p>
    <w:p w14:paraId="2D111DF7">
      <w:pPr>
        <w:pStyle w:val="11"/>
        <w:tabs>
          <w:tab w:val="right" w:leader="dot" w:pos="8843"/>
        </w:tabs>
        <w:jc w:val="center"/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44"/>
          <w:szCs w:val="44"/>
          <w:lang w:val="en-US" w:eastAsia="zh-CN"/>
        </w:rPr>
        <w:t>目  录</w:t>
      </w:r>
    </w:p>
    <w:p w14:paraId="10FBC8E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56ACDDEC"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TOC \o "1-3" \h \u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_Toc896835672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一、事故基本情况</w:t>
      </w:r>
      <w:r>
        <w:tab/>
      </w:r>
      <w:r>
        <w:fldChar w:fldCharType="begin"/>
      </w:r>
      <w:r>
        <w:instrText xml:space="preserve"> PAGEREF _Toc896835672 </w:instrText>
      </w:r>
      <w:r>
        <w:fldChar w:fldCharType="separate"/>
      </w:r>
      <w:r>
        <w:t>- 2 -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754CFC1F"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_Toc216546688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二、评估工作组织及开展情况</w:t>
      </w:r>
      <w:r>
        <w:tab/>
      </w:r>
      <w:r>
        <w:fldChar w:fldCharType="begin"/>
      </w:r>
      <w:r>
        <w:instrText xml:space="preserve"> PAGEREF _Toc216546688 </w:instrText>
      </w:r>
      <w:r>
        <w:fldChar w:fldCharType="separate"/>
      </w:r>
      <w:r>
        <w:t>- 2 -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5CD3189B"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_Toc574343350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三、事故责任追究落实情况</w:t>
      </w:r>
      <w:r>
        <w:tab/>
      </w:r>
      <w:r>
        <w:fldChar w:fldCharType="begin"/>
      </w:r>
      <w:r>
        <w:instrText xml:space="preserve"> PAGEREF _Toc574343350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4301D5F5"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_Toc472306844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（一）</w:t>
      </w:r>
      <w:r>
        <w:rPr>
          <w:rFonts w:hint="default" w:ascii="Times New Roman" w:hAnsi="Times New Roman" w:eastAsia="方正楷体_GBK" w:cs="Times New Roman"/>
          <w:szCs w:val="32"/>
        </w:rPr>
        <w:t>事故责任</w:t>
      </w:r>
      <w:r>
        <w:rPr>
          <w:rFonts w:hint="eastAsia" w:eastAsia="方正楷体_GBK" w:cs="Times New Roman"/>
          <w:szCs w:val="32"/>
          <w:lang w:eastAsia="zh-CN"/>
        </w:rPr>
        <w:t>单位</w:t>
      </w:r>
      <w:r>
        <w:rPr>
          <w:rFonts w:hint="default" w:ascii="Times New Roman" w:hAnsi="Times New Roman" w:eastAsia="方正楷体_GBK" w:cs="Times New Roman"/>
          <w:szCs w:val="32"/>
        </w:rPr>
        <w:t>责任追究落实情况</w:t>
      </w:r>
      <w:r>
        <w:tab/>
      </w:r>
      <w:r>
        <w:fldChar w:fldCharType="begin"/>
      </w:r>
      <w:r>
        <w:instrText xml:space="preserve"> PAGEREF _Toc472306844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6736DDBC"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_Toc1377058201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eastAsia" w:ascii="Times New Roman" w:hAnsi="Times New Roman" w:eastAsia="方正楷体_GBK" w:cs="Times New Roman"/>
          <w:szCs w:val="32"/>
        </w:rPr>
        <w:t>（二）</w:t>
      </w:r>
      <w:r>
        <w:rPr>
          <w:rFonts w:hint="default" w:ascii="Times New Roman" w:hAnsi="Times New Roman" w:eastAsia="方正楷体_GBK" w:cs="Times New Roman"/>
          <w:szCs w:val="32"/>
        </w:rPr>
        <w:t>事故责任</w:t>
      </w:r>
      <w:r>
        <w:rPr>
          <w:rFonts w:hint="eastAsia" w:eastAsia="方正楷体_GBK" w:cs="Times New Roman"/>
          <w:szCs w:val="32"/>
          <w:lang w:eastAsia="zh-CN"/>
        </w:rPr>
        <w:t>人</w:t>
      </w:r>
      <w:r>
        <w:rPr>
          <w:rFonts w:hint="default" w:ascii="Times New Roman" w:hAnsi="Times New Roman" w:eastAsia="方正楷体_GBK" w:cs="Times New Roman"/>
          <w:szCs w:val="32"/>
        </w:rPr>
        <w:t>责任追究落实情况</w:t>
      </w:r>
      <w:r>
        <w:tab/>
      </w:r>
      <w:r>
        <w:fldChar w:fldCharType="begin"/>
      </w:r>
      <w:r>
        <w:instrText xml:space="preserve"> PAGEREF _Toc1377058201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7103DC15"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_Toc898788650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楷体_GBK" w:cs="Times New Roman"/>
          <w:szCs w:val="32"/>
          <w:lang w:val="en-US" w:eastAsia="zh-CN"/>
        </w:rPr>
        <w:t>（</w:t>
      </w:r>
      <w:r>
        <w:rPr>
          <w:rFonts w:hint="eastAsia" w:eastAsia="方正楷体_GBK" w:cs="Times New Roman"/>
          <w:szCs w:val="32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szCs w:val="32"/>
          <w:lang w:val="en-US" w:eastAsia="zh-CN"/>
        </w:rPr>
        <w:t>）事故监管单位责任追究落实情况</w:t>
      </w:r>
      <w:r>
        <w:tab/>
      </w:r>
      <w:r>
        <w:fldChar w:fldCharType="begin"/>
      </w:r>
      <w:r>
        <w:instrText xml:space="preserve"> PAGEREF _Toc898788650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40991316"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_Toc1346297471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四、事故防范和整改措施落实情况</w:t>
      </w:r>
      <w:r>
        <w:tab/>
      </w:r>
      <w:r>
        <w:fldChar w:fldCharType="begin"/>
      </w:r>
      <w:r>
        <w:instrText xml:space="preserve"> PAGEREF _Toc1346297471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11E24E4E"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_Toc248465723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（一）</w:t>
      </w:r>
      <w:r>
        <w:rPr>
          <w:rFonts w:hint="eastAsia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重庆市启翔运输有限公司</w:t>
      </w:r>
      <w:r>
        <w:tab/>
      </w:r>
      <w:r>
        <w:fldChar w:fldCharType="begin"/>
      </w:r>
      <w:r>
        <w:instrText xml:space="preserve"> PAGEREF _Toc248465723 </w:instrText>
      </w:r>
      <w:r>
        <w:fldChar w:fldCharType="separate"/>
      </w:r>
      <w:r>
        <w:t>- 3 -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6BF8FBC9"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_Toc1826625357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eastAsia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（二）重庆市荣昌区</w:t>
      </w:r>
      <w:r>
        <w:rPr>
          <w:rFonts w:hint="eastAsia" w:eastAsia="方正楷体_GBK" w:cs="Times New Roman"/>
          <w:bCs/>
          <w:kern w:val="2"/>
          <w:szCs w:val="32"/>
          <w:lang w:val="en-US" w:eastAsia="zh-CN" w:bidi="ar-SA"/>
        </w:rPr>
        <w:t>交通运输</w:t>
      </w:r>
      <w:r>
        <w:rPr>
          <w:rFonts w:hint="eastAsia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委员会</w:t>
      </w:r>
      <w:r>
        <w:tab/>
      </w:r>
      <w:r>
        <w:fldChar w:fldCharType="begin"/>
      </w:r>
      <w:r>
        <w:instrText xml:space="preserve"> PAGEREF _Toc1826625357 </w:instrText>
      </w:r>
      <w:r>
        <w:fldChar w:fldCharType="separate"/>
      </w:r>
      <w:r>
        <w:t>- 5 -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5BA28D60">
      <w:pPr>
        <w:pStyle w:val="12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_Toc629502731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eastAsia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（三）</w:t>
      </w:r>
      <w:r>
        <w:rPr>
          <w:rFonts w:hint="default" w:ascii="Times New Roman" w:hAnsi="Times New Roman" w:eastAsia="方正楷体_GBK" w:cs="Times New Roman"/>
          <w:bCs/>
          <w:kern w:val="2"/>
          <w:szCs w:val="32"/>
          <w:lang w:val="en-US" w:eastAsia="zh-CN" w:bidi="ar-SA"/>
        </w:rPr>
        <w:t>重庆市荣昌区</w:t>
      </w:r>
      <w:r>
        <w:rPr>
          <w:rFonts w:hint="eastAsia" w:eastAsia="方正楷体_GBK" w:cs="Times New Roman"/>
          <w:bCs/>
          <w:kern w:val="2"/>
          <w:szCs w:val="32"/>
          <w:lang w:val="en-US" w:eastAsia="zh-CN" w:bidi="ar-SA"/>
        </w:rPr>
        <w:t>公安局</w:t>
      </w:r>
      <w:r>
        <w:tab/>
      </w:r>
      <w:r>
        <w:fldChar w:fldCharType="begin"/>
      </w:r>
      <w:r>
        <w:instrText xml:space="preserve"> PAGEREF _Toc629502731 </w:instrText>
      </w:r>
      <w:r>
        <w:fldChar w:fldCharType="separate"/>
      </w:r>
      <w:r>
        <w:t>- 7 -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5AD08D10">
      <w:pPr>
        <w:pStyle w:val="11"/>
        <w:tabs>
          <w:tab w:val="right" w:leader="dot" w:pos="8844"/>
        </w:tabs>
      </w:pPr>
      <w:r>
        <w:rPr>
          <w:rFonts w:hint="default" w:ascii="Times New Roman" w:hAnsi="Times New Roman" w:cs="Times New Roman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lang w:val="en-US" w:eastAsia="zh-CN"/>
        </w:rPr>
        <w:instrText xml:space="preserve"> HYPERLINK \l _Toc1613855782 </w:instrText>
      </w:r>
      <w:r>
        <w:rPr>
          <w:rFonts w:hint="default" w:ascii="Times New Roman" w:hAnsi="Times New Roman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方正黑体_GBK" w:cs="Times New Roman"/>
          <w:bCs w:val="0"/>
          <w:kern w:val="2"/>
          <w:szCs w:val="32"/>
          <w:lang w:val="en-US" w:eastAsia="zh-CN" w:bidi="ar-SA"/>
        </w:rPr>
        <w:t>五、评估意见</w:t>
      </w:r>
      <w:r>
        <w:tab/>
      </w:r>
      <w:r>
        <w:fldChar w:fldCharType="begin"/>
      </w:r>
      <w:r>
        <w:instrText xml:space="preserve"> PAGEREF _Toc1613855782 </w:instrText>
      </w:r>
      <w:r>
        <w:fldChar w:fldCharType="separate"/>
      </w:r>
      <w:r>
        <w:t>- 9 -</w:t>
      </w:r>
      <w:r>
        <w:fldChar w:fldCharType="end"/>
      </w: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732ABE3B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fldChar w:fldCharType="end"/>
      </w:r>
    </w:p>
    <w:p w14:paraId="6594D38C">
      <w:pPr>
        <w:rPr>
          <w:rFonts w:hint="default" w:ascii="Times New Roman" w:hAnsi="Times New Roman" w:cs="Times New Roman"/>
          <w:lang w:val="en-US" w:eastAsia="zh-CN"/>
        </w:rPr>
      </w:pPr>
    </w:p>
    <w:p w14:paraId="75EE51A1">
      <w:pPr>
        <w:pStyle w:val="19"/>
        <w:rPr>
          <w:rFonts w:hint="default" w:ascii="Times New Roman" w:hAnsi="Times New Roman" w:cs="Times New Roman"/>
          <w:lang w:val="en-US" w:eastAsia="zh-CN"/>
        </w:rPr>
      </w:pPr>
    </w:p>
    <w:p w14:paraId="1D255574">
      <w:pPr>
        <w:rPr>
          <w:rFonts w:hint="default" w:ascii="Times New Roman" w:hAnsi="Times New Roman" w:cs="Times New Roman"/>
          <w:lang w:val="en-US" w:eastAsia="zh-CN"/>
        </w:rPr>
      </w:pPr>
    </w:p>
    <w:p w14:paraId="7BC109A2">
      <w:pPr>
        <w:pStyle w:val="19"/>
        <w:rPr>
          <w:rFonts w:hint="default" w:ascii="Times New Roman" w:hAnsi="Times New Roman" w:cs="Times New Roman"/>
          <w:lang w:val="en-US" w:eastAsia="zh-CN"/>
        </w:rPr>
      </w:pPr>
    </w:p>
    <w:p w14:paraId="0549CD42">
      <w:pPr>
        <w:rPr>
          <w:rFonts w:hint="default" w:ascii="Times New Roman" w:hAnsi="Times New Roman" w:cs="Times New Roman"/>
          <w:lang w:val="en-US" w:eastAsia="zh-CN"/>
        </w:rPr>
      </w:pPr>
    </w:p>
    <w:p w14:paraId="7FF22BD9">
      <w:pPr>
        <w:pStyle w:val="19"/>
        <w:rPr>
          <w:rFonts w:hint="default" w:ascii="Times New Roman" w:hAnsi="Times New Roman" w:cs="Times New Roman"/>
          <w:lang w:val="en-US" w:eastAsia="zh-CN"/>
        </w:rPr>
      </w:pPr>
    </w:p>
    <w:p w14:paraId="2A9EB94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依据《国务院安委会办公室关于印发〈生产安全事故防范和整改措施落实情况评估办法〉的通知》（安委办〔2021〕4号）和《重庆市安全生产委员会办公室关于印发〈重庆市生产安全事故防范和整改措施落实情况评估暂行办法〉的通知》（渝安办〔2024〕56号）有关规定，重庆市荣昌区安全生产委员会办公室（以下简称“荣昌区安委办”）牵头成立由区应急管理局等部门组成的评估工作小组，对《</w:t>
      </w:r>
      <w:r>
        <w:rPr>
          <w:rFonts w:hint="eastAsia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荣昌广顺“</w:t>
      </w: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10</w:t>
      </w:r>
      <w:r>
        <w:rPr>
          <w:rFonts w:hint="eastAsia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·</w:t>
      </w: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22</w:t>
      </w:r>
      <w:r>
        <w:rPr>
          <w:rFonts w:hint="eastAsia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”一般道路交通事</w:t>
      </w: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故调查报告》（以下简称《事故调查报告》）中提出的责任追究、防范措施与整改建议落实情况进行了全面评估，形成报告如下：</w:t>
      </w:r>
    </w:p>
    <w:p w14:paraId="15E72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0" w:name="_Toc896835672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一、事故基本情况</w:t>
      </w:r>
      <w:bookmarkEnd w:id="19"/>
      <w:bookmarkEnd w:id="20"/>
    </w:p>
    <w:p w14:paraId="4F5C5B5F">
      <w:pPr>
        <w:pStyle w:val="1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560" w:lineRule="exact"/>
        <w:ind w:left="0" w:firstLine="64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2024年10月22日，重庆市启翔运输有限公司驾驶员龙某某驾驶渝DP1***重型半挂牵引车牵引渝D0K93挂重型平板自卸半挂车，沿荣昌区广双路由广顺街道方向往双河街道方向行驶，行至广双路3KM+900M处时发生一起一般道路交通事故，造成一人死亡，一人受伤，直接经济损79.8万元。</w:t>
      </w:r>
    </w:p>
    <w:p w14:paraId="79A3F76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事故发生后，荣昌区人民政府依法成立事故调查组开展调查，形成《事故调查报告》，202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3月25日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经区政府批复后公布实施。</w:t>
      </w:r>
    </w:p>
    <w:p w14:paraId="719D20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1" w:name="_Toc2952"/>
      <w:bookmarkStart w:id="22" w:name="_Toc216546688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二、评估工作组织及开展情况</w:t>
      </w:r>
      <w:bookmarkEnd w:id="21"/>
      <w:bookmarkEnd w:id="22"/>
    </w:p>
    <w:p w14:paraId="22A1E8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bookmarkStart w:id="23" w:name="_Toc1054"/>
      <w:bookmarkStart w:id="24" w:name="_Toc12982"/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根据事故调查报告，评估工作小组采取查阅事故原始档案、审阅相关文件资料、实地考察以及听取汇报等多种方式，对事故责任究落实情况、事故防范和整改</w:t>
      </w:r>
      <w:bookmarkStart w:id="42" w:name="_GoBack"/>
      <w:bookmarkEnd w:id="42"/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措施落实情况进行了综合评估。</w:t>
      </w:r>
      <w:bookmarkEnd w:id="23"/>
    </w:p>
    <w:p w14:paraId="204C76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5" w:name="_Toc574343350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三、事故责任追究落实情况</w:t>
      </w:r>
      <w:bookmarkEnd w:id="24"/>
      <w:bookmarkEnd w:id="25"/>
    </w:p>
    <w:p w14:paraId="62C6D0BA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</w:pPr>
      <w:bookmarkStart w:id="26" w:name="_Toc472306844"/>
      <w:bookmarkStart w:id="27" w:name="_Toc18726"/>
      <w:r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（一）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事故责任</w:t>
      </w:r>
      <w:r>
        <w:rPr>
          <w:rFonts w:hint="eastAsia" w:eastAsia="方正楷体_GBK" w:cs="Times New Roman"/>
          <w:sz w:val="32"/>
          <w:szCs w:val="32"/>
          <w:lang w:eastAsia="zh-CN"/>
        </w:rPr>
        <w:t>单位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责任追究落实情况</w:t>
      </w:r>
      <w:bookmarkEnd w:id="26"/>
      <w:bookmarkEnd w:id="27"/>
    </w:p>
    <w:p w14:paraId="6670C74E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20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26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日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重庆市荣昌区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交通运输委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/>
        </w:rPr>
        <w:t>依据《超限运输车辆行驶公路管理规定》有关规定，给予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重庆市启翔运输有限公司</w:t>
      </w:r>
      <w:r>
        <w:rPr>
          <w:rFonts w:hint="default" w:ascii="Times New Roman" w:hAnsi="Times New Roman" w:eastAsia="方正仿宋_GBK" w:cs="Times New Roman"/>
          <w:kern w:val="44"/>
          <w:sz w:val="32"/>
          <w:szCs w:val="32"/>
          <w:lang w:val="en-US" w:eastAsia="zh-CN" w:bidi="ar-SA"/>
        </w:rPr>
        <w:t>作出责令立即改正</w:t>
      </w:r>
      <w:r>
        <w:rPr>
          <w:rFonts w:hint="eastAsia" w:eastAsia="方正仿宋_GBK" w:cs="Times New Roman"/>
          <w:kern w:val="44"/>
          <w:sz w:val="32"/>
          <w:szCs w:val="32"/>
          <w:lang w:val="en-US" w:eastAsia="zh-CN" w:bidi="ar-SA"/>
        </w:rPr>
        <w:t>并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/>
        </w:rPr>
        <w:t>罚款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/>
        </w:rPr>
        <w:t>1000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/>
        </w:rPr>
        <w:t>元的行政处罚。</w:t>
      </w:r>
    </w:p>
    <w:p w14:paraId="5D4218AA">
      <w:pPr>
        <w:pStyle w:val="1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sz w:val="32"/>
          <w:szCs w:val="32"/>
        </w:rPr>
      </w:pPr>
      <w:bookmarkStart w:id="28" w:name="_Toc1377058201"/>
      <w:r>
        <w:rPr>
          <w:rFonts w:hint="default" w:ascii="Times New Roman" w:hAnsi="Times New Roman" w:eastAsia="方正楷体_GBK" w:cs="Times New Roman"/>
          <w:sz w:val="32"/>
          <w:szCs w:val="32"/>
        </w:rPr>
        <w:t>事故责任</w:t>
      </w:r>
      <w:r>
        <w:rPr>
          <w:rFonts w:hint="eastAsia" w:eastAsia="方正楷体_GBK" w:cs="Times New Roman"/>
          <w:sz w:val="32"/>
          <w:szCs w:val="32"/>
          <w:lang w:eastAsia="zh-CN"/>
        </w:rPr>
        <w:t>人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责任追究落实情况</w:t>
      </w:r>
      <w:bookmarkEnd w:id="28"/>
    </w:p>
    <w:p w14:paraId="0F7A3EDF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20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8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日，重庆市荣昌区公安局交通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管理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支队依据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《中华人民共和国道路交通安全法》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的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有关规定，给予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龙某某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作出罚款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400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元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并吊销驾驶证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的行政处罚。  </w:t>
      </w:r>
    </w:p>
    <w:p w14:paraId="729C5E82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bookmarkStart w:id="29" w:name="_Toc859"/>
      <w:bookmarkStart w:id="30" w:name="_Toc898788650"/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</w:t>
      </w:r>
      <w:r>
        <w:rPr>
          <w:rFonts w:hint="eastAsia" w:eastAsia="方正楷体_GBK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）事故监管单位责任追究落实情况</w:t>
      </w:r>
      <w:bookmarkEnd w:id="29"/>
      <w:bookmarkEnd w:id="30"/>
    </w:p>
    <w:p w14:paraId="0DC1A486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202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6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年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1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月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6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u w:val="none"/>
          <w:lang w:val="en-US" w:eastAsia="zh-CN" w:bidi="ar-SA"/>
        </w:rPr>
        <w:t>日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，按照《重庆市荣昌区安全生产提醒、交办、督办、通报批评、警示约谈实施办法》（荣昌府办发〔2023〕34号）的相关规定，重庆市荣昌区人民政府分管安全生产的副区长对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区公安局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主要负责人集中开展了安全生产警示约谈，要求吸取事故教训，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严格落实道路交通安全监督管理， 严肃查处路边违法停车等交通违法行为</w:t>
      </w: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。</w:t>
      </w:r>
    </w:p>
    <w:p w14:paraId="12488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bookmarkStart w:id="31" w:name="_Toc1346297471"/>
      <w:bookmarkStart w:id="32" w:name="_Toc14306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四、事故防范和整改措施落实情况</w:t>
      </w:r>
      <w:bookmarkEnd w:id="31"/>
      <w:bookmarkEnd w:id="32"/>
    </w:p>
    <w:p w14:paraId="2B9E4E5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</w:pPr>
      <w:bookmarkStart w:id="33" w:name="_Toc7626"/>
      <w:bookmarkStart w:id="34" w:name="_Toc248465723"/>
      <w:r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（一）</w:t>
      </w:r>
      <w:bookmarkEnd w:id="33"/>
      <w:r>
        <w:rPr>
          <w:rFonts w:hint="eastAsia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重庆市启翔运输有限</w:t>
      </w:r>
      <w:bookmarkEnd w:id="34"/>
      <w:r>
        <w:rPr>
          <w:rFonts w:hint="eastAsia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公司</w:t>
      </w:r>
    </w:p>
    <w:p w14:paraId="693ABD1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一是强化安全生产教育和培训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：2025年3月31日和4月3日，召集驾驶员及管理人员开会学习《重庆市荣昌区人民政府关于荣昌广顺“10·22”一般道路交通事故调查处理结案的批复》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。二是完善安全生产管理机制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：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建立完善了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车辆动态监控管理制度，任命专职监控员开展车辆动态监控管理工作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。三是</w:t>
      </w:r>
      <w:bookmarkStart w:id="35" w:name="OLE_LINK11"/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开展道路运输安全隐患大排查大整治安全检查：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定期开展了“日周月”</w:t>
      </w:r>
      <w:bookmarkEnd w:id="35"/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安全隐患排查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70余次，发现一般安全生产隐患18条，给予公司“三违人员”处罚10人次，罚款总金额4300元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。四是按照公司《安全管理办法》相关规定对事故驾驶员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龙某某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进行辞退处理，分别对安全负责人和监控负责人处以500元罚款。五是于2025年4月对涉事车辆进行报废处理；将同类车型（车体高度为150mm-160mm）运载的集装箱更换为高度2591mm（TBJU/016811-22G1标准）的箱体，确保车和箱的整体高度在4.2米以内。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（详见图一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、图二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）</w:t>
      </w:r>
    </w:p>
    <w:p w14:paraId="5280734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297815</wp:posOffset>
            </wp:positionV>
            <wp:extent cx="5643880" cy="3173095"/>
            <wp:effectExtent l="0" t="0" r="13970" b="8255"/>
            <wp:wrapNone/>
            <wp:docPr id="2" name="图片 2" descr="开展评估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开展评估照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664BE"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0E204E73">
      <w:pPr>
        <w:pStyle w:val="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562266AA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30A0238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4D76EFDD"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1FA98897">
      <w:pPr>
        <w:pStyle w:val="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3775C4A7"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/>
          <w:lang w:val="en-US" w:eastAsia="zh-CN"/>
        </w:rPr>
      </w:pPr>
    </w:p>
    <w:p w14:paraId="7122EC81">
      <w:pPr>
        <w:pStyle w:val="7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</w:p>
    <w:p w14:paraId="76C34295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图一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 xml:space="preserve"> 事故整改防范佐证资料1</w:t>
      </w:r>
    </w:p>
    <w:p w14:paraId="77BE9F5C">
      <w:pPr>
        <w:pStyle w:val="2"/>
        <w:rPr>
          <w:rFonts w:hint="default"/>
          <w:lang w:val="en-US" w:eastAsia="zh-CN"/>
        </w:rPr>
      </w:pPr>
    </w:p>
    <w:p w14:paraId="03F072F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both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170180</wp:posOffset>
            </wp:positionV>
            <wp:extent cx="5612130" cy="3155315"/>
            <wp:effectExtent l="0" t="0" r="7620" b="6985"/>
            <wp:wrapNone/>
            <wp:docPr id="3" name="图片 3" descr="开展评估照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开展评估照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AC077"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 w14:paraId="20A76AA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 w14:paraId="61C0D746"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 w14:paraId="6469E490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 w14:paraId="06C6F4CB"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 w14:paraId="7C76F184"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default"/>
          <w:lang w:val="en-US" w:eastAsia="zh-CN"/>
        </w:rPr>
      </w:pPr>
    </w:p>
    <w:p w14:paraId="0A163661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图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二 事故整改防范佐证资料2</w:t>
      </w:r>
    </w:p>
    <w:p w14:paraId="7C0895B9">
      <w:pPr>
        <w:pStyle w:val="15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</w:pPr>
      <w:bookmarkStart w:id="36" w:name="_Toc1826625357"/>
      <w:r>
        <w:rPr>
          <w:rFonts w:hint="eastAsia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重庆市荣昌区</w:t>
      </w:r>
      <w:r>
        <w:rPr>
          <w:rFonts w:hint="eastAsia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交通运输</w:t>
      </w:r>
      <w:r>
        <w:rPr>
          <w:rFonts w:hint="eastAsia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委员会</w:t>
      </w:r>
      <w:bookmarkEnd w:id="36"/>
    </w:p>
    <w:p w14:paraId="71E048DD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bookmarkStart w:id="37" w:name="OLE_LINK7"/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一是区交通运输委领导及时上门约谈启翔公司相关负责人；区交通运输综合执法支队针对事故暴露问题，对企业处以1000元罚款，并责令限期整改；区运输服务中心及时约谈企业，并将</w:t>
      </w:r>
    </w:p>
    <w:p w14:paraId="39F74C60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指导。</w:t>
      </w:r>
    </w:p>
    <w:p w14:paraId="4687D79D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二是区交通运输委在委安委会及安全例会上对近期事故进行通报，督促辖区内道路运输企业举一反三，切实落实安全生产主体责任，树牢安全发展理念，坚持人民至上、生命至上，从源头上防范化解重大安全风险。</w:t>
      </w:r>
    </w:p>
    <w:p w14:paraId="080FBF8E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三是区交通综合行政执法支队制定并实施《2025年度安全生产监督检查计划》（荣交发〔2025〕1号），严查货运车辆带病上路、超高上路等违法行为，2025年1—12月，累计检查企业92家次，发现安全隐患39项，查处违法行为27起，行政处罚3.25万元；对全区20家二类机动车维修企业开展执法检查23家次，发现隐患7项，均已督促完成整改。2025年4月23日及10月28日两次到启翔公司开展安全执法检查，先后发现一般隐患3处，均已整改完毕。</w:t>
      </w:r>
    </w:p>
    <w:p w14:paraId="203C8602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四是区运输服务中心制定并实施《2025年度交通运输行业安全运输指导计划》（荣运输中心发〔2025〕1号），加强对辖区道路运输企业指导，督促企业落实安全生产主体责任，配齐配强专职安全管理人员，严格执行日周月隐患排查治理制度，及时发现并消除事故隐患。2025年全年共指导企业83家次，发现安全隐患86项，均督促完成整改；依法清退年审超期重型营运货车270余辆。并将重庆启翔运输公司列为年度重点指导对象，由领导带队开展专项督导，紧密结合汛期、节前等重点时段，聚焦其存在的超速违章未处理、2G车辆动态监控终端未及时换装等重大安全隐患，实施精准、持续的强化指导，有力推动了企业主体责任的落实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（详见图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三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）</w:t>
      </w:r>
      <w:bookmarkEnd w:id="37"/>
    </w:p>
    <w:p w14:paraId="0B630987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0753085C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6337FDC9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3D3A6F56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4605E361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116D161E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4DC833AA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7918FDA6"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87630</wp:posOffset>
            </wp:positionV>
            <wp:extent cx="5579110" cy="3146425"/>
            <wp:effectExtent l="0" t="0" r="2540" b="15875"/>
            <wp:wrapNone/>
            <wp:docPr id="4" name="图片 4" descr="57c02e88ff43ce1bb25888038b31b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c02e88ff43ce1bb25888038b31bd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BA196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 w14:paraId="6F1A52F0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 w14:paraId="1EC37E9B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 w14:paraId="15508421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 w14:paraId="5ED0FD1B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 w14:paraId="161928C8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 w14:paraId="2084E51F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 w14:paraId="3221188E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</w:p>
    <w:p w14:paraId="62285766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图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三 事故整改防范佐证资料3</w:t>
      </w:r>
    </w:p>
    <w:p w14:paraId="35506FD1">
      <w:pPr>
        <w:pStyle w:val="15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outlineLvl w:val="1"/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</w:pPr>
      <w:bookmarkStart w:id="38" w:name="_Toc11272"/>
      <w:bookmarkStart w:id="39" w:name="_Toc629502731"/>
      <w:r>
        <w:rPr>
          <w:rFonts w:hint="default" w:ascii="Times New Roman" w:hAnsi="Times New Roman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重庆市荣昌区</w:t>
      </w:r>
      <w:bookmarkEnd w:id="38"/>
      <w:r>
        <w:rPr>
          <w:rFonts w:hint="eastAsia" w:eastAsia="方正楷体_GBK" w:cs="Times New Roman"/>
          <w:b w:val="0"/>
          <w:bCs/>
          <w:kern w:val="2"/>
          <w:sz w:val="32"/>
          <w:szCs w:val="32"/>
          <w:lang w:val="en-US" w:eastAsia="zh-CN" w:bidi="ar-SA"/>
        </w:rPr>
        <w:t>公安局</w:t>
      </w:r>
      <w:bookmarkEnd w:id="39"/>
    </w:p>
    <w:p w14:paraId="1CC400E5"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一是强化宣传引导，提升安全意识。 扎实开展形式多样的道路交通安全宣传教育活动，自2025年1月至今，累计深入学校、社区开展主题宣传92次，面向群众广泛发放宣传海报、折页等各类宣传资料1万余份，有效营造了浓厚的交通安全氛围。</w:t>
      </w:r>
    </w:p>
    <w:p w14:paraId="4042B8ED"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二是聚焦专项整治，消除安全隐患。 全力推进“防范重特大交通事故十条措施”、“交安七号集中执法行动”、“百日行动”等系列专项整治工作，针对突出风险隐患精准发力，期间共下发隐患整改通知书10份，督促相关单位及时整改，从源头上筑牢事故预防屏障。</w:t>
      </w:r>
    </w:p>
    <w:p w14:paraId="24757E0C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20"/>
          <w:lang w:val="en-US" w:eastAsia="zh-CN" w:bidi="ar-SA"/>
        </w:rPr>
        <w:t>三是严查交通违法，规范通行秩序。 坚持路面巡逻与设卡检查相结合，持续保持严管高压态势。2025年1月至今，共查处辖区道路交通违法行为约15万余起。其中，查处货车违法行为1.5万余件次，依法给予行政处罚90余万元、警告500余次；查处摩托车、电动自行车违法行为8000余件次，给予警告900余次，有力震慑了各类交通违法行为，确保了辖区道路通行秩序平稳有序。</w:t>
      </w:r>
    </w:p>
    <w:p w14:paraId="62D2E115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outlineLvl w:val="0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bookmarkStart w:id="40" w:name="_Toc14787"/>
      <w:bookmarkStart w:id="41" w:name="_Toc1613855782"/>
      <w:r>
        <w:rPr>
          <w:rFonts w:hint="default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五、评估意见</w:t>
      </w:r>
      <w:bookmarkEnd w:id="40"/>
      <w:bookmarkEnd w:id="41"/>
    </w:p>
    <w:p w14:paraId="76178B28"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cs="Times New Roman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评估工作小组经综合评估后一致认为，各单位按照区政府批复意见，对有关责任单位及责任人员作出相应处理；有关责任单位及责任人员吸取事故教训，基本落实了事故调查报告提出的事故防范整改措施。</w:t>
      </w:r>
    </w:p>
    <w:p w14:paraId="539FCBCE">
      <w:pPr>
        <w:kinsoku w:val="0"/>
        <w:spacing w:line="560" w:lineRule="exact"/>
        <w:ind w:firstLine="3520" w:firstLineChars="1100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4D7E0231">
      <w:pPr>
        <w:kinsoku w:val="0"/>
        <w:spacing w:line="560" w:lineRule="exact"/>
        <w:ind w:firstLine="3520" w:firstLineChars="1100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 w14:paraId="65442EBD">
      <w:pPr>
        <w:spacing w:line="560" w:lineRule="exact"/>
        <w:rPr>
          <w:rFonts w:hint="default" w:ascii="Times New Roman" w:hAnsi="Times New Roman" w:cs="Times New Roman"/>
          <w:szCs w:val="32"/>
        </w:rPr>
      </w:pPr>
    </w:p>
    <w:p w14:paraId="4037659C">
      <w:pPr>
        <w:kinsoku w:val="0"/>
        <w:spacing w:line="560" w:lineRule="exact"/>
        <w:ind w:left="2873" w:leftChars="1368" w:firstLine="512" w:firstLineChars="200"/>
        <w:jc w:val="center"/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荣昌广顺“</w:t>
      </w:r>
      <w:r>
        <w:rPr>
          <w:rFonts w:hint="default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·</w:t>
      </w:r>
      <w:r>
        <w:rPr>
          <w:rFonts w:hint="default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22</w:t>
      </w: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”一般道路交通事</w:t>
      </w:r>
      <w:r>
        <w:rPr>
          <w:rFonts w:hint="default" w:ascii="方正仿宋_GBK" w:hAnsi="方正仿宋_GBK" w:eastAsia="方正仿宋_GBK" w:cs="方正仿宋_GBK"/>
          <w:color w:val="000000"/>
          <w:w w:val="80"/>
          <w:sz w:val="32"/>
          <w:szCs w:val="32"/>
          <w:lang w:val="en-US" w:eastAsia="zh-CN"/>
        </w:rPr>
        <w:t>故</w:t>
      </w: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</w:rPr>
        <w:t>防范和整改落实情况评估工作组</w:t>
      </w:r>
    </w:p>
    <w:p w14:paraId="46F48666">
      <w:pPr>
        <w:kinsoku w:val="0"/>
        <w:spacing w:line="560" w:lineRule="exact"/>
        <w:ind w:firstLine="3328" w:firstLineChars="1300"/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w w:val="80"/>
          <w:sz w:val="32"/>
          <w:szCs w:val="32"/>
        </w:rPr>
        <w:t xml:space="preserve">（重庆市荣昌区安全生产委员会办公室代章） </w:t>
      </w:r>
    </w:p>
    <w:p w14:paraId="7BEF97CE">
      <w:pPr>
        <w:kinsoku w:val="0"/>
        <w:spacing w:line="560" w:lineRule="exact"/>
        <w:ind w:firstLine="4800" w:firstLineChars="1500"/>
        <w:rPr>
          <w:rFonts w:hint="default" w:ascii="Times New Roman" w:hAnsi="Times New Roman" w:cs="Times New Roman"/>
          <w:lang w:val="en-U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日 </w:t>
      </w:r>
    </w:p>
    <w:sectPr>
      <w:footerReference r:id="rId3" w:type="default"/>
      <w:footerReference r:id="rId4" w:type="even"/>
      <w:pgSz w:w="11905" w:h="16838"/>
      <w:pgMar w:top="2098" w:right="1474" w:bottom="1984" w:left="1587" w:header="850" w:footer="1134" w:gutter="0"/>
      <w:pgNumType w:fmt="numberInDash" w:start="1"/>
      <w:cols w:space="0" w:num="1"/>
      <w:rtlGutter w:val="0"/>
      <w:docGrid w:type="lines" w:linePitch="58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国标宋体-超大字符集扩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国标宋体-超大字符集扩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altName w:val="Noto Sans Syriac Eastern"/>
    <w:panose1 w:val="02040503050406030204"/>
    <w:charset w:val="00"/>
    <w:family w:val="auto"/>
    <w:pitch w:val="default"/>
    <w:sig w:usb0="00000000" w:usb1="00000000" w:usb2="00000000" w:usb3="00000000" w:csb0="2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EBFBE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45FB96"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45FB96"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296E5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C01A0E"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C01A0E"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9C169D"/>
    <w:multiLevelType w:val="singleLevel"/>
    <w:tmpl w:val="669C169D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7B94442"/>
    <w:multiLevelType w:val="singleLevel"/>
    <w:tmpl w:val="77B9444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mirrorMargins w:val="1"/>
  <w:bordersDoNotSurroundHeader w:val="0"/>
  <w:bordersDoNotSurroundFooter w:val="0"/>
  <w:documentProtection w:enforcement="0"/>
  <w:defaultTabStop w:val="500"/>
  <w:evenAndOddHeaders w:val="1"/>
  <w:drawingGridHorizontalSpacing w:val="210"/>
  <w:drawingGridVerticalSpacing w:val="292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8788D"/>
    <w:rsid w:val="01A170D8"/>
    <w:rsid w:val="035C2DED"/>
    <w:rsid w:val="05DA1411"/>
    <w:rsid w:val="07997769"/>
    <w:rsid w:val="090266EE"/>
    <w:rsid w:val="09D0630A"/>
    <w:rsid w:val="0ADB3E84"/>
    <w:rsid w:val="0D7C4E8E"/>
    <w:rsid w:val="0EBB56EB"/>
    <w:rsid w:val="0F9B357B"/>
    <w:rsid w:val="0FE87F37"/>
    <w:rsid w:val="113578B4"/>
    <w:rsid w:val="13625A32"/>
    <w:rsid w:val="15E95BB5"/>
    <w:rsid w:val="1675060B"/>
    <w:rsid w:val="16D2157D"/>
    <w:rsid w:val="18090119"/>
    <w:rsid w:val="1B3F6DA6"/>
    <w:rsid w:val="1B432758"/>
    <w:rsid w:val="1B5C2351"/>
    <w:rsid w:val="1B5F79BA"/>
    <w:rsid w:val="1BBB2843"/>
    <w:rsid w:val="1E873402"/>
    <w:rsid w:val="20E34423"/>
    <w:rsid w:val="21926C95"/>
    <w:rsid w:val="2497B8F2"/>
    <w:rsid w:val="257440E8"/>
    <w:rsid w:val="25BA4262"/>
    <w:rsid w:val="2704262E"/>
    <w:rsid w:val="2732268B"/>
    <w:rsid w:val="27C01423"/>
    <w:rsid w:val="2B027FF9"/>
    <w:rsid w:val="2BB72866"/>
    <w:rsid w:val="2DC24321"/>
    <w:rsid w:val="300607B1"/>
    <w:rsid w:val="31917BAA"/>
    <w:rsid w:val="34D2140E"/>
    <w:rsid w:val="35770AD1"/>
    <w:rsid w:val="36A45690"/>
    <w:rsid w:val="36F6CBD9"/>
    <w:rsid w:val="379803E6"/>
    <w:rsid w:val="37BB4667"/>
    <w:rsid w:val="37F93F64"/>
    <w:rsid w:val="399D6A81"/>
    <w:rsid w:val="3A9C518E"/>
    <w:rsid w:val="3BBB4BB1"/>
    <w:rsid w:val="3CF7719D"/>
    <w:rsid w:val="3E3B3085"/>
    <w:rsid w:val="438E3B8D"/>
    <w:rsid w:val="43E66D55"/>
    <w:rsid w:val="445E20C7"/>
    <w:rsid w:val="48E133A1"/>
    <w:rsid w:val="4A2F19D9"/>
    <w:rsid w:val="4AD8457E"/>
    <w:rsid w:val="4BE52EB7"/>
    <w:rsid w:val="4F1B3FCB"/>
    <w:rsid w:val="4FB98F3A"/>
    <w:rsid w:val="533167C3"/>
    <w:rsid w:val="549B29E0"/>
    <w:rsid w:val="551834A3"/>
    <w:rsid w:val="56333A61"/>
    <w:rsid w:val="569D37ED"/>
    <w:rsid w:val="5A5D71D1"/>
    <w:rsid w:val="5B3D6B62"/>
    <w:rsid w:val="5BF927B3"/>
    <w:rsid w:val="5D777C34"/>
    <w:rsid w:val="5E022B6E"/>
    <w:rsid w:val="5F5C6A08"/>
    <w:rsid w:val="61807B3E"/>
    <w:rsid w:val="61B977D7"/>
    <w:rsid w:val="625953DD"/>
    <w:rsid w:val="62C54C84"/>
    <w:rsid w:val="644D7653"/>
    <w:rsid w:val="651A5577"/>
    <w:rsid w:val="66037E84"/>
    <w:rsid w:val="661B00FE"/>
    <w:rsid w:val="667118AC"/>
    <w:rsid w:val="6B53365A"/>
    <w:rsid w:val="6E066237"/>
    <w:rsid w:val="6F7B1E79"/>
    <w:rsid w:val="6F7FD321"/>
    <w:rsid w:val="74AB0875"/>
    <w:rsid w:val="75301C7B"/>
    <w:rsid w:val="771825B9"/>
    <w:rsid w:val="781F136F"/>
    <w:rsid w:val="7A1E53DE"/>
    <w:rsid w:val="7B5E079D"/>
    <w:rsid w:val="7BD5F1CB"/>
    <w:rsid w:val="7BFFF8CD"/>
    <w:rsid w:val="7DA7D512"/>
    <w:rsid w:val="7E8413EB"/>
    <w:rsid w:val="7EF793EA"/>
    <w:rsid w:val="7F3C3EC5"/>
    <w:rsid w:val="7F7B2464"/>
    <w:rsid w:val="7FAF6613"/>
    <w:rsid w:val="7FF8B819"/>
    <w:rsid w:val="7FFB3A71"/>
    <w:rsid w:val="96FBCB53"/>
    <w:rsid w:val="97DCF8D8"/>
    <w:rsid w:val="97FA09BE"/>
    <w:rsid w:val="B3EE075F"/>
    <w:rsid w:val="B6BD9DDC"/>
    <w:rsid w:val="BE643002"/>
    <w:rsid w:val="BEFB89E4"/>
    <w:rsid w:val="BFFFCC59"/>
    <w:rsid w:val="CEF579CA"/>
    <w:rsid w:val="D76F1932"/>
    <w:rsid w:val="DDDF41DD"/>
    <w:rsid w:val="DE77E81B"/>
    <w:rsid w:val="DF771C19"/>
    <w:rsid w:val="F33C6A26"/>
    <w:rsid w:val="F5BF2EDE"/>
    <w:rsid w:val="F7DB417C"/>
    <w:rsid w:val="F7FC8075"/>
    <w:rsid w:val="F85A1BA2"/>
    <w:rsid w:val="FF7B28C7"/>
    <w:rsid w:val="FF97056B"/>
    <w:rsid w:val="FFDBCC41"/>
    <w:rsid w:val="FFFBCC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name="header"/>
    <w:lsdException w:qFormat="1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0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0" w:semiHidden="0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iPriority="99" w:semiHidden="0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 w:val="0"/>
      <w:keepLines w:val="0"/>
      <w:snapToGrid w:val="0"/>
      <w:spacing w:beforeLines="0" w:beforeAutospacing="0" w:afterLines="0" w:afterAutospacing="0" w:line="720" w:lineRule="atLeas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 w:val="0"/>
      <w:keepLines w:val="0"/>
      <w:spacing w:beforeLines="0" w:beforeAutospacing="0" w:afterLines="0" w:afterAutospacing="0" w:line="240" w:lineRule="auto"/>
      <w:outlineLvl w:val="1"/>
    </w:pPr>
    <w:rPr>
      <w:rFonts w:eastAsia="方正黑体_GBK"/>
    </w:rPr>
  </w:style>
  <w:style w:type="paragraph" w:styleId="5">
    <w:name w:val="heading 3"/>
    <w:basedOn w:val="1"/>
    <w:next w:val="1"/>
    <w:link w:val="22"/>
    <w:qFormat/>
    <w:uiPriority w:val="0"/>
    <w:pPr>
      <w:keepNext w:val="0"/>
      <w:keepLines w:val="0"/>
      <w:spacing w:beforeLines="0" w:beforeAutospacing="0" w:afterLines="0" w:afterAutospacing="0" w:line="240" w:lineRule="auto"/>
      <w:outlineLvl w:val="2"/>
    </w:pPr>
    <w:rPr>
      <w:rFonts w:eastAsia="方正楷体_GBK"/>
    </w:rPr>
  </w:style>
  <w:style w:type="character" w:default="1" w:styleId="18">
    <w:name w:val="Default Paragraph Font"/>
    <w:unhideWhenUsed/>
    <w:qFormat/>
    <w:uiPriority w:val="0"/>
  </w:style>
  <w:style w:type="table" w:default="1" w:styleId="17">
    <w:name w:val="Normal Table"/>
    <w:unhideWhenUsed/>
    <w:qFormat/>
    <w:uiPriority w:val="99"/>
    <w:pPr>
      <w:widowControl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 w:beforeLines="0" w:after="200" w:afterLines="0" w:line="276" w:lineRule="auto"/>
    </w:pPr>
    <w:rPr>
      <w:rFonts w:ascii="Arial" w:hAnsi="Arial"/>
      <w:sz w:val="24"/>
      <w:szCs w:val="24"/>
    </w:rPr>
  </w:style>
  <w:style w:type="paragraph" w:styleId="6">
    <w:name w:val="Body Text"/>
    <w:basedOn w:val="1"/>
    <w:next w:val="7"/>
    <w:link w:val="21"/>
    <w:unhideWhenUsed/>
    <w:qFormat/>
    <w:uiPriority w:val="99"/>
    <w:pPr>
      <w:spacing w:after="120" w:afterLines="0" w:afterAutospacing="0"/>
    </w:pPr>
  </w:style>
  <w:style w:type="paragraph" w:styleId="7">
    <w:name w:val="toc 5"/>
    <w:basedOn w:val="1"/>
    <w:next w:val="1"/>
    <w:qFormat/>
    <w:uiPriority w:val="0"/>
    <w:pPr>
      <w:ind w:left="840"/>
      <w:jc w:val="left"/>
    </w:pPr>
    <w:rPr>
      <w:sz w:val="18"/>
      <w:szCs w:val="18"/>
    </w:rPr>
  </w:style>
  <w:style w:type="paragraph" w:styleId="8">
    <w:name w:val="Plain Text"/>
    <w:basedOn w:val="1"/>
    <w:qFormat/>
    <w:uiPriority w:val="0"/>
    <w:rPr>
      <w:rFonts w:ascii="宋体" w:hAnsi="Courier New" w:eastAsia="宋体" w:cs="Courier New"/>
      <w:sz w:val="21"/>
      <w:szCs w:val="21"/>
    </w:rPr>
  </w:style>
  <w:style w:type="paragraph" w:styleId="9">
    <w:name w:val="footer"/>
    <w:basedOn w:val="1"/>
    <w:semiHidden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semiHidden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next w:val="1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12">
    <w:name w:val="toc 2"/>
    <w:next w:val="1"/>
    <w:qFormat/>
    <w:uiPriority w:val="0"/>
    <w:pPr>
      <w:widowControl w:val="0"/>
      <w:ind w:left="420" w:leftChars="20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13">
    <w:name w:val="Message Header"/>
    <w:basedOn w:val="1"/>
    <w:link w:val="20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14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Normal (Web)"/>
    <w:basedOn w:val="1"/>
    <w:unhideWhenUsed/>
    <w:qFormat/>
    <w:uiPriority w:val="99"/>
    <w:pPr>
      <w:widowControl w:val="0"/>
      <w:spacing w:before="0" w:beforeAutospacing="1" w:after="0" w:afterAutospacing="1"/>
      <w:ind w:left="0" w:right="0"/>
      <w:jc w:val="left"/>
    </w:pPr>
    <w:rPr>
      <w:rFonts w:hint="default"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16">
    <w:name w:val="Body Text First Indent"/>
    <w:basedOn w:val="6"/>
    <w:qFormat/>
    <w:uiPriority w:val="0"/>
    <w:pPr>
      <w:ind w:firstLine="420" w:firstLineChars="100"/>
    </w:pPr>
  </w:style>
  <w:style w:type="paragraph" w:customStyle="1" w:styleId="19">
    <w:name w:val="Default"/>
    <w:basedOn w:val="8"/>
    <w:next w:val="1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20">
    <w:name w:val="信息标题 Char"/>
    <w:basedOn w:val="18"/>
    <w:link w:val="13"/>
    <w:qFormat/>
    <w:uiPriority w:val="0"/>
    <w:rPr>
      <w:rFonts w:ascii="Cambria" w:hAnsi="Cambria" w:eastAsia="宋体" w:cs="Times New Roman"/>
      <w:kern w:val="2"/>
      <w:sz w:val="24"/>
      <w:szCs w:val="24"/>
      <w:shd w:val="pct20" w:color="000000" w:fill="auto"/>
    </w:rPr>
  </w:style>
  <w:style w:type="character" w:customStyle="1" w:styleId="21">
    <w:name w:val="正文文本 Char"/>
    <w:basedOn w:val="18"/>
    <w:link w:val="6"/>
    <w:qFormat/>
    <w:uiPriority w:val="0"/>
    <w:rPr>
      <w:rFonts w:hint="default" w:ascii="Times New Roman" w:hAnsi="Times New Roman" w:eastAsia="方正仿宋_GBK" w:cs="Times New Roman"/>
      <w:kern w:val="2"/>
      <w:sz w:val="32"/>
      <w:szCs w:val="24"/>
    </w:rPr>
  </w:style>
  <w:style w:type="character" w:customStyle="1" w:styleId="22">
    <w:name w:val="标题 3 Char"/>
    <w:link w:val="5"/>
    <w:qFormat/>
    <w:uiPriority w:val="0"/>
    <w:rPr>
      <w:rFonts w:eastAsia="方正楷体_GBK"/>
    </w:rPr>
  </w:style>
  <w:style w:type="paragraph" w:customStyle="1" w:styleId="23">
    <w:name w:val="正文-公1"/>
    <w:basedOn w:val="1"/>
    <w:next w:val="1"/>
    <w:qFormat/>
    <w:uiPriority w:val="0"/>
    <w:pPr>
      <w:ind w:firstLine="200" w:firstLineChars="200"/>
      <w:jc w:val="left"/>
    </w:pPr>
    <w:rPr>
      <w:rFonts w:eastAsia="仿宋_GB23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2731</Words>
  <Characters>2908</Characters>
  <Lines>1</Lines>
  <Paragraphs>1</Paragraphs>
  <TotalTime>140</TotalTime>
  <ScaleCrop>false</ScaleCrop>
  <LinksUpToDate>false</LinksUpToDate>
  <CharactersWithSpaces>2955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2023-10-25T14:15:00Z</dcterms:created>
  <dc:creator>Administrator</dc:creator>
  <cp:lastModifiedBy>YJJ012</cp:lastModifiedBy>
  <cp:lastPrinted>2025-12-30T06:21:00Z</cp:lastPrinted>
  <dcterms:modified xsi:type="dcterms:W3CDTF">2026-04-03T10:38:58Z</dcterms:modified>
  <dc:title>重庆平德连盛建材有限公司“3·21”一般机械伤害事故防范和整改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059CBDC4440B47A5931656EF2FDFE10C_13</vt:lpwstr>
  </property>
  <property fmtid="{D5CDD505-2E9C-101B-9397-08002B2CF9AE}" pid="4" name="KSOTemplateDocerSaveRecord">
    <vt:lpwstr>eyJoZGlkIjoiNDU4YmRlYjYyZWFkMzYzNTRmYzQxYzQzOTg3NzZiNTYiLCJ1c2VySWQiOiI4OTA1OTMxMTkifQ==</vt:lpwstr>
  </property>
</Properties>
</file>