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40" w:lineRule="exact"/>
        <w:jc w:val="center"/>
        <w:rPr>
          <w:rFonts w:ascii="方正小标宋_GBK" w:hAnsi="方正小标宋_GBK" w:eastAsia="方正小标宋_GBK" w:cs="方正小标宋_GBK"/>
          <w:color w:val="000000"/>
          <w:kern w:val="0"/>
          <w:sz w:val="44"/>
          <w:szCs w:val="44"/>
        </w:rPr>
      </w:pPr>
    </w:p>
    <w:p>
      <w:pPr>
        <w:snapToGrid w:val="0"/>
        <w:spacing w:line="640" w:lineRule="exact"/>
        <w:jc w:val="center"/>
        <w:outlineLvl w:val="0"/>
        <w:rPr>
          <w:rFonts w:ascii="方正小标宋_GBK" w:hAnsi="方正小标宋_GBK" w:eastAsia="方正小标宋_GBK" w:cs="方正小标宋_GBK"/>
          <w:color w:val="000000"/>
          <w:kern w:val="0"/>
          <w:sz w:val="44"/>
          <w:szCs w:val="44"/>
        </w:rPr>
      </w:pPr>
      <w:bookmarkStart w:id="0" w:name="_Toc16558"/>
      <w:bookmarkStart w:id="1" w:name="_Toc17655"/>
      <w:bookmarkStart w:id="2" w:name="_Toc24018"/>
      <w:r>
        <w:rPr>
          <w:rFonts w:hint="eastAsia" w:ascii="方正小标宋_GBK" w:hAnsi="方正小标宋_GBK" w:eastAsia="方正小标宋_GBK" w:cs="方正小标宋_GBK"/>
          <w:color w:val="000000"/>
          <w:kern w:val="0"/>
          <w:sz w:val="44"/>
          <w:szCs w:val="44"/>
        </w:rPr>
        <w:t>荣昌昌州“</w:t>
      </w:r>
      <w:r>
        <w:rPr>
          <w:rFonts w:ascii="方正小标宋_GBK" w:hAnsi="方正小标宋_GBK" w:eastAsia="方正小标宋_GBK" w:cs="方正小标宋_GBK"/>
          <w:color w:val="000000"/>
          <w:kern w:val="0"/>
          <w:sz w:val="44"/>
          <w:szCs w:val="44"/>
        </w:rPr>
        <w:t>1</w:t>
      </w:r>
      <w:r>
        <w:rPr>
          <w:rFonts w:hint="eastAsia" w:ascii="方正小标宋_GBK" w:hAnsi="方正小标宋_GBK" w:eastAsia="方正小标宋_GBK" w:cs="方正小标宋_GBK"/>
          <w:color w:val="000000"/>
          <w:kern w:val="0"/>
          <w:sz w:val="44"/>
          <w:szCs w:val="44"/>
        </w:rPr>
        <w:t>·</w:t>
      </w:r>
      <w:r>
        <w:rPr>
          <w:rFonts w:ascii="方正小标宋_GBK" w:hAnsi="方正小标宋_GBK" w:eastAsia="方正小标宋_GBK" w:cs="方正小标宋_GBK"/>
          <w:color w:val="000000"/>
          <w:kern w:val="0"/>
          <w:sz w:val="44"/>
          <w:szCs w:val="44"/>
        </w:rPr>
        <w:t>13</w:t>
      </w:r>
      <w:r>
        <w:rPr>
          <w:rFonts w:hint="eastAsia" w:ascii="方正小标宋_GBK" w:hAnsi="方正小标宋_GBK" w:eastAsia="方正小标宋_GBK" w:cs="方正小标宋_GBK"/>
          <w:color w:val="000000"/>
          <w:kern w:val="0"/>
          <w:sz w:val="44"/>
          <w:szCs w:val="44"/>
        </w:rPr>
        <w:t>”一般道路交通事故</w:t>
      </w:r>
    </w:p>
    <w:p>
      <w:pPr>
        <w:snapToGrid w:val="0"/>
        <w:spacing w:line="64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防范和整改落实</w:t>
      </w:r>
      <w:bookmarkEnd w:id="0"/>
      <w:bookmarkEnd w:id="1"/>
      <w:bookmarkEnd w:id="2"/>
      <w:bookmarkStart w:id="3" w:name="_Toc30326"/>
      <w:bookmarkStart w:id="4" w:name="_Toc13266"/>
      <w:bookmarkStart w:id="5" w:name="_Toc24813"/>
      <w:bookmarkStart w:id="6" w:name="_Toc14105"/>
      <w:bookmarkStart w:id="7" w:name="_Toc20151"/>
      <w:r>
        <w:rPr>
          <w:rFonts w:hint="eastAsia" w:ascii="方正小标宋_GBK" w:hAnsi="方正小标宋_GBK" w:eastAsia="方正小标宋_GBK" w:cs="方正小标宋_GBK"/>
          <w:sz w:val="44"/>
          <w:szCs w:val="44"/>
        </w:rPr>
        <w:t>情况评估报告</w:t>
      </w:r>
      <w:bookmarkEnd w:id="3"/>
      <w:bookmarkEnd w:id="4"/>
      <w:bookmarkEnd w:id="5"/>
      <w:bookmarkEnd w:id="6"/>
      <w:bookmarkEnd w:id="7"/>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jc w:val="center"/>
        <w:outlineLvl w:val="0"/>
        <w:rPr>
          <w:rFonts w:ascii="Times New Roman" w:hAnsi="Times New Roman" w:eastAsia="方正仿宋_GBK" w:cs="Times New Roman"/>
          <w:szCs w:val="32"/>
        </w:rPr>
      </w:pPr>
      <w:bookmarkStart w:id="8" w:name="_Toc248336577"/>
      <w:bookmarkStart w:id="9" w:name="_Toc1079658906"/>
      <w:bookmarkStart w:id="10" w:name="_Toc20718"/>
      <w:bookmarkStart w:id="11" w:name="_Toc1235575134"/>
      <w:bookmarkStart w:id="12" w:name="_Toc8621"/>
      <w:bookmarkStart w:id="13" w:name="_Toc21276"/>
      <w:bookmarkStart w:id="14" w:name="_Toc26366"/>
      <w:bookmarkStart w:id="15" w:name="_Toc16715"/>
      <w:r>
        <w:rPr>
          <w:rFonts w:hint="eastAsia" w:ascii="Times New Roman" w:hAnsi="Times New Roman" w:eastAsia="方正仿宋_GBK" w:cs="Times New Roman"/>
          <w:szCs w:val="32"/>
        </w:rPr>
        <w:t>重庆市荣昌区</w:t>
      </w:r>
      <w:bookmarkEnd w:id="8"/>
      <w:bookmarkEnd w:id="9"/>
      <w:bookmarkEnd w:id="10"/>
      <w:bookmarkEnd w:id="11"/>
      <w:r>
        <w:rPr>
          <w:rFonts w:hint="eastAsia" w:ascii="Times New Roman" w:hAnsi="Times New Roman" w:eastAsia="方正仿宋_GBK" w:cs="Times New Roman"/>
          <w:szCs w:val="32"/>
        </w:rPr>
        <w:t>安全生产委员会</w:t>
      </w:r>
      <w:bookmarkEnd w:id="12"/>
      <w:r>
        <w:rPr>
          <w:rFonts w:hint="eastAsia" w:ascii="Times New Roman" w:hAnsi="Times New Roman" w:eastAsia="方正仿宋_GBK" w:cs="Times New Roman"/>
          <w:szCs w:val="32"/>
        </w:rPr>
        <w:t>办公室</w:t>
      </w:r>
      <w:bookmarkEnd w:id="13"/>
      <w:bookmarkEnd w:id="14"/>
      <w:bookmarkEnd w:id="15"/>
    </w:p>
    <w:p>
      <w:pPr>
        <w:jc w:val="center"/>
        <w:rPr>
          <w:rFonts w:ascii="Times New Roman" w:hAnsi="Times New Roman" w:eastAsia="方正仿宋_GBK" w:cs="Times New Roman"/>
          <w:szCs w:val="32"/>
        </w:rPr>
      </w:pPr>
      <w:bookmarkStart w:id="16" w:name="_Toc13183"/>
      <w:bookmarkStart w:id="17" w:name="_Toc11489"/>
      <w:r>
        <w:rPr>
          <w:rFonts w:ascii="Times New Roman" w:hAnsi="Times New Roman" w:eastAsia="方正仿宋_GBK" w:cs="Times New Roman"/>
          <w:szCs w:val="32"/>
        </w:rPr>
        <w:t>2026</w:t>
      </w:r>
      <w:r>
        <w:rPr>
          <w:rFonts w:hint="eastAsia" w:ascii="Times New Roman" w:hAnsi="Times New Roman" w:eastAsia="方正仿宋_GBK" w:cs="Times New Roman"/>
          <w:szCs w:val="32"/>
        </w:rPr>
        <w:t>年</w:t>
      </w:r>
      <w:r>
        <w:rPr>
          <w:rFonts w:ascii="Times New Roman" w:hAnsi="Times New Roman" w:eastAsia="方正仿宋_GBK" w:cs="Times New Roman"/>
          <w:szCs w:val="32"/>
        </w:rPr>
        <w:t>4</w:t>
      </w:r>
      <w:r>
        <w:rPr>
          <w:rFonts w:hint="eastAsia" w:ascii="Times New Roman" w:hAnsi="Times New Roman" w:eastAsia="方正仿宋_GBK" w:cs="Times New Roman"/>
          <w:szCs w:val="32"/>
        </w:rPr>
        <w:t>月</w:t>
      </w:r>
      <w:r>
        <w:rPr>
          <w:rFonts w:ascii="Times New Roman" w:hAnsi="Times New Roman" w:eastAsia="方正仿宋_GBK" w:cs="Times New Roman"/>
          <w:szCs w:val="32"/>
        </w:rPr>
        <w:t>25</w:t>
      </w:r>
      <w:r>
        <w:rPr>
          <w:rFonts w:hint="eastAsia" w:ascii="Times New Roman" w:hAnsi="Times New Roman" w:eastAsia="方正仿宋_GBK" w:cs="Times New Roman"/>
          <w:szCs w:val="32"/>
        </w:rPr>
        <w:t>日</w:t>
      </w:r>
      <w:bookmarkEnd w:id="16"/>
      <w:bookmarkEnd w:id="17"/>
    </w:p>
    <w:p>
      <w:pPr>
        <w:pStyle w:val="2"/>
        <w:rPr>
          <w:rFonts w:ascii="方正小标宋_GBK" w:hAnsi="方正小标宋_GBK" w:eastAsia="方正小标宋_GBK" w:cs="方正小标宋_GBK"/>
          <w:kern w:val="0"/>
          <w:szCs w:val="44"/>
        </w:rPr>
      </w:pPr>
    </w:p>
    <w:p>
      <w:pPr>
        <w:jc w:val="center"/>
        <w:rPr>
          <w:rFonts w:ascii="方正黑体_GBK" w:cs="方正黑体_GBK"/>
          <w:sz w:val="44"/>
          <w:szCs w:val="44"/>
        </w:rPr>
        <w:sectPr>
          <w:pgSz w:w="12240" w:h="15840"/>
          <w:pgMar w:top="1440" w:right="1800" w:bottom="1440" w:left="1800" w:header="720" w:footer="720" w:gutter="0"/>
          <w:pgNumType w:start="1"/>
          <w:cols w:space="720" w:num="1"/>
        </w:sectPr>
      </w:pPr>
    </w:p>
    <w:p>
      <w:pPr>
        <w:jc w:val="center"/>
        <w:rPr>
          <w:rFonts w:ascii="方正黑体_GBK" w:cs="方正黑体_GBK"/>
          <w:sz w:val="44"/>
          <w:szCs w:val="44"/>
        </w:rPr>
      </w:pPr>
      <w:r>
        <w:rPr>
          <w:rFonts w:hint="eastAsia" w:ascii="方正黑体_GBK" w:hAnsi="方正黑体_GBK" w:cs="方正黑体_GBK"/>
          <w:sz w:val="44"/>
          <w:szCs w:val="44"/>
        </w:rPr>
        <w:t>目录</w:t>
      </w:r>
    </w:p>
    <w:p>
      <w:pPr>
        <w:pStyle w:val="9"/>
        <w:tabs>
          <w:tab w:val="right" w:leader="dot" w:pos="8640"/>
        </w:tabs>
        <w:spacing w:line="640" w:lineRule="exact"/>
      </w:pPr>
      <w:r>
        <w:rPr>
          <w:rFonts w:ascii="方正小标宋_GBK" w:hAnsi="方正小标宋_GBK" w:eastAsia="方正小标宋_GBK" w:cs="方正小标宋_GBK"/>
          <w:color w:val="000000"/>
          <w:kern w:val="0"/>
          <w:sz w:val="24"/>
          <w:szCs w:val="44"/>
        </w:rPr>
        <w:fldChar w:fldCharType="begin"/>
      </w:r>
      <w:r>
        <w:rPr>
          <w:rFonts w:ascii="方正小标宋_GBK" w:hAnsi="方正小标宋_GBK" w:eastAsia="方正小标宋_GBK" w:cs="方正小标宋_GBK"/>
          <w:color w:val="000000"/>
          <w:kern w:val="0"/>
          <w:sz w:val="24"/>
          <w:szCs w:val="44"/>
        </w:rPr>
        <w:instrText xml:space="preserve">TOC \o "1-2" \h \u </w:instrText>
      </w:r>
      <w:r>
        <w:rPr>
          <w:rFonts w:ascii="方正小标宋_GBK" w:hAnsi="方正小标宋_GBK" w:eastAsia="方正小标宋_GBK" w:cs="方正小标宋_GBK"/>
          <w:color w:val="000000"/>
          <w:kern w:val="0"/>
          <w:sz w:val="24"/>
          <w:szCs w:val="44"/>
        </w:rPr>
        <w:fldChar w:fldCharType="separate"/>
      </w:r>
    </w:p>
    <w:p>
      <w:pPr>
        <w:pStyle w:val="9"/>
        <w:tabs>
          <w:tab w:val="right" w:leader="dot" w:pos="8640"/>
        </w:tabs>
        <w:spacing w:line="640" w:lineRule="exact"/>
        <w:rPr>
          <w:rFonts w:ascii="Times New Roman" w:hAnsi="Times New Roman" w:cs="Times New Roman"/>
        </w:rPr>
      </w:pPr>
      <w:r>
        <w:fldChar w:fldCharType="begin"/>
      </w:r>
      <w:r>
        <w:instrText xml:space="preserve"> HYPERLINK \l "_Toc4492" </w:instrText>
      </w:r>
      <w:r>
        <w:fldChar w:fldCharType="separate"/>
      </w:r>
      <w:r>
        <w:rPr>
          <w:rFonts w:hint="eastAsia" w:ascii="Times New Roman" w:hAnsi="Times New Roman" w:cs="Times New Roman"/>
          <w:szCs w:val="32"/>
        </w:rPr>
        <w:t>一、事故基本情况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_Toc4492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640"/>
        </w:tabs>
        <w:spacing w:line="640" w:lineRule="exact"/>
        <w:rPr>
          <w:rFonts w:ascii="Times New Roman" w:hAnsi="Times New Roman" w:cs="Times New Roman"/>
        </w:rPr>
      </w:pPr>
      <w:r>
        <w:fldChar w:fldCharType="begin"/>
      </w:r>
      <w:r>
        <w:instrText xml:space="preserve"> HYPERLINK \l "_Toc16258" </w:instrText>
      </w:r>
      <w:r>
        <w:fldChar w:fldCharType="separate"/>
      </w:r>
      <w:r>
        <w:rPr>
          <w:rFonts w:hint="eastAsia" w:ascii="Times New Roman" w:hAnsi="Times New Roman" w:cs="Times New Roman"/>
          <w:szCs w:val="32"/>
        </w:rPr>
        <w:t>二、评估工作组织及开展情况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_Toc16258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9"/>
        <w:tabs>
          <w:tab w:val="right" w:leader="dot" w:pos="8640"/>
        </w:tabs>
        <w:spacing w:line="640" w:lineRule="exact"/>
        <w:rPr>
          <w:rFonts w:ascii="Times New Roman" w:hAnsi="Times New Roman" w:cs="Times New Roman"/>
        </w:rPr>
      </w:pPr>
      <w:r>
        <w:fldChar w:fldCharType="begin"/>
      </w:r>
      <w:r>
        <w:instrText xml:space="preserve"> HYPERLINK \l "_Toc5731" </w:instrText>
      </w:r>
      <w:r>
        <w:fldChar w:fldCharType="separate"/>
      </w:r>
      <w:r>
        <w:rPr>
          <w:rFonts w:hint="eastAsia" w:ascii="Times New Roman" w:hAnsi="Times New Roman" w:cs="Times New Roman"/>
          <w:szCs w:val="32"/>
        </w:rPr>
        <w:t>三、事故责任追究落实情况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_Toc5731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0"/>
        <w:tabs>
          <w:tab w:val="right" w:leader="dot" w:pos="8640"/>
        </w:tabs>
        <w:spacing w:line="640" w:lineRule="exact"/>
        <w:ind w:left="31680"/>
        <w:rPr>
          <w:rFonts w:ascii="Times New Roman" w:hAnsi="Times New Roman" w:cs="Times New Roman"/>
        </w:rPr>
      </w:pPr>
      <w:r>
        <w:fldChar w:fldCharType="begin"/>
      </w:r>
      <w:r>
        <w:instrText xml:space="preserve"> HYPERLINK \l "_Toc928" </w:instrText>
      </w:r>
      <w:r>
        <w:fldChar w:fldCharType="separate"/>
      </w:r>
      <w:r>
        <w:rPr>
          <w:rFonts w:hint="eastAsia" w:ascii="Times New Roman" w:hAnsi="Times New Roman" w:eastAsia="方正楷体_GBK" w:cs="Times New Roman"/>
          <w:bCs/>
          <w:szCs w:val="32"/>
        </w:rPr>
        <w:t>（一）事故责任单位责任追究落实情况</w:t>
      </w:r>
      <w:r>
        <w:rPr>
          <w:rFonts w:ascii="Times New Roman" w:hAnsi="Times New Roman" w:cs="Times New Roman"/>
        </w:rPr>
        <w:tab/>
      </w:r>
      <w:r>
        <w:rPr>
          <w:rFonts w:ascii="Times New Roman" w:hAnsi="Times New Roman" w:cs="Times New Roman"/>
        </w:rPr>
        <w:t>2</w:t>
      </w:r>
      <w:r>
        <w:rPr>
          <w:rFonts w:ascii="Times New Roman" w:hAnsi="Times New Roman" w:cs="Times New Roman"/>
        </w:rPr>
        <w:fldChar w:fldCharType="end"/>
      </w:r>
    </w:p>
    <w:p>
      <w:pPr>
        <w:pStyle w:val="10"/>
        <w:tabs>
          <w:tab w:val="right" w:leader="dot" w:pos="8640"/>
        </w:tabs>
        <w:spacing w:line="640" w:lineRule="exact"/>
        <w:ind w:left="31680"/>
        <w:rPr>
          <w:rFonts w:ascii="Times New Roman" w:hAnsi="Times New Roman" w:cs="Times New Roman"/>
        </w:rPr>
      </w:pPr>
      <w:r>
        <w:fldChar w:fldCharType="begin"/>
      </w:r>
      <w:r>
        <w:instrText xml:space="preserve"> HYPERLINK \l "_Toc11935" </w:instrText>
      </w:r>
      <w:r>
        <w:fldChar w:fldCharType="separate"/>
      </w:r>
      <w:r>
        <w:rPr>
          <w:rStyle w:val="16"/>
          <w:rFonts w:hint="eastAsia" w:ascii="Times New Roman" w:hAnsi="Times New Roman" w:eastAsia="方正楷体_GBK"/>
          <w:bCs/>
          <w:szCs w:val="32"/>
        </w:rPr>
        <w:t>（二）事故责任人员追究落实情况</w:t>
      </w:r>
      <w:r>
        <w:rPr>
          <w:rStyle w:val="16"/>
          <w:rFonts w:ascii="Times New Roman" w:hAnsi="Times New Roman"/>
        </w:rPr>
        <w:tab/>
      </w:r>
      <w:r>
        <w:rPr>
          <w:rFonts w:ascii="Times New Roman" w:hAnsi="Times New Roman" w:cs="Times New Roman"/>
        </w:rPr>
        <w:t>2</w:t>
      </w:r>
      <w:r>
        <w:rPr>
          <w:rFonts w:ascii="Times New Roman" w:hAnsi="Times New Roman" w:cs="Times New Roman"/>
        </w:rPr>
        <w:fldChar w:fldCharType="end"/>
      </w:r>
    </w:p>
    <w:p>
      <w:pPr>
        <w:pStyle w:val="9"/>
        <w:tabs>
          <w:tab w:val="right" w:leader="dot" w:pos="8640"/>
        </w:tabs>
        <w:spacing w:line="640" w:lineRule="exact"/>
        <w:rPr>
          <w:rFonts w:ascii="Times New Roman" w:hAnsi="Times New Roman" w:cs="Times New Roman"/>
        </w:rPr>
      </w:pPr>
      <w:r>
        <w:fldChar w:fldCharType="begin"/>
      </w:r>
      <w:r>
        <w:instrText xml:space="preserve"> HYPERLINK \l "_Toc26173" </w:instrText>
      </w:r>
      <w:r>
        <w:fldChar w:fldCharType="separate"/>
      </w:r>
      <w:r>
        <w:rPr>
          <w:rFonts w:hint="eastAsia" w:ascii="Times New Roman" w:hAnsi="Times New Roman" w:cs="Times New Roman"/>
          <w:szCs w:val="32"/>
        </w:rPr>
        <w:t>四、</w:t>
      </w:r>
      <w:r>
        <w:rPr>
          <w:rFonts w:hint="eastAsia" w:ascii="方正黑体_GBK" w:hAnsi="方正黑体_GBK" w:cs="方正黑体_GBK"/>
          <w:szCs w:val="32"/>
        </w:rPr>
        <w:t>事故防范和整改措施落实情况</w:t>
      </w:r>
      <w:r>
        <w:rPr>
          <w:rFonts w:ascii="Times New Roman" w:hAnsi="Times New Roman" w:cs="Times New Roman"/>
        </w:rPr>
        <w:tab/>
      </w:r>
      <w:r>
        <w:rPr>
          <w:rFonts w:ascii="Times New Roman" w:hAnsi="Times New Roman" w:cs="Times New Roman"/>
        </w:rPr>
        <w:t>2</w:t>
      </w:r>
      <w:r>
        <w:rPr>
          <w:rFonts w:ascii="Times New Roman" w:hAnsi="Times New Roman" w:cs="Times New Roman"/>
        </w:rPr>
        <w:fldChar w:fldCharType="end"/>
      </w:r>
    </w:p>
    <w:p>
      <w:pPr>
        <w:pStyle w:val="10"/>
        <w:tabs>
          <w:tab w:val="right" w:leader="dot" w:pos="8640"/>
        </w:tabs>
        <w:spacing w:line="640" w:lineRule="exact"/>
        <w:ind w:left="31680"/>
        <w:rPr>
          <w:rFonts w:ascii="Times New Roman" w:hAnsi="Times New Roman" w:cs="Times New Roman"/>
        </w:rPr>
      </w:pPr>
      <w:r>
        <w:fldChar w:fldCharType="begin"/>
      </w:r>
      <w:r>
        <w:instrText xml:space="preserve"> HYPERLINK \l "_Toc16771" </w:instrText>
      </w:r>
      <w:r>
        <w:fldChar w:fldCharType="separate"/>
      </w:r>
      <w:r>
        <w:rPr>
          <w:rStyle w:val="16"/>
          <w:rFonts w:hint="eastAsia" w:ascii="Times New Roman" w:hAnsi="Times New Roman" w:eastAsia="方正楷体_GBK"/>
          <w:bCs/>
          <w:szCs w:val="32"/>
        </w:rPr>
        <w:t>（一）重庆市永川区雨帝物流有限公司</w:t>
      </w:r>
      <w:r>
        <w:rPr>
          <w:rStyle w:val="16"/>
          <w:rFonts w:ascii="Times New Roman" w:hAnsi="Times New Roman"/>
        </w:rPr>
        <w:tab/>
      </w:r>
      <w:r>
        <w:rPr>
          <w:rStyle w:val="16"/>
          <w:rFonts w:ascii="Times New Roman" w:hAnsi="Times New Roman"/>
        </w:rPr>
        <w:t>2</w:t>
      </w:r>
      <w:r>
        <w:rPr>
          <w:rStyle w:val="16"/>
          <w:rFonts w:ascii="Times New Roman" w:hAnsi="Times New Roman"/>
        </w:rPr>
        <w:fldChar w:fldCharType="end"/>
      </w:r>
    </w:p>
    <w:p>
      <w:pPr>
        <w:pStyle w:val="10"/>
        <w:tabs>
          <w:tab w:val="right" w:leader="dot" w:pos="8640"/>
        </w:tabs>
        <w:spacing w:line="640" w:lineRule="exact"/>
        <w:ind w:left="31680"/>
        <w:rPr>
          <w:rFonts w:ascii="Times New Roman" w:hAnsi="Times New Roman" w:cs="Times New Roman"/>
        </w:rPr>
      </w:pPr>
      <w:r>
        <w:fldChar w:fldCharType="begin"/>
      </w:r>
      <w:r>
        <w:instrText xml:space="preserve"> HYPERLINK \l "_Toc25983" </w:instrText>
      </w:r>
      <w:r>
        <w:fldChar w:fldCharType="separate"/>
      </w:r>
      <w:r>
        <w:rPr>
          <w:rStyle w:val="16"/>
          <w:rFonts w:hint="eastAsia" w:ascii="Times New Roman" w:hAnsi="Times New Roman" w:eastAsia="方正楷体_GBK"/>
          <w:bCs/>
          <w:szCs w:val="32"/>
        </w:rPr>
        <w:t>（二）重庆市永川区交通运输委员会</w:t>
      </w:r>
      <w:r>
        <w:rPr>
          <w:rStyle w:val="16"/>
          <w:rFonts w:ascii="Times New Roman" w:hAnsi="Times New Roman"/>
        </w:rPr>
        <w:tab/>
      </w:r>
      <w:r>
        <w:rPr>
          <w:rStyle w:val="16"/>
          <w:rFonts w:ascii="Times New Roman" w:hAnsi="Times New Roman"/>
        </w:rPr>
        <w:t>6</w:t>
      </w:r>
      <w:r>
        <w:rPr>
          <w:rStyle w:val="16"/>
          <w:rFonts w:ascii="Times New Roman" w:hAnsi="Times New Roman"/>
        </w:rPr>
        <w:fldChar w:fldCharType="end"/>
      </w:r>
    </w:p>
    <w:p>
      <w:pPr>
        <w:pStyle w:val="10"/>
        <w:tabs>
          <w:tab w:val="right" w:leader="dot" w:pos="8640"/>
        </w:tabs>
        <w:spacing w:line="640" w:lineRule="exact"/>
        <w:ind w:left="31680"/>
        <w:rPr>
          <w:rFonts w:ascii="Times New Roman" w:hAnsi="Times New Roman" w:cs="Times New Roman"/>
        </w:rPr>
      </w:pPr>
      <w:r>
        <w:fldChar w:fldCharType="begin"/>
      </w:r>
      <w:r>
        <w:instrText xml:space="preserve"> HYPERLINK \l "_Toc25495" </w:instrText>
      </w:r>
      <w:r>
        <w:fldChar w:fldCharType="separate"/>
      </w:r>
      <w:r>
        <w:rPr>
          <w:rStyle w:val="16"/>
          <w:rFonts w:hint="eastAsia" w:ascii="Times New Roman" w:hAnsi="Times New Roman" w:eastAsia="方正楷体_GBK"/>
          <w:bCs/>
          <w:szCs w:val="32"/>
        </w:rPr>
        <w:t>（三）重庆市荣昌区公安局交通管理支队</w:t>
      </w:r>
      <w:r>
        <w:rPr>
          <w:rStyle w:val="16"/>
          <w:rFonts w:ascii="Times New Roman" w:hAnsi="Times New Roman"/>
        </w:rPr>
        <w:tab/>
      </w:r>
      <w:r>
        <w:rPr>
          <w:rStyle w:val="16"/>
          <w:rFonts w:ascii="Times New Roman" w:hAnsi="Times New Roman"/>
        </w:rPr>
        <w:t>6</w:t>
      </w:r>
      <w:r>
        <w:rPr>
          <w:rStyle w:val="16"/>
          <w:rFonts w:ascii="Times New Roman" w:hAnsi="Times New Roman"/>
        </w:rPr>
        <w:fldChar w:fldCharType="end"/>
      </w:r>
    </w:p>
    <w:p>
      <w:pPr>
        <w:pStyle w:val="9"/>
        <w:tabs>
          <w:tab w:val="right" w:leader="dot" w:pos="8640"/>
        </w:tabs>
        <w:spacing w:line="640" w:lineRule="exact"/>
        <w:rPr>
          <w:rFonts w:ascii="Times New Roman" w:hAnsi="Times New Roman" w:cs="Times New Roman"/>
        </w:rPr>
      </w:pPr>
      <w:r>
        <w:fldChar w:fldCharType="begin"/>
      </w:r>
      <w:r>
        <w:instrText xml:space="preserve"> HYPERLINK \l "_Toc24919" </w:instrText>
      </w:r>
      <w:r>
        <w:fldChar w:fldCharType="separate"/>
      </w:r>
      <w:r>
        <w:rPr>
          <w:rFonts w:hint="eastAsia" w:ascii="Times New Roman" w:hAnsi="Times New Roman" w:cs="Times New Roman"/>
          <w:szCs w:val="32"/>
        </w:rPr>
        <w:t>五、评估意见</w:t>
      </w:r>
      <w:r>
        <w:rPr>
          <w:rFonts w:ascii="Times New Roman" w:hAnsi="Times New Roman" w:cs="Times New Roman"/>
        </w:rPr>
        <w:tab/>
      </w:r>
      <w:r>
        <w:rPr>
          <w:rFonts w:ascii="Times New Roman" w:hAnsi="Times New Roman" w:cs="Times New Roman"/>
        </w:rPr>
        <w:t>7</w:t>
      </w:r>
      <w:r>
        <w:rPr>
          <w:rFonts w:ascii="Times New Roman" w:hAnsi="Times New Roman" w:cs="Times New Roman"/>
        </w:rPr>
        <w:fldChar w:fldCharType="end"/>
      </w:r>
    </w:p>
    <w:p>
      <w:pPr>
        <w:pStyle w:val="2"/>
        <w:spacing w:line="640" w:lineRule="exact"/>
        <w:rPr>
          <w:rFonts w:ascii="方正小标宋_GBK" w:hAnsi="方正小标宋_GBK" w:eastAsia="方正小标宋_GBK" w:cs="方正小标宋_GBK"/>
          <w:b/>
          <w:kern w:val="0"/>
          <w:szCs w:val="44"/>
        </w:rPr>
      </w:pPr>
      <w:r>
        <w:rPr>
          <w:rFonts w:ascii="方正小标宋_GBK" w:hAnsi="方正小标宋_GBK" w:eastAsia="方正小标宋_GBK" w:cs="方正小标宋_GBK"/>
          <w:kern w:val="0"/>
          <w:szCs w:val="44"/>
        </w:rPr>
        <w:fldChar w:fldCharType="end"/>
      </w:r>
    </w:p>
    <w:p>
      <w:pPr>
        <w:pStyle w:val="2"/>
        <w:rPr>
          <w:rFonts w:ascii="方正小标宋_GBK" w:hAnsi="方正小标宋_GBK" w:eastAsia="方正小标宋_GBK" w:cs="方正小标宋_GBK"/>
          <w:b/>
          <w:kern w:val="0"/>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pStyle w:val="2"/>
        <w:rPr>
          <w:rFonts w:ascii="方正小标宋_GBK" w:hAnsi="方正小标宋_GBK" w:eastAsia="方正小标宋_GBK" w:cs="方正小标宋_GBK"/>
          <w:kern w:val="0"/>
          <w:sz w:val="44"/>
          <w:szCs w:val="44"/>
        </w:rPr>
      </w:pPr>
    </w:p>
    <w:p>
      <w:pPr>
        <w:snapToGrid w:val="0"/>
        <w:spacing w:line="640" w:lineRule="exact"/>
        <w:jc w:val="center"/>
        <w:outlineLvl w:val="0"/>
        <w:rPr>
          <w:rFonts w:ascii="方正小标宋_GBK" w:hAnsi="方正小标宋_GBK" w:eastAsia="方正小标宋_GBK" w:cs="方正小标宋_GBK"/>
          <w:color w:val="000000"/>
          <w:kern w:val="0"/>
          <w:sz w:val="44"/>
          <w:szCs w:val="44"/>
        </w:rPr>
        <w:sectPr>
          <w:footerReference r:id="rId3" w:type="default"/>
          <w:pgSz w:w="12240" w:h="15840"/>
          <w:pgMar w:top="1440" w:right="1800" w:bottom="1440" w:left="1800" w:header="720" w:footer="720" w:gutter="0"/>
          <w:pgNumType w:start="1"/>
          <w:cols w:space="720" w:num="1"/>
        </w:sectPr>
      </w:pPr>
      <w:bookmarkStart w:id="18" w:name="_Toc20306"/>
      <w:bookmarkStart w:id="19" w:name="_Toc21139"/>
      <w:bookmarkStart w:id="20" w:name="_Toc32028"/>
    </w:p>
    <w:p>
      <w:pPr>
        <w:snapToGrid w:val="0"/>
        <w:spacing w:line="640" w:lineRule="exact"/>
        <w:jc w:val="center"/>
        <w:outlineLvl w:val="0"/>
        <w:rPr>
          <w:rFonts w:ascii="方正小标宋_GBK" w:hAnsi="方正小标宋_GBK" w:eastAsia="方正小标宋_GBK" w:cs="方正小标宋_GBK"/>
          <w:color w:val="000000"/>
          <w:kern w:val="0"/>
          <w:sz w:val="44"/>
          <w:szCs w:val="44"/>
        </w:rPr>
      </w:pPr>
    </w:p>
    <w:bookmarkEnd w:id="18"/>
    <w:bookmarkEnd w:id="19"/>
    <w:bookmarkEnd w:id="20"/>
    <w:p>
      <w:pPr>
        <w:pStyle w:val="4"/>
        <w:spacing w:line="640" w:lineRule="exact"/>
      </w:pPr>
      <w:bookmarkStart w:id="21" w:name="_Toc21171"/>
      <w:bookmarkStart w:id="22" w:name="_Toc17719"/>
      <w:bookmarkStart w:id="23" w:name="_Toc135"/>
      <w:bookmarkStart w:id="24" w:name="_Toc28000"/>
      <w:r>
        <w:rPr>
          <w:rFonts w:hint="eastAsia" w:ascii="方正小标宋_GBK" w:hAnsi="方正小标宋_GBK" w:cs="方正小标宋_GBK"/>
          <w:color w:val="000000"/>
          <w:kern w:val="0"/>
          <w:szCs w:val="44"/>
        </w:rPr>
        <w:t>荣昌昌州“</w:t>
      </w:r>
      <w:r>
        <w:rPr>
          <w:rFonts w:ascii="方正小标宋_GBK" w:hAnsi="方正小标宋_GBK" w:cs="方正小标宋_GBK"/>
          <w:color w:val="000000"/>
          <w:kern w:val="0"/>
          <w:szCs w:val="44"/>
        </w:rPr>
        <w:t>1</w:t>
      </w:r>
      <w:r>
        <w:rPr>
          <w:rFonts w:hint="eastAsia" w:ascii="方正小标宋_GBK" w:hAnsi="方正小标宋_GBK" w:cs="方正小标宋_GBK"/>
          <w:color w:val="000000"/>
          <w:kern w:val="0"/>
          <w:szCs w:val="44"/>
        </w:rPr>
        <w:t>·</w:t>
      </w:r>
      <w:r>
        <w:rPr>
          <w:rFonts w:ascii="方正小标宋_GBK" w:hAnsi="方正小标宋_GBK" w:cs="方正小标宋_GBK"/>
          <w:color w:val="000000"/>
          <w:kern w:val="0"/>
          <w:szCs w:val="44"/>
        </w:rPr>
        <w:t>13</w:t>
      </w:r>
      <w:r>
        <w:rPr>
          <w:rFonts w:hint="eastAsia" w:ascii="方正小标宋_GBK" w:hAnsi="方正小标宋_GBK" w:cs="方正小标宋_GBK"/>
          <w:color w:val="000000"/>
          <w:kern w:val="0"/>
          <w:szCs w:val="44"/>
        </w:rPr>
        <w:t>”一般道路交通事故</w:t>
      </w:r>
      <w:r>
        <w:rPr>
          <w:rFonts w:hint="eastAsia" w:ascii="方正小标宋_GBK" w:hAnsi="方正小标宋_GBK" w:cs="方正小标宋_GBK"/>
          <w:kern w:val="2"/>
          <w:szCs w:val="44"/>
        </w:rPr>
        <w:t>防范和整改落实情况评估报告</w:t>
      </w:r>
      <w:bookmarkEnd w:id="21"/>
      <w:bookmarkEnd w:id="22"/>
      <w:bookmarkEnd w:id="23"/>
      <w:bookmarkEnd w:id="24"/>
    </w:p>
    <w:p>
      <w:pPr>
        <w:pStyle w:val="4"/>
        <w:spacing w:line="560" w:lineRule="exact"/>
        <w:ind w:firstLine="640" w:firstLineChars="200"/>
        <w:jc w:val="both"/>
        <w:rPr>
          <w:rFonts w:ascii="方正仿宋_GBK" w:hAnsi="方正仿宋_GBK" w:eastAsia="方正仿宋_GBK" w:cs="方正仿宋_GBK"/>
          <w:kern w:val="2"/>
          <w:sz w:val="32"/>
          <w:szCs w:val="32"/>
        </w:rPr>
      </w:pPr>
      <w:bookmarkStart w:id="25" w:name="_Toc24828"/>
      <w:bookmarkStart w:id="26" w:name="_Toc11173"/>
      <w:bookmarkStart w:id="27" w:name="_Toc23865"/>
      <w:bookmarkStart w:id="28" w:name="_Toc16766"/>
    </w:p>
    <w:p>
      <w:pPr>
        <w:pStyle w:val="4"/>
        <w:spacing w:line="540" w:lineRule="exact"/>
        <w:ind w:firstLine="640" w:firstLineChars="200"/>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依据《国务院安委会办公室关于印发生产安全事故防范和整改措施落实情况评估办法的通知》（安委办〔</w:t>
      </w:r>
      <w:r>
        <w:rPr>
          <w:rFonts w:ascii="Times New Roman" w:hAnsi="Times New Roman" w:eastAsia="方正仿宋_GBK" w:cs="Times New Roman"/>
          <w:kern w:val="2"/>
          <w:sz w:val="32"/>
          <w:szCs w:val="32"/>
        </w:rPr>
        <w:t>2021</w:t>
      </w:r>
      <w:r>
        <w:rPr>
          <w:rFonts w:hint="eastAsia" w:ascii="方正仿宋_GBK" w:hAnsi="方正仿宋_GBK" w:eastAsia="方正仿宋_GBK" w:cs="方正仿宋_GBK"/>
          <w:kern w:val="2"/>
          <w:sz w:val="32"/>
          <w:szCs w:val="32"/>
        </w:rPr>
        <w:t>〕</w:t>
      </w:r>
      <w:r>
        <w:rPr>
          <w:rFonts w:ascii="Times New Roman" w:hAnsi="Times New Roman" w:eastAsia="方正仿宋_GBK" w:cs="Times New Roman"/>
          <w:kern w:val="2"/>
          <w:sz w:val="32"/>
          <w:szCs w:val="32"/>
        </w:rPr>
        <w:t>4</w:t>
      </w:r>
      <w:r>
        <w:rPr>
          <w:rFonts w:hint="eastAsia" w:ascii="方正仿宋_GBK" w:hAnsi="方正仿宋_GBK" w:eastAsia="方正仿宋_GBK" w:cs="方正仿宋_GBK"/>
          <w:kern w:val="2"/>
          <w:sz w:val="32"/>
          <w:szCs w:val="32"/>
        </w:rPr>
        <w:t>号）有关规定，重庆市荣昌区安全生产委员会办公室（以下简称“荣昌区安委办”）牵头成立评估工作小组，对</w:t>
      </w:r>
      <w:r>
        <w:rPr>
          <w:rFonts w:hint="eastAsia" w:ascii="Times New Roman" w:hAnsi="Times New Roman" w:eastAsia="方正仿宋_GBK" w:cs="Times New Roman"/>
          <w:color w:val="000000"/>
          <w:sz w:val="32"/>
          <w:szCs w:val="32"/>
        </w:rPr>
        <w:t>荣昌昌州“</w:t>
      </w:r>
      <w:r>
        <w:rPr>
          <w:rFonts w:ascii="Times New Roman" w:hAnsi="Times New Roman" w:eastAsia="方正仿宋_GBK" w:cs="Times New Roman"/>
          <w:color w:val="000000"/>
          <w:sz w:val="32"/>
          <w:szCs w:val="32"/>
        </w:rPr>
        <w:t>1</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13</w:t>
      </w:r>
      <w:r>
        <w:rPr>
          <w:rFonts w:hint="eastAsia" w:ascii="Times New Roman" w:hAnsi="Times New Roman" w:eastAsia="方正仿宋_GBK" w:cs="Times New Roman"/>
          <w:color w:val="000000"/>
          <w:sz w:val="32"/>
          <w:szCs w:val="32"/>
        </w:rPr>
        <w:t>”一般道路交通事故</w:t>
      </w:r>
      <w:r>
        <w:rPr>
          <w:rFonts w:hint="eastAsia" w:ascii="方正仿宋_GBK" w:hAnsi="方正仿宋_GBK" w:eastAsia="方正仿宋_GBK" w:cs="方正仿宋_GBK"/>
          <w:kern w:val="2"/>
          <w:sz w:val="32"/>
          <w:szCs w:val="32"/>
        </w:rPr>
        <w:t>防范和整改措施落实情况进行评估，现报告如下：</w:t>
      </w:r>
      <w:bookmarkEnd w:id="25"/>
      <w:bookmarkEnd w:id="26"/>
      <w:bookmarkEnd w:id="27"/>
      <w:bookmarkEnd w:id="28"/>
    </w:p>
    <w:p>
      <w:pPr>
        <w:spacing w:line="540" w:lineRule="exact"/>
        <w:ind w:firstLine="640" w:firstLineChars="200"/>
        <w:outlineLvl w:val="0"/>
        <w:rPr>
          <w:rFonts w:ascii="方正黑体_GBK" w:cs="方正黑体_GBK"/>
          <w:szCs w:val="32"/>
        </w:rPr>
      </w:pPr>
      <w:bookmarkStart w:id="29" w:name="_Toc4492"/>
      <w:r>
        <w:rPr>
          <w:rFonts w:hint="eastAsia" w:ascii="方正黑体_GBK" w:hAnsi="方正黑体_GBK" w:cs="方正黑体_GBK"/>
          <w:szCs w:val="32"/>
        </w:rPr>
        <w:t>一、事故基本情况</w:t>
      </w:r>
      <w:bookmarkEnd w:id="29"/>
    </w:p>
    <w:p>
      <w:pPr>
        <w:snapToGrid w:val="0"/>
        <w:spacing w:line="540" w:lineRule="exact"/>
        <w:ind w:firstLine="640" w:firstLineChars="200"/>
        <w:rPr>
          <w:rFonts w:ascii="方正仿宋_GBK" w:hAnsi="方正仿宋_GBK" w:eastAsia="方正仿宋_GBK" w:cs="方正仿宋_GBK"/>
          <w:szCs w:val="32"/>
        </w:rPr>
      </w:pPr>
      <w:bookmarkStart w:id="30" w:name="OLE_LINK23"/>
      <w:r>
        <w:rPr>
          <w:rFonts w:ascii="Times New Roman" w:hAnsi="Times New Roman" w:eastAsia="方正仿宋_GBK" w:cs="Times New Roman"/>
          <w:color w:val="000000"/>
          <w:szCs w:val="32"/>
        </w:rPr>
        <w:t>2025</w:t>
      </w:r>
      <w:r>
        <w:rPr>
          <w:rFonts w:hint="eastAsia" w:ascii="Times New Roman" w:hAnsi="Times New Roman" w:eastAsia="方正仿宋_GBK" w:cs="Times New Roman"/>
          <w:color w:val="000000"/>
          <w:szCs w:val="32"/>
        </w:rPr>
        <w:t>年</w:t>
      </w:r>
      <w:r>
        <w:rPr>
          <w:rFonts w:ascii="Times New Roman" w:hAnsi="Times New Roman" w:eastAsia="方正仿宋_GBK" w:cs="Times New Roman"/>
          <w:color w:val="000000"/>
          <w:szCs w:val="32"/>
        </w:rPr>
        <w:t>1</w:t>
      </w:r>
      <w:r>
        <w:rPr>
          <w:rFonts w:hint="eastAsia" w:ascii="Times New Roman" w:hAnsi="Times New Roman" w:eastAsia="方正仿宋_GBK" w:cs="Times New Roman"/>
          <w:color w:val="000000"/>
          <w:szCs w:val="32"/>
        </w:rPr>
        <w:t>月</w:t>
      </w:r>
      <w:r>
        <w:rPr>
          <w:rFonts w:ascii="Times New Roman" w:hAnsi="Times New Roman" w:eastAsia="方正仿宋_GBK" w:cs="Times New Roman"/>
          <w:color w:val="000000"/>
          <w:szCs w:val="32"/>
        </w:rPr>
        <w:t>13</w:t>
      </w:r>
      <w:r>
        <w:rPr>
          <w:rFonts w:hint="eastAsia" w:ascii="Times New Roman" w:hAnsi="Times New Roman" w:eastAsia="方正仿宋_GBK" w:cs="Times New Roman"/>
          <w:color w:val="000000"/>
          <w:szCs w:val="32"/>
        </w:rPr>
        <w:t>日</w:t>
      </w:r>
      <w:r>
        <w:rPr>
          <w:rFonts w:ascii="Times New Roman" w:hAnsi="Times New Roman" w:eastAsia="方正仿宋_GBK" w:cs="Times New Roman"/>
          <w:color w:val="000000"/>
          <w:szCs w:val="32"/>
        </w:rPr>
        <w:t>18</w:t>
      </w:r>
      <w:r>
        <w:rPr>
          <w:rFonts w:hint="eastAsia" w:ascii="Times New Roman" w:hAnsi="Times New Roman" w:eastAsia="方正仿宋_GBK" w:cs="Times New Roman"/>
          <w:color w:val="000000"/>
          <w:szCs w:val="32"/>
        </w:rPr>
        <w:t>时</w:t>
      </w:r>
      <w:r>
        <w:rPr>
          <w:rFonts w:ascii="Times New Roman" w:hAnsi="Times New Roman" w:eastAsia="方正仿宋_GBK" w:cs="Times New Roman"/>
          <w:color w:val="000000"/>
          <w:szCs w:val="32"/>
        </w:rPr>
        <w:t>52</w:t>
      </w:r>
      <w:r>
        <w:rPr>
          <w:rFonts w:hint="eastAsia" w:ascii="Times New Roman" w:hAnsi="Times New Roman" w:eastAsia="方正仿宋_GBK" w:cs="Times New Roman"/>
          <w:color w:val="000000"/>
          <w:szCs w:val="32"/>
        </w:rPr>
        <w:t>分许，</w:t>
      </w:r>
      <w:bookmarkStart w:id="31" w:name="OLE_LINK22"/>
      <w:r>
        <w:rPr>
          <w:rFonts w:hint="eastAsia" w:ascii="Times New Roman" w:hAnsi="Times New Roman" w:eastAsia="方正仿宋_GBK" w:cs="Times New Roman"/>
          <w:color w:val="000000"/>
          <w:szCs w:val="32"/>
          <w:lang w:eastAsia="zh-CN"/>
        </w:rPr>
        <w:t>郑某坤</w:t>
      </w:r>
      <w:r>
        <w:rPr>
          <w:rFonts w:hint="eastAsia" w:ascii="Times New Roman" w:hAnsi="Times New Roman" w:eastAsia="方正仿宋_GBK" w:cs="Times New Roman"/>
          <w:color w:val="000000"/>
          <w:szCs w:val="32"/>
        </w:rPr>
        <w:t>驾驶</w:t>
      </w:r>
      <w:bookmarkStart w:id="32" w:name="OLE_LINK3"/>
      <w:r>
        <w:rPr>
          <w:rFonts w:hint="eastAsia" w:ascii="Times New Roman" w:hAnsi="Times New Roman" w:eastAsia="方正仿宋_GBK" w:cs="Times New Roman"/>
          <w:color w:val="000000"/>
          <w:szCs w:val="32"/>
        </w:rPr>
        <w:t>重庆市永川区雨帝物流有限公司</w:t>
      </w:r>
      <w:bookmarkEnd w:id="32"/>
      <w:r>
        <w:rPr>
          <w:rFonts w:hint="eastAsia" w:ascii="Times New Roman" w:hAnsi="Times New Roman" w:eastAsia="方正仿宋_GBK" w:cs="Times New Roman"/>
          <w:color w:val="000000"/>
          <w:szCs w:val="32"/>
        </w:rPr>
        <w:t>所属的</w:t>
      </w:r>
      <w:bookmarkStart w:id="33" w:name="OLE_LINK2"/>
      <w:bookmarkStart w:id="34" w:name="OLE_LINK19"/>
      <w:r>
        <w:rPr>
          <w:rFonts w:hint="eastAsia" w:ascii="Times New Roman" w:hAnsi="Times New Roman" w:eastAsia="方正仿宋_GBK" w:cs="Times New Roman"/>
          <w:color w:val="000000"/>
          <w:szCs w:val="32"/>
        </w:rPr>
        <w:t>渝</w:t>
      </w:r>
      <w:r>
        <w:rPr>
          <w:rFonts w:hint="eastAsia" w:ascii="Times New Roman" w:hAnsi="Times New Roman" w:eastAsia="方正仿宋_GBK" w:cs="Times New Roman"/>
          <w:color w:val="000000"/>
          <w:szCs w:val="32"/>
          <w:lang w:eastAsia="zh-CN"/>
        </w:rPr>
        <w:t>DV5***</w:t>
      </w:r>
      <w:r>
        <w:rPr>
          <w:rFonts w:hint="eastAsia" w:ascii="Times New Roman" w:hAnsi="Times New Roman" w:eastAsia="方正仿宋_GBK" w:cs="Times New Roman"/>
          <w:color w:val="000000"/>
          <w:szCs w:val="32"/>
        </w:rPr>
        <w:t>号</w:t>
      </w:r>
      <w:bookmarkEnd w:id="33"/>
      <w:r>
        <w:rPr>
          <w:rFonts w:hint="eastAsia" w:ascii="Times New Roman" w:hAnsi="Times New Roman" w:eastAsia="方正仿宋_GBK" w:cs="Times New Roman"/>
          <w:color w:val="000000"/>
          <w:szCs w:val="32"/>
        </w:rPr>
        <w:t>重型半挂牵引车牵引</w:t>
      </w:r>
      <w:bookmarkStart w:id="35" w:name="OLE_LINK5"/>
      <w:bookmarkStart w:id="36" w:name="OLE_LINK58"/>
      <w:r>
        <w:rPr>
          <w:rFonts w:hint="eastAsia" w:ascii="Times New Roman" w:hAnsi="Times New Roman" w:eastAsia="方正仿宋_GBK" w:cs="Times New Roman"/>
          <w:color w:val="000000"/>
          <w:szCs w:val="32"/>
        </w:rPr>
        <w:t>渝</w:t>
      </w:r>
      <w:r>
        <w:rPr>
          <w:rFonts w:hint="eastAsia" w:ascii="Times New Roman" w:hAnsi="Times New Roman" w:eastAsia="方正仿宋_GBK" w:cs="Times New Roman"/>
          <w:color w:val="000000"/>
          <w:szCs w:val="32"/>
          <w:lang w:eastAsia="zh-CN"/>
        </w:rPr>
        <w:t>D3***</w:t>
      </w:r>
      <w:r>
        <w:rPr>
          <w:rFonts w:hint="eastAsia" w:ascii="Times New Roman" w:hAnsi="Times New Roman" w:eastAsia="方正仿宋_GBK" w:cs="Times New Roman"/>
          <w:color w:val="000000"/>
          <w:szCs w:val="32"/>
        </w:rPr>
        <w:t>挂号</w:t>
      </w:r>
      <w:bookmarkEnd w:id="35"/>
      <w:r>
        <w:rPr>
          <w:rFonts w:hint="eastAsia" w:ascii="Times New Roman" w:hAnsi="Times New Roman" w:eastAsia="方正仿宋_GBK" w:cs="Times New Roman"/>
          <w:color w:val="000000"/>
          <w:szCs w:val="32"/>
        </w:rPr>
        <w:t>重型自卸半挂车</w:t>
      </w:r>
      <w:bookmarkEnd w:id="31"/>
      <w:bookmarkEnd w:id="34"/>
      <w:bookmarkEnd w:id="36"/>
      <w:r>
        <w:rPr>
          <w:rFonts w:hint="eastAsia" w:ascii="Times New Roman" w:hAnsi="Times New Roman" w:eastAsia="方正仿宋_GBK" w:cs="Times New Roman"/>
          <w:color w:val="000000"/>
          <w:szCs w:val="32"/>
        </w:rPr>
        <w:t>沿国道</w:t>
      </w:r>
      <w:r>
        <w:rPr>
          <w:rFonts w:ascii="Times New Roman" w:hAnsi="Times New Roman" w:eastAsia="方正仿宋_GBK" w:cs="Times New Roman"/>
          <w:color w:val="000000"/>
          <w:szCs w:val="32"/>
        </w:rPr>
        <w:t>348</w:t>
      </w:r>
      <w:r>
        <w:rPr>
          <w:rFonts w:hint="eastAsia" w:ascii="Times New Roman" w:hAnsi="Times New Roman" w:eastAsia="方正仿宋_GBK" w:cs="Times New Roman"/>
          <w:color w:val="000000"/>
          <w:szCs w:val="32"/>
        </w:rPr>
        <w:t>线由荣昌城区方向往广顺街道方向行驶，行至重庆市荣昌区国道</w:t>
      </w:r>
      <w:r>
        <w:rPr>
          <w:rFonts w:ascii="Times New Roman" w:hAnsi="Times New Roman" w:eastAsia="方正仿宋_GBK" w:cs="Times New Roman"/>
          <w:color w:val="000000"/>
          <w:szCs w:val="32"/>
        </w:rPr>
        <w:t>348</w:t>
      </w:r>
      <w:r>
        <w:rPr>
          <w:rFonts w:hint="eastAsia" w:ascii="Times New Roman" w:hAnsi="Times New Roman" w:eastAsia="方正仿宋_GBK" w:cs="Times New Roman"/>
          <w:color w:val="000000"/>
          <w:szCs w:val="32"/>
        </w:rPr>
        <w:t>线</w:t>
      </w:r>
      <w:r>
        <w:rPr>
          <w:rFonts w:ascii="Times New Roman" w:hAnsi="Times New Roman" w:eastAsia="方正仿宋_GBK" w:cs="Times New Roman"/>
          <w:color w:val="000000"/>
          <w:szCs w:val="32"/>
        </w:rPr>
        <w:t>1519km+300m</w:t>
      </w:r>
      <w:r>
        <w:rPr>
          <w:rFonts w:hint="eastAsia" w:ascii="Times New Roman" w:hAnsi="Times New Roman" w:eastAsia="方正仿宋_GBK" w:cs="Times New Roman"/>
          <w:color w:val="000000"/>
          <w:szCs w:val="32"/>
        </w:rPr>
        <w:t>处，与车行方向正在通过人行横道的行人相撞，造成该行人死亡</w:t>
      </w:r>
      <w:bookmarkEnd w:id="30"/>
      <w:r>
        <w:rPr>
          <w:rFonts w:hint="eastAsia" w:ascii="Times New Roman" w:hAnsi="Times New Roman" w:eastAsia="方正仿宋_GBK" w:cs="Times New Roman"/>
          <w:color w:val="000000"/>
          <w:szCs w:val="32"/>
        </w:rPr>
        <w:t>的一起一般道路交通事故</w:t>
      </w:r>
      <w:r>
        <w:rPr>
          <w:rFonts w:hint="eastAsia" w:ascii="方正仿宋_GBK" w:hAnsi="方正仿宋_GBK" w:eastAsia="方正仿宋_GBK" w:cs="方正仿宋_GBK"/>
          <w:color w:val="000000"/>
          <w:szCs w:val="32"/>
        </w:rPr>
        <w:t>。</w:t>
      </w:r>
      <w:r>
        <w:rPr>
          <w:rFonts w:hint="eastAsia" w:ascii="方正仿宋_GBK" w:hAnsi="方正仿宋_GBK" w:eastAsia="方正仿宋_GBK" w:cs="方正仿宋_GBK"/>
          <w:szCs w:val="32"/>
        </w:rPr>
        <w:t>事故发生后，区政府依法成立事故调查组开展事故调查，事故调查报告经批复依法向社会进行了公布。</w:t>
      </w:r>
    </w:p>
    <w:p>
      <w:pPr>
        <w:spacing w:line="540" w:lineRule="exact"/>
        <w:ind w:firstLine="640" w:firstLineChars="200"/>
        <w:outlineLvl w:val="0"/>
        <w:rPr>
          <w:rFonts w:ascii="方正黑体_GBK" w:cs="方正黑体_GBK"/>
          <w:szCs w:val="32"/>
        </w:rPr>
      </w:pPr>
      <w:bookmarkStart w:id="37" w:name="_Toc16258"/>
      <w:r>
        <w:rPr>
          <w:rFonts w:hint="eastAsia" w:ascii="方正黑体_GBK" w:hAnsi="方正黑体_GBK" w:cs="方正黑体_GBK"/>
          <w:szCs w:val="32"/>
        </w:rPr>
        <w:t>二、评估工作组织及开展情况</w:t>
      </w:r>
      <w:bookmarkEnd w:id="37"/>
    </w:p>
    <w:p>
      <w:pPr>
        <w:snapToGrid w:val="0"/>
        <w:spacing w:line="540" w:lineRule="exact"/>
        <w:ind w:firstLine="640" w:firstLineChars="200"/>
        <w:rPr>
          <w:rFonts w:ascii="方正仿宋_GBK" w:hAnsi="方正仿宋_GBK" w:eastAsia="方正仿宋_GBK" w:cs="方正仿宋_GBK"/>
          <w:szCs w:val="32"/>
        </w:rPr>
      </w:pPr>
      <w:r>
        <w:rPr>
          <w:rFonts w:hint="eastAsia" w:ascii="方正仿宋_GBK" w:hAnsi="方正仿宋_GBK" w:eastAsia="方正仿宋_GBK" w:cs="方正仿宋_GBK"/>
          <w:szCs w:val="32"/>
        </w:rPr>
        <w:t>由重庆市荣昌区安委办组织，参加事故调查的相关部门派员组成评估组，依据《荣昌昌州“</w:t>
      </w:r>
      <w:r>
        <w:rPr>
          <w:rFonts w:ascii="方正仿宋_GBK" w:hAnsi="方正仿宋_GBK" w:eastAsia="方正仿宋_GBK" w:cs="方正仿宋_GBK"/>
          <w:szCs w:val="32"/>
        </w:rPr>
        <w:t>1</w:t>
      </w:r>
      <w:r>
        <w:rPr>
          <w:rFonts w:hint="eastAsia" w:ascii="方正仿宋_GBK" w:hAnsi="方正仿宋_GBK" w:eastAsia="方正仿宋_GBK" w:cs="方正仿宋_GBK"/>
          <w:szCs w:val="32"/>
        </w:rPr>
        <w:t>·</w:t>
      </w:r>
      <w:r>
        <w:rPr>
          <w:rFonts w:ascii="方正仿宋_GBK" w:hAnsi="方正仿宋_GBK" w:eastAsia="方正仿宋_GBK" w:cs="方正仿宋_GBK"/>
          <w:szCs w:val="32"/>
        </w:rPr>
        <w:t>13</w:t>
      </w:r>
      <w:r>
        <w:rPr>
          <w:rFonts w:hint="eastAsia" w:ascii="方正仿宋_GBK" w:hAnsi="方正仿宋_GBK" w:eastAsia="方正仿宋_GBK" w:cs="方正仿宋_GBK"/>
          <w:szCs w:val="32"/>
        </w:rPr>
        <w:t>”一般道路交通事故调查报告》（以下简称“事故调查报告”），评估组采取调阅事故原始档案、查阅相关文件资料、现场检查和听取汇报等方式，对事故责任追究落实情况、事故防范措施落实情况进行了综合评估。</w:t>
      </w:r>
    </w:p>
    <w:p>
      <w:pPr>
        <w:spacing w:line="540" w:lineRule="exact"/>
        <w:ind w:firstLine="640" w:firstLineChars="200"/>
        <w:outlineLvl w:val="0"/>
        <w:rPr>
          <w:rFonts w:ascii="方正黑体_GBK" w:cs="方正黑体_GBK"/>
          <w:szCs w:val="32"/>
        </w:rPr>
      </w:pPr>
      <w:bookmarkStart w:id="38" w:name="_Toc5731"/>
      <w:r>
        <w:rPr>
          <w:rFonts w:hint="eastAsia" w:ascii="方正黑体_GBK" w:hAnsi="方正黑体_GBK" w:cs="方正黑体_GBK"/>
          <w:szCs w:val="32"/>
        </w:rPr>
        <w:t>三、事故责任追究落实情况</w:t>
      </w:r>
      <w:bookmarkEnd w:id="38"/>
    </w:p>
    <w:p>
      <w:pPr>
        <w:pStyle w:val="12"/>
        <w:widowControl/>
        <w:spacing w:beforeAutospacing="0" w:afterAutospacing="0" w:line="540" w:lineRule="exact"/>
        <w:ind w:firstLine="640" w:firstLineChars="200"/>
        <w:jc w:val="both"/>
        <w:outlineLvl w:val="1"/>
        <w:rPr>
          <w:rFonts w:ascii="方正楷体_GBK" w:cs="方正楷体_GBK"/>
          <w:bCs/>
          <w:kern w:val="2"/>
          <w:szCs w:val="32"/>
        </w:rPr>
      </w:pPr>
      <w:bookmarkStart w:id="39" w:name="_Toc928"/>
      <w:r>
        <w:rPr>
          <w:rFonts w:hint="eastAsia" w:ascii="方正楷体_GBK" w:hAnsi="方正楷体_GBK" w:cs="方正楷体_GBK"/>
          <w:bCs/>
          <w:kern w:val="2"/>
          <w:szCs w:val="32"/>
        </w:rPr>
        <w:t>（一）事故责任单位责任追究落实情况。</w:t>
      </w:r>
      <w:bookmarkEnd w:id="39"/>
    </w:p>
    <w:p>
      <w:pPr>
        <w:snapToGrid w:val="0"/>
        <w:spacing w:line="540" w:lineRule="exact"/>
        <w:ind w:firstLine="640" w:firstLineChars="200"/>
        <w:rPr>
          <w:rFonts w:ascii="方正仿宋_GBK" w:hAnsi="方正仿宋_GBK" w:eastAsia="方正仿宋_GBK" w:cs="方正仿宋_GBK"/>
          <w:szCs w:val="32"/>
        </w:rPr>
      </w:pPr>
      <w:bookmarkStart w:id="40" w:name="OLE_LINK8"/>
      <w:r>
        <w:rPr>
          <w:rFonts w:hint="eastAsia" w:ascii="方正仿宋_GBK" w:hAnsi="方正仿宋_GBK" w:eastAsia="方正仿宋_GBK" w:cs="方正仿宋_GBK"/>
          <w:szCs w:val="32"/>
        </w:rPr>
        <w:t>事故发生后，重庆市永川区</w:t>
      </w:r>
      <w:bookmarkEnd w:id="40"/>
      <w:r>
        <w:rPr>
          <w:rFonts w:hint="eastAsia" w:ascii="方正仿宋_GBK" w:hAnsi="方正仿宋_GBK" w:eastAsia="方正仿宋_GBK" w:cs="方正仿宋_GBK"/>
          <w:szCs w:val="32"/>
        </w:rPr>
        <w:t>道路运输事务中心对重庆市永川区雨帝物流有限公司（以下简称雨帝公司）下达了责令限期整改的通知（永道运发〔</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w:t>
      </w:r>
      <w:r>
        <w:rPr>
          <w:rFonts w:ascii="方正仿宋_GBK" w:hAnsi="方正仿宋_GBK" w:eastAsia="方正仿宋_GBK" w:cs="方正仿宋_GBK"/>
          <w:szCs w:val="32"/>
        </w:rPr>
        <w:t>190</w:t>
      </w:r>
      <w:r>
        <w:rPr>
          <w:rFonts w:hint="eastAsia" w:ascii="方正仿宋_GBK" w:hAnsi="方正仿宋_GBK" w:eastAsia="方正仿宋_GBK" w:cs="方正仿宋_GBK"/>
          <w:szCs w:val="32"/>
        </w:rPr>
        <w:t>号），要求按照《荣昌昌州“</w:t>
      </w:r>
      <w:r>
        <w:rPr>
          <w:rFonts w:ascii="方正仿宋_GBK" w:hAnsi="方正仿宋_GBK" w:eastAsia="方正仿宋_GBK" w:cs="方正仿宋_GBK"/>
          <w:szCs w:val="32"/>
        </w:rPr>
        <w:t>1</w:t>
      </w:r>
      <w:r>
        <w:rPr>
          <w:rFonts w:hint="eastAsia" w:ascii="方正仿宋_GBK" w:hAnsi="方正仿宋_GBK" w:eastAsia="方正仿宋_GBK" w:cs="方正仿宋_GBK"/>
          <w:szCs w:val="32"/>
        </w:rPr>
        <w:t>·</w:t>
      </w:r>
      <w:r>
        <w:rPr>
          <w:rFonts w:ascii="方正仿宋_GBK" w:hAnsi="方正仿宋_GBK" w:eastAsia="方正仿宋_GBK" w:cs="方正仿宋_GBK"/>
          <w:szCs w:val="32"/>
        </w:rPr>
        <w:t>13</w:t>
      </w:r>
      <w:r>
        <w:rPr>
          <w:rFonts w:hint="eastAsia" w:ascii="方正仿宋_GBK" w:hAnsi="方正仿宋_GBK" w:eastAsia="方正仿宋_GBK" w:cs="方正仿宋_GBK"/>
          <w:szCs w:val="32"/>
        </w:rPr>
        <w:t>”一般道路交通事故调查报告》落实整改和防范措施。</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年</w:t>
      </w:r>
      <w:r>
        <w:rPr>
          <w:rFonts w:ascii="方正仿宋_GBK" w:hAnsi="方正仿宋_GBK" w:eastAsia="方正仿宋_GBK" w:cs="方正仿宋_GBK"/>
          <w:szCs w:val="32"/>
        </w:rPr>
        <w:t>5</w:t>
      </w:r>
      <w:r>
        <w:rPr>
          <w:rFonts w:hint="eastAsia" w:ascii="方正仿宋_GBK" w:hAnsi="方正仿宋_GBK" w:eastAsia="方正仿宋_GBK" w:cs="方正仿宋_GBK"/>
          <w:szCs w:val="32"/>
        </w:rPr>
        <w:t>月</w:t>
      </w:r>
      <w:r>
        <w:rPr>
          <w:rFonts w:ascii="方正仿宋_GBK" w:hAnsi="方正仿宋_GBK" w:eastAsia="方正仿宋_GBK" w:cs="方正仿宋_GBK"/>
          <w:szCs w:val="32"/>
        </w:rPr>
        <w:t>20</w:t>
      </w:r>
      <w:r>
        <w:rPr>
          <w:rFonts w:hint="eastAsia" w:ascii="方正仿宋_GBK" w:hAnsi="方正仿宋_GBK" w:eastAsia="方正仿宋_GBK" w:cs="方正仿宋_GBK"/>
          <w:szCs w:val="32"/>
        </w:rPr>
        <w:t>日，雨帝公司向永川区交通运输委提交整改报告，经永川区道路运输事务中心验收整改合格。</w:t>
      </w:r>
    </w:p>
    <w:p>
      <w:pPr>
        <w:pStyle w:val="12"/>
        <w:widowControl/>
        <w:spacing w:beforeAutospacing="0" w:afterAutospacing="0" w:line="540" w:lineRule="exact"/>
        <w:ind w:firstLine="640" w:firstLineChars="200"/>
        <w:jc w:val="both"/>
        <w:outlineLvl w:val="1"/>
        <w:rPr>
          <w:rFonts w:ascii="方正楷体_GBK" w:cs="方正楷体_GBK"/>
          <w:bCs/>
          <w:kern w:val="2"/>
          <w:szCs w:val="32"/>
        </w:rPr>
      </w:pPr>
      <w:r>
        <w:rPr>
          <w:rFonts w:hint="eastAsia" w:ascii="方正楷体_GBK" w:hAnsi="方正楷体_GBK" w:cs="方正楷体_GBK"/>
          <w:bCs/>
          <w:kern w:val="2"/>
          <w:szCs w:val="32"/>
        </w:rPr>
        <w:t>（二）事故责任人员追究落实情况。</w:t>
      </w:r>
    </w:p>
    <w:p>
      <w:pPr>
        <w:snapToGrid w:val="0"/>
        <w:spacing w:line="540" w:lineRule="exact"/>
        <w:ind w:firstLine="640" w:firstLineChars="200"/>
        <w:rPr>
          <w:rFonts w:ascii="方正仿宋_GBK" w:hAnsi="方正仿宋_GBK" w:eastAsia="方正仿宋_GBK" w:cs="方正仿宋_GBK"/>
          <w:szCs w:val="32"/>
        </w:rPr>
      </w:pPr>
      <w:r>
        <w:rPr>
          <w:rFonts w:ascii="方正仿宋_GBK" w:hAnsi="方正仿宋_GBK" w:eastAsia="方正仿宋_GBK" w:cs="方正仿宋_GBK"/>
          <w:szCs w:val="32"/>
        </w:rPr>
        <w:t>1.</w:t>
      </w:r>
      <w:r>
        <w:rPr>
          <w:rFonts w:hint="eastAsia" w:ascii="方正仿宋_GBK" w:hAnsi="方正仿宋_GBK" w:eastAsia="方正仿宋_GBK" w:cs="方正仿宋_GBK"/>
          <w:szCs w:val="32"/>
          <w:lang w:eastAsia="zh-CN"/>
        </w:rPr>
        <w:t>郑某坤</w:t>
      </w:r>
      <w:r>
        <w:rPr>
          <w:rFonts w:hint="eastAsia" w:ascii="方正仿宋_GBK" w:hAnsi="方正仿宋_GBK" w:eastAsia="方正仿宋_GBK" w:cs="方正仿宋_GBK"/>
          <w:szCs w:val="32"/>
        </w:rPr>
        <w:t>，事故车辆驾驶员。驾驶机动车上道路超过标志标明的最高时速行驶，遇行人正在通过人行道未停车让行是导致事故发生的直接原因，承担此次事故的全部责任。</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年</w:t>
      </w:r>
      <w:r>
        <w:rPr>
          <w:rFonts w:ascii="方正仿宋_GBK" w:hAnsi="方正仿宋_GBK" w:eastAsia="方正仿宋_GBK" w:cs="方正仿宋_GBK"/>
          <w:szCs w:val="32"/>
        </w:rPr>
        <w:t>9</w:t>
      </w:r>
      <w:r>
        <w:rPr>
          <w:rFonts w:hint="eastAsia" w:ascii="方正仿宋_GBK" w:hAnsi="方正仿宋_GBK" w:eastAsia="方正仿宋_GBK" w:cs="方正仿宋_GBK"/>
          <w:szCs w:val="32"/>
        </w:rPr>
        <w:t>月</w:t>
      </w:r>
      <w:r>
        <w:rPr>
          <w:rFonts w:ascii="方正仿宋_GBK" w:hAnsi="方正仿宋_GBK" w:eastAsia="方正仿宋_GBK" w:cs="方正仿宋_GBK"/>
          <w:szCs w:val="32"/>
        </w:rPr>
        <w:t>9</w:t>
      </w:r>
      <w:r>
        <w:rPr>
          <w:rFonts w:hint="eastAsia" w:ascii="方正仿宋_GBK" w:hAnsi="方正仿宋_GBK" w:eastAsia="方正仿宋_GBK" w:cs="方正仿宋_GBK"/>
          <w:szCs w:val="32"/>
        </w:rPr>
        <w:t>日，经荣昌区人民检察院审查后决定对</w:t>
      </w:r>
      <w:r>
        <w:rPr>
          <w:rFonts w:hint="eastAsia" w:ascii="方正仿宋_GBK" w:hAnsi="方正仿宋_GBK" w:eastAsia="方正仿宋_GBK" w:cs="方正仿宋_GBK"/>
          <w:szCs w:val="32"/>
          <w:lang w:eastAsia="zh-CN"/>
        </w:rPr>
        <w:t>郑某坤</w:t>
      </w:r>
      <w:r>
        <w:rPr>
          <w:rFonts w:hint="eastAsia" w:ascii="方正仿宋_GBK" w:hAnsi="方正仿宋_GBK" w:eastAsia="方正仿宋_GBK" w:cs="方正仿宋_GBK"/>
          <w:szCs w:val="32"/>
        </w:rPr>
        <w:t>不刑事起诉。</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年</w:t>
      </w:r>
      <w:r>
        <w:rPr>
          <w:rFonts w:ascii="方正仿宋_GBK" w:hAnsi="方正仿宋_GBK" w:eastAsia="方正仿宋_GBK" w:cs="方正仿宋_GBK"/>
          <w:szCs w:val="32"/>
        </w:rPr>
        <w:t>9</w:t>
      </w:r>
      <w:r>
        <w:rPr>
          <w:rFonts w:hint="eastAsia" w:ascii="方正仿宋_GBK" w:hAnsi="方正仿宋_GBK" w:eastAsia="方正仿宋_GBK" w:cs="方正仿宋_GBK"/>
          <w:szCs w:val="32"/>
        </w:rPr>
        <w:t>月</w:t>
      </w:r>
      <w:r>
        <w:rPr>
          <w:rFonts w:ascii="方正仿宋_GBK" w:hAnsi="方正仿宋_GBK" w:eastAsia="方正仿宋_GBK" w:cs="方正仿宋_GBK"/>
          <w:szCs w:val="32"/>
        </w:rPr>
        <w:t>9</w:t>
      </w:r>
      <w:r>
        <w:rPr>
          <w:rFonts w:hint="eastAsia" w:ascii="方正仿宋_GBK" w:hAnsi="方正仿宋_GBK" w:eastAsia="方正仿宋_GBK" w:cs="方正仿宋_GBK"/>
          <w:szCs w:val="32"/>
        </w:rPr>
        <w:t>日，荣昌区公安局交通管理支队对</w:t>
      </w:r>
      <w:r>
        <w:rPr>
          <w:rFonts w:hint="eastAsia" w:ascii="方正仿宋_GBK" w:hAnsi="方正仿宋_GBK" w:eastAsia="方正仿宋_GBK" w:cs="方正仿宋_GBK"/>
          <w:szCs w:val="32"/>
          <w:lang w:eastAsia="zh-CN"/>
        </w:rPr>
        <w:t>郑某坤</w:t>
      </w:r>
      <w:r>
        <w:rPr>
          <w:rFonts w:hint="eastAsia" w:ascii="方正仿宋_GBK" w:hAnsi="方正仿宋_GBK" w:eastAsia="方正仿宋_GBK" w:cs="方正仿宋_GBK"/>
          <w:szCs w:val="32"/>
        </w:rPr>
        <w:t>道路交通违反行为作出暂扣驾驶证</w:t>
      </w:r>
      <w:r>
        <w:rPr>
          <w:rFonts w:ascii="方正仿宋_GBK" w:hAnsi="方正仿宋_GBK" w:eastAsia="方正仿宋_GBK" w:cs="方正仿宋_GBK"/>
          <w:szCs w:val="32"/>
        </w:rPr>
        <w:t>6</w:t>
      </w:r>
      <w:r>
        <w:rPr>
          <w:rFonts w:hint="eastAsia" w:ascii="方正仿宋_GBK" w:hAnsi="方正仿宋_GBK" w:eastAsia="方正仿宋_GBK" w:cs="方正仿宋_GBK"/>
          <w:szCs w:val="32"/>
        </w:rPr>
        <w:t>个月，罚款</w:t>
      </w:r>
      <w:r>
        <w:rPr>
          <w:rFonts w:ascii="方正仿宋_GBK" w:hAnsi="方正仿宋_GBK" w:eastAsia="方正仿宋_GBK" w:cs="方正仿宋_GBK"/>
          <w:szCs w:val="32"/>
        </w:rPr>
        <w:t>250</w:t>
      </w:r>
      <w:r>
        <w:rPr>
          <w:rFonts w:hint="eastAsia" w:ascii="方正仿宋_GBK" w:hAnsi="方正仿宋_GBK" w:eastAsia="方正仿宋_GBK" w:cs="方正仿宋_GBK"/>
          <w:szCs w:val="32"/>
        </w:rPr>
        <w:t>元的行政处罚。</w:t>
      </w:r>
    </w:p>
    <w:p>
      <w:pPr>
        <w:snapToGrid w:val="0"/>
        <w:spacing w:line="540" w:lineRule="exact"/>
        <w:ind w:firstLine="640" w:firstLineChars="200"/>
        <w:rPr>
          <w:rFonts w:ascii="方正仿宋_GBK" w:hAnsi="方正仿宋_GBK" w:eastAsia="方正仿宋_GBK" w:cs="方正仿宋_GBK"/>
          <w:szCs w:val="32"/>
        </w:rPr>
      </w:pPr>
      <w:r>
        <w:rPr>
          <w:rFonts w:ascii="方正仿宋_GBK" w:hAnsi="方正仿宋_GBK" w:eastAsia="方正仿宋_GBK" w:cs="方正仿宋_GBK"/>
          <w:szCs w:val="32"/>
        </w:rPr>
        <w:t xml:space="preserve">2. </w:t>
      </w:r>
      <w:r>
        <w:rPr>
          <w:rFonts w:hint="eastAsia" w:ascii="方正仿宋_GBK" w:hAnsi="方正仿宋_GBK" w:eastAsia="方正仿宋_GBK" w:cs="方正仿宋_GBK"/>
          <w:szCs w:val="32"/>
          <w:lang w:eastAsia="zh-CN"/>
        </w:rPr>
        <w:t>雷某波</w:t>
      </w:r>
      <w:r>
        <w:rPr>
          <w:rFonts w:hint="eastAsia" w:ascii="方正仿宋_GBK" w:hAnsi="方正仿宋_GBK" w:eastAsia="方正仿宋_GBK" w:cs="方正仿宋_GBK"/>
          <w:szCs w:val="32"/>
        </w:rPr>
        <w:t>，事故车辆实际所有人，</w:t>
      </w:r>
      <w:r>
        <w:rPr>
          <w:rFonts w:ascii="方正仿宋_GBK" w:hAnsi="方正仿宋_GBK" w:eastAsia="方正仿宋_GBK" w:cs="方正仿宋_GBK"/>
          <w:szCs w:val="32"/>
        </w:rPr>
        <w:t>2023</w:t>
      </w:r>
      <w:r>
        <w:rPr>
          <w:rFonts w:hint="eastAsia" w:ascii="方正仿宋_GBK" w:hAnsi="方正仿宋_GBK" w:eastAsia="方正仿宋_GBK" w:cs="方正仿宋_GBK"/>
          <w:szCs w:val="32"/>
        </w:rPr>
        <w:t>年</w:t>
      </w:r>
      <w:r>
        <w:rPr>
          <w:rFonts w:ascii="方正仿宋_GBK" w:hAnsi="方正仿宋_GBK" w:eastAsia="方正仿宋_GBK" w:cs="方正仿宋_GBK"/>
          <w:szCs w:val="32"/>
        </w:rPr>
        <w:t>11</w:t>
      </w:r>
      <w:r>
        <w:rPr>
          <w:rFonts w:hint="eastAsia" w:ascii="方正仿宋_GBK" w:hAnsi="方正仿宋_GBK" w:eastAsia="方正仿宋_GBK" w:cs="方正仿宋_GBK"/>
          <w:szCs w:val="32"/>
        </w:rPr>
        <w:t>月</w:t>
      </w:r>
      <w:r>
        <w:rPr>
          <w:rFonts w:ascii="方正仿宋_GBK" w:hAnsi="方正仿宋_GBK" w:eastAsia="方正仿宋_GBK" w:cs="方正仿宋_GBK"/>
          <w:szCs w:val="32"/>
        </w:rPr>
        <w:t>13</w:t>
      </w:r>
      <w:r>
        <w:rPr>
          <w:rFonts w:hint="eastAsia" w:ascii="方正仿宋_GBK" w:hAnsi="方正仿宋_GBK" w:eastAsia="方正仿宋_GBK" w:cs="方正仿宋_GBK"/>
          <w:szCs w:val="32"/>
        </w:rPr>
        <w:t>日，与雨帝公司签订《车辆服务合同》，作为公司登记的驾驶员。因违反雨帝公司的相关管理规定，已被公司处罚</w:t>
      </w:r>
      <w:r>
        <w:rPr>
          <w:rFonts w:ascii="方正仿宋_GBK" w:hAnsi="方正仿宋_GBK" w:eastAsia="方正仿宋_GBK" w:cs="方正仿宋_GBK"/>
          <w:szCs w:val="32"/>
        </w:rPr>
        <w:t>200</w:t>
      </w:r>
      <w:r>
        <w:rPr>
          <w:rFonts w:hint="eastAsia" w:ascii="方正仿宋_GBK" w:hAnsi="方正仿宋_GBK" w:eastAsia="方正仿宋_GBK" w:cs="方正仿宋_GBK"/>
          <w:szCs w:val="32"/>
        </w:rPr>
        <w:t>元。</w:t>
      </w:r>
    </w:p>
    <w:p>
      <w:pPr>
        <w:spacing w:line="540" w:lineRule="exact"/>
        <w:ind w:firstLine="640" w:firstLineChars="200"/>
        <w:outlineLvl w:val="0"/>
        <w:rPr>
          <w:rFonts w:ascii="方正黑体_GBK" w:cs="方正黑体_GBK"/>
          <w:szCs w:val="32"/>
        </w:rPr>
      </w:pPr>
      <w:bookmarkStart w:id="41" w:name="_Toc26173"/>
      <w:r>
        <w:rPr>
          <w:rFonts w:hint="eastAsia" w:ascii="方正黑体_GBK" w:hAnsi="方正黑体_GBK" w:cs="方正黑体_GBK"/>
          <w:szCs w:val="32"/>
        </w:rPr>
        <w:t>四、</w:t>
      </w:r>
      <w:bookmarkEnd w:id="41"/>
      <w:r>
        <w:rPr>
          <w:rFonts w:hint="eastAsia" w:ascii="方正黑体_GBK" w:hAnsi="方正黑体_GBK" w:cs="方正黑体_GBK"/>
          <w:szCs w:val="32"/>
        </w:rPr>
        <w:t>事故防范和整改措施落实情况</w:t>
      </w:r>
    </w:p>
    <w:p>
      <w:pPr>
        <w:spacing w:line="540" w:lineRule="exact"/>
        <w:ind w:firstLine="640" w:firstLineChars="200"/>
        <w:rPr>
          <w:rFonts w:ascii="方正仿宋_GBK" w:hAnsi="方正仿宋_GBK" w:eastAsia="方正仿宋_GBK" w:cs="方正仿宋_GBK"/>
          <w:szCs w:val="32"/>
        </w:rPr>
      </w:pPr>
      <w:bookmarkStart w:id="42" w:name="_Toc16771"/>
      <w:r>
        <w:rPr>
          <w:rFonts w:hint="eastAsia" w:ascii="方正仿宋_GBK" w:hAnsi="方正仿宋_GBK" w:eastAsia="方正仿宋_GBK" w:cs="方正仿宋_GBK"/>
          <w:szCs w:val="32"/>
        </w:rPr>
        <w:t>（一）</w:t>
      </w:r>
      <w:bookmarkStart w:id="43" w:name="OLE_LINK56"/>
      <w:r>
        <w:rPr>
          <w:rFonts w:hint="eastAsia" w:ascii="方正仿宋_GBK" w:hAnsi="方正仿宋_GBK" w:eastAsia="方正仿宋_GBK" w:cs="方正仿宋_GBK"/>
          <w:szCs w:val="32"/>
        </w:rPr>
        <w:t>雨帝公司</w:t>
      </w:r>
      <w:bookmarkEnd w:id="43"/>
      <w:r>
        <w:rPr>
          <w:rFonts w:hint="eastAsia" w:ascii="方正仿宋_GBK" w:hAnsi="方正仿宋_GBK" w:eastAsia="方正仿宋_GBK" w:cs="方正仿宋_GBK"/>
          <w:szCs w:val="32"/>
        </w:rPr>
        <w:t>。</w:t>
      </w:r>
      <w:bookmarkEnd w:id="42"/>
    </w:p>
    <w:p>
      <w:pPr>
        <w:spacing w:line="540" w:lineRule="exact"/>
        <w:ind w:firstLine="640" w:firstLineChars="200"/>
        <w:rPr>
          <w:rFonts w:ascii="方正仿宋_GBK" w:hAnsi="方正仿宋_GBK" w:eastAsia="方正仿宋_GBK" w:cs="方正仿宋_GBK"/>
          <w:szCs w:val="32"/>
        </w:rPr>
      </w:pPr>
      <w:bookmarkStart w:id="44" w:name="_Toc19789"/>
      <w:bookmarkStart w:id="45" w:name="_Toc25983"/>
      <w:bookmarkStart w:id="46" w:name="_Toc6859"/>
      <w:r>
        <w:rPr>
          <w:rFonts w:hint="eastAsia" w:ascii="方正仿宋_GBK" w:hAnsi="方正仿宋_GBK" w:eastAsia="方正仿宋_GBK" w:cs="方正仿宋_GBK"/>
          <w:szCs w:val="32"/>
        </w:rPr>
        <w:t>评估工作小组成员在现场通过对雨帝公司的整改落实情况进行评估（图</w:t>
      </w:r>
      <w:r>
        <w:rPr>
          <w:rFonts w:ascii="方正仿宋_GBK" w:hAnsi="方正仿宋_GBK" w:eastAsia="方正仿宋_GBK" w:cs="方正仿宋_GBK"/>
          <w:szCs w:val="32"/>
        </w:rPr>
        <w:t>1</w:t>
      </w:r>
      <w:r>
        <w:rPr>
          <w:rFonts w:hint="eastAsia" w:ascii="方正仿宋_GBK" w:hAnsi="方正仿宋_GBK" w:eastAsia="方正仿宋_GBK" w:cs="方正仿宋_GBK"/>
          <w:szCs w:val="32"/>
        </w:rPr>
        <w:t>），其情况如下：一是隐患排查治理方面。企业已按照</w:t>
      </w:r>
      <w:r>
        <w:rPr>
          <w:rFonts w:ascii="方正仿宋_GBK" w:hAnsi="方正仿宋_GBK" w:eastAsia="方正仿宋_GBK" w:cs="方正仿宋_GBK"/>
          <w:szCs w:val="32"/>
        </w:rPr>
        <w:t xml:space="preserve"> </w:t>
      </w:r>
      <w:r>
        <w:rPr>
          <w:rFonts w:hint="eastAsia" w:ascii="方正仿宋_GBK" w:hAnsi="方正仿宋_GBK" w:eastAsia="方正仿宋_GBK" w:cs="方正仿宋_GBK"/>
          <w:szCs w:val="32"/>
        </w:rPr>
        <w:t>“四不放过”</w:t>
      </w:r>
      <w:r>
        <w:rPr>
          <w:rFonts w:ascii="方正仿宋_GBK" w:hAnsi="方正仿宋_GBK" w:eastAsia="方正仿宋_GBK" w:cs="方正仿宋_GBK"/>
          <w:szCs w:val="32"/>
        </w:rPr>
        <w:t xml:space="preserve"> </w:t>
      </w:r>
      <w:r>
        <w:rPr>
          <w:rFonts w:hint="eastAsia" w:ascii="方正仿宋_GBK" w:hAnsi="方正仿宋_GBK" w:eastAsia="方正仿宋_GBK" w:cs="方正仿宋_GBK"/>
          <w:szCs w:val="32"/>
        </w:rPr>
        <w:t>要求，常态化开展日、周、月度隐患排查治理工作，常态化排查整治安全隐患，安全风险防控基础得到夯实（图</w:t>
      </w:r>
      <w:r>
        <w:rPr>
          <w:rFonts w:ascii="方正仿宋_GBK" w:hAnsi="方正仿宋_GBK" w:eastAsia="方正仿宋_GBK" w:cs="方正仿宋_GBK"/>
          <w:szCs w:val="32"/>
        </w:rPr>
        <w:t>2</w:t>
      </w:r>
      <w:r>
        <w:rPr>
          <w:rFonts w:hint="eastAsia" w:ascii="方正仿宋_GBK" w:hAnsi="方正仿宋_GBK" w:eastAsia="方正仿宋_GBK" w:cs="方正仿宋_GBK"/>
          <w:szCs w:val="32"/>
        </w:rPr>
        <w:t>）。二是人员管理方面。加强驾驶员管控力度，严格人员审核管理，对新更换驾驶员及时组织安全培训，规范建立驾驶员专属档案，从业人员安全管理得到强化（图</w:t>
      </w:r>
      <w:r>
        <w:rPr>
          <w:rFonts w:ascii="方正仿宋_GBK" w:hAnsi="方正仿宋_GBK" w:eastAsia="方正仿宋_GBK" w:cs="方正仿宋_GBK"/>
          <w:szCs w:val="32"/>
        </w:rPr>
        <w:t>3</w:t>
      </w:r>
      <w:r>
        <w:rPr>
          <w:rFonts w:hint="eastAsia" w:ascii="方正仿宋_GBK" w:hAnsi="方正仿宋_GBK" w:eastAsia="方正仿宋_GBK" w:cs="方正仿宋_GBK"/>
          <w:szCs w:val="32"/>
        </w:rPr>
        <w:t>）。三是动态监控方面。全面更新更换</w:t>
      </w:r>
      <w:r>
        <w:rPr>
          <w:rFonts w:ascii="方正仿宋_GBK" w:hAnsi="方正仿宋_GBK" w:eastAsia="方正仿宋_GBK" w:cs="方正仿宋_GBK"/>
          <w:szCs w:val="32"/>
        </w:rPr>
        <w:t xml:space="preserve"> GPS </w:t>
      </w:r>
      <w:r>
        <w:rPr>
          <w:rFonts w:hint="eastAsia" w:ascii="方正仿宋_GBK" w:hAnsi="方正仿宋_GBK" w:eastAsia="方正仿宋_GBK" w:cs="方正仿宋_GBK"/>
          <w:szCs w:val="32"/>
        </w:rPr>
        <w:t>监控设备，配置</w:t>
      </w:r>
      <w:r>
        <w:rPr>
          <w:rFonts w:ascii="方正仿宋_GBK" w:hAnsi="方正仿宋_GBK" w:eastAsia="方正仿宋_GBK" w:cs="方正仿宋_GBK"/>
          <w:szCs w:val="32"/>
        </w:rPr>
        <w:t xml:space="preserve"> 2 </w:t>
      </w:r>
      <w:r>
        <w:rPr>
          <w:rFonts w:hint="eastAsia" w:ascii="方正仿宋_GBK" w:hAnsi="方正仿宋_GBK" w:eastAsia="方正仿宋_GBK" w:cs="方正仿宋_GBK"/>
          <w:szCs w:val="32"/>
        </w:rPr>
        <w:t>名专职监控人员，保障监控设备稳定正常运行，有效落实车辆动态</w:t>
      </w:r>
      <w:r>
        <w:rPr>
          <w:rFonts w:ascii="方正仿宋_GBK" w:hAnsi="方正仿宋_GBK" w:eastAsia="方正仿宋_GBK" w:cs="方正仿宋_GBK"/>
          <w:szCs w:val="32"/>
        </w:rPr>
        <w:t xml:space="preserve"> GPS </w:t>
      </w:r>
      <w:r>
        <w:rPr>
          <w:rFonts w:hint="eastAsia" w:ascii="方正仿宋_GBK" w:hAnsi="方正仿宋_GBK" w:eastAsia="方正仿宋_GBK" w:cs="方正仿宋_GBK"/>
          <w:szCs w:val="32"/>
        </w:rPr>
        <w:t>管理制度（图</w:t>
      </w:r>
      <w:r>
        <w:rPr>
          <w:rFonts w:ascii="方正仿宋_GBK" w:hAnsi="方正仿宋_GBK" w:eastAsia="方正仿宋_GBK" w:cs="方正仿宋_GBK"/>
          <w:szCs w:val="32"/>
        </w:rPr>
        <w:t>4</w:t>
      </w:r>
      <w:r>
        <w:rPr>
          <w:rFonts w:hint="eastAsia" w:ascii="方正仿宋_GBK" w:hAnsi="方正仿宋_GBK" w:eastAsia="方正仿宋_GBK" w:cs="方正仿宋_GBK"/>
          <w:szCs w:val="32"/>
        </w:rPr>
        <w:t>）。四是责任落实方面。健全完善全员安全生产责任制，加大日常监督考核力度，对违规违纪人员开展考核问责，层层压实安全管理责任（图</w:t>
      </w:r>
      <w:r>
        <w:rPr>
          <w:rFonts w:ascii="方正仿宋_GBK" w:hAnsi="方正仿宋_GBK" w:eastAsia="方正仿宋_GBK" w:cs="方正仿宋_GBK"/>
          <w:szCs w:val="32"/>
        </w:rPr>
        <w:t>5</w:t>
      </w:r>
      <w:r>
        <w:rPr>
          <w:rFonts w:hint="eastAsia" w:ascii="方正仿宋_GBK" w:hAnsi="方正仿宋_GBK" w:eastAsia="方正仿宋_GBK" w:cs="方正仿宋_GBK"/>
          <w:szCs w:val="32"/>
        </w:rPr>
        <w:t>）。</w:t>
      </w:r>
    </w:p>
    <w:p>
      <w:pPr>
        <w:pStyle w:val="2"/>
      </w:pPr>
      <w:r>
        <w:pict>
          <v:shape id="_x0000_s1027" o:spid="_x0000_s1027" o:spt="75" alt="" type="#_x0000_t75" style="position:absolute;left:0pt;margin-left:9pt;margin-top:7.2pt;height:291.35pt;width:403.1pt;z-index:251659264;mso-width-relative:page;mso-height-relative:page;" filled="f" o:preferrelative="t" stroked="f" coordsize="21600,21600">
            <v:path/>
            <v:fill on="f" focussize="0,0"/>
            <v:stroke on="f"/>
            <v:imagedata r:id="rId6" o:title=""/>
            <o:lock v:ext="edit" aspectratio="t"/>
          </v:shape>
        </w:pic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12"/>
        <w:widowControl/>
        <w:spacing w:beforeAutospacing="0" w:afterAutospacing="0" w:line="540" w:lineRule="exact"/>
        <w:jc w:val="both"/>
        <w:outlineLvl w:val="1"/>
        <w:rPr>
          <w:rFonts w:ascii="华文宋体" w:hAnsi="华文宋体" w:eastAsia="华文宋体" w:cs="方正仿宋_GBK"/>
          <w:kern w:val="2"/>
          <w:sz w:val="24"/>
        </w:rPr>
      </w:pPr>
      <w:r>
        <w:rPr>
          <w:rFonts w:hint="eastAsia" w:ascii="华文宋体" w:hAnsi="华文宋体" w:eastAsia="华文宋体" w:cs="方正楷体_GBK"/>
          <w:bCs/>
          <w:kern w:val="2"/>
          <w:sz w:val="24"/>
        </w:rPr>
        <w:t>图</w:t>
      </w:r>
      <w:r>
        <w:rPr>
          <w:rFonts w:ascii="华文宋体" w:hAnsi="华文宋体" w:eastAsia="华文宋体" w:cs="方正楷体_GBK"/>
          <w:bCs/>
          <w:kern w:val="2"/>
          <w:sz w:val="24"/>
        </w:rPr>
        <w:t xml:space="preserve">1 </w:t>
      </w:r>
      <w:r>
        <w:rPr>
          <w:rFonts w:hint="eastAsia" w:ascii="华文宋体" w:hAnsi="华文宋体" w:eastAsia="华文宋体" w:cs="方正仿宋_GBK"/>
          <w:kern w:val="2"/>
          <w:sz w:val="24"/>
        </w:rPr>
        <w:t>评估工作小组对公司整改落实情况进行评估</w:t>
      </w:r>
    </w:p>
    <w:p>
      <w:pPr>
        <w:pStyle w:val="12"/>
        <w:widowControl/>
        <w:spacing w:beforeAutospacing="0" w:afterAutospacing="0" w:line="540" w:lineRule="exact"/>
        <w:jc w:val="both"/>
        <w:outlineLvl w:val="1"/>
        <w:rPr>
          <w:rFonts w:ascii="方正楷体_GBK" w:cs="方正楷体_GBK"/>
          <w:bCs/>
          <w:color w:val="FF0000"/>
          <w:kern w:val="2"/>
          <w:szCs w:val="32"/>
        </w:rPr>
      </w:pPr>
      <w:r>
        <w:rPr>
          <w:rFonts w:ascii="方正楷体_GBK" w:cs="方正楷体_GBK"/>
          <w:bCs/>
          <w:color w:val="FF0000"/>
          <w:kern w:val="2"/>
          <w:szCs w:val="32"/>
        </w:rPr>
        <w:br w:type="page"/>
      </w: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r>
        <w:pict>
          <v:shape id="_x0000_s1028" o:spid="_x0000_s1028" o:spt="75" alt="" type="#_x0000_t75" style="position:absolute;left:0pt;margin-left:0pt;margin-top:-19.2pt;height:268.6pt;width:410.45pt;z-index:251657216;mso-width-relative:page;mso-height-relative:page;" filled="f" o:preferrelative="t" stroked="f" coordsize="21600,21600">
            <v:path/>
            <v:fill on="f" focussize="0,0"/>
            <v:stroke on="f"/>
            <v:imagedata r:id="rId7" cropright="9482f" cropbottom="417f" gain="61603f" blacklevel="0f" o:title=""/>
            <o:lock v:ext="edit" aspectratio="t"/>
          </v:shape>
        </w:pict>
      </w: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480" w:firstLineChars="200"/>
        <w:jc w:val="center"/>
        <w:outlineLvl w:val="1"/>
        <w:rPr>
          <w:rFonts w:ascii="华文宋体" w:hAnsi="华文宋体" w:eastAsia="华文宋体" w:cs="方正仿宋_GBK"/>
          <w:kern w:val="2"/>
          <w:sz w:val="24"/>
        </w:rPr>
      </w:pPr>
      <w:r>
        <w:rPr>
          <w:rFonts w:hint="eastAsia" w:ascii="华文宋体" w:hAnsi="华文宋体" w:eastAsia="华文宋体" w:cs="方正仿宋_GBK"/>
          <w:kern w:val="2"/>
          <w:sz w:val="24"/>
        </w:rPr>
        <w:t>图</w:t>
      </w:r>
      <w:r>
        <w:rPr>
          <w:rFonts w:ascii="华文宋体" w:hAnsi="华文宋体" w:eastAsia="华文宋体" w:cs="方正仿宋_GBK"/>
          <w:kern w:val="2"/>
          <w:sz w:val="24"/>
        </w:rPr>
        <w:t xml:space="preserve">2 </w:t>
      </w:r>
      <w:r>
        <w:rPr>
          <w:rFonts w:hint="eastAsia" w:ascii="华文宋体" w:hAnsi="华文宋体" w:eastAsia="华文宋体" w:cs="方正仿宋_GBK"/>
          <w:kern w:val="2"/>
          <w:sz w:val="24"/>
        </w:rPr>
        <w:t>重庆雨帝公司隐患排查治理开展情况</w:t>
      </w: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r>
        <w:pict>
          <v:shape id="_x0000_s1029" o:spid="_x0000_s1029" o:spt="75" type="#_x0000_t75" style="position:absolute;left:0pt;margin-left:0pt;margin-top:19.2pt;height:247.25pt;width:441pt;z-index:251656192;mso-width-relative:page;mso-height-relative:page;" filled="f" o:preferrelative="t" stroked="f" coordsize="21600,21600">
            <v:path/>
            <v:fill on="f" focussize="0,0"/>
            <v:stroke on="f" joinstyle="miter"/>
            <v:imagedata r:id="rId8" o:title=""/>
            <o:lock v:ext="edit" aspectratio="t"/>
          </v:shape>
        </w:pict>
      </w: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480" w:firstLineChars="200"/>
        <w:jc w:val="center"/>
        <w:outlineLvl w:val="1"/>
        <w:rPr>
          <w:rFonts w:ascii="华文宋体" w:hAnsi="华文宋体" w:eastAsia="华文宋体" w:cs="方正仿宋_GBK"/>
          <w:kern w:val="2"/>
          <w:sz w:val="24"/>
        </w:rPr>
      </w:pPr>
      <w:r>
        <w:rPr>
          <w:rFonts w:hint="eastAsia" w:ascii="华文宋体" w:hAnsi="华文宋体" w:eastAsia="华文宋体" w:cs="方正仿宋_GBK"/>
          <w:kern w:val="2"/>
          <w:sz w:val="24"/>
        </w:rPr>
        <w:t>图</w:t>
      </w:r>
      <w:r>
        <w:rPr>
          <w:rFonts w:ascii="华文宋体" w:hAnsi="华文宋体" w:eastAsia="华文宋体" w:cs="方正仿宋_GBK"/>
          <w:kern w:val="2"/>
          <w:sz w:val="24"/>
        </w:rPr>
        <w:t xml:space="preserve">3 </w:t>
      </w:r>
      <w:r>
        <w:rPr>
          <w:rFonts w:hint="eastAsia" w:ascii="华文宋体" w:hAnsi="华文宋体" w:eastAsia="华文宋体" w:cs="方正仿宋_GBK"/>
          <w:kern w:val="2"/>
          <w:sz w:val="24"/>
        </w:rPr>
        <w:t>驾驶员更换档案建立情况</w:t>
      </w: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r>
        <w:pict>
          <v:shape id="_x0000_s1030" o:spid="_x0000_s1030" o:spt="75" alt="" type="#_x0000_t75" style="position:absolute;left:0pt;margin-left:9pt;margin-top:7.8pt;height:299.25pt;width:399.05pt;z-index:251658240;mso-width-relative:page;mso-height-relative:page;" filled="f" o:preferrelative="t" stroked="f" coordsize="21600,21600">
            <v:path/>
            <v:fill on="f" focussize="0,0"/>
            <v:stroke on="f"/>
            <v:imagedata r:id="rId9" o:title=""/>
            <o:lock v:ext="edit" aspectratio="t"/>
          </v:shape>
        </w:pict>
      </w: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bookmarkStart w:id="51" w:name="_GoBack"/>
      <w:bookmarkEnd w:id="51"/>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640" w:firstLineChars="200"/>
        <w:jc w:val="both"/>
        <w:outlineLvl w:val="1"/>
        <w:rPr>
          <w:rFonts w:ascii="方正楷体_GBK" w:cs="方正楷体_GBK"/>
          <w:bCs/>
          <w:color w:val="FF0000"/>
          <w:kern w:val="2"/>
          <w:szCs w:val="32"/>
        </w:rPr>
      </w:pPr>
    </w:p>
    <w:p>
      <w:pPr>
        <w:pStyle w:val="12"/>
        <w:widowControl/>
        <w:spacing w:beforeAutospacing="0" w:afterAutospacing="0" w:line="540" w:lineRule="exact"/>
        <w:ind w:firstLine="480" w:firstLineChars="200"/>
        <w:jc w:val="center"/>
        <w:outlineLvl w:val="1"/>
        <w:rPr>
          <w:rFonts w:ascii="华文宋体" w:hAnsi="华文宋体" w:eastAsia="华文宋体" w:cs="方正仿宋_GBK"/>
          <w:kern w:val="2"/>
          <w:sz w:val="24"/>
        </w:rPr>
      </w:pPr>
      <w:r>
        <w:rPr>
          <w:rFonts w:hint="eastAsia" w:ascii="华文宋体" w:hAnsi="华文宋体" w:eastAsia="华文宋体" w:cs="方正仿宋_GBK"/>
          <w:kern w:val="2"/>
          <w:sz w:val="24"/>
        </w:rPr>
        <w:t>图</w:t>
      </w:r>
      <w:r>
        <w:rPr>
          <w:rFonts w:ascii="华文宋体" w:hAnsi="华文宋体" w:eastAsia="华文宋体" w:cs="方正仿宋_GBK"/>
          <w:kern w:val="2"/>
          <w:sz w:val="24"/>
        </w:rPr>
        <w:t xml:space="preserve">4 GPS </w:t>
      </w:r>
      <w:r>
        <w:rPr>
          <w:rFonts w:hint="eastAsia" w:ascii="华文宋体" w:hAnsi="华文宋体" w:eastAsia="华文宋体" w:cs="方正仿宋_GBK"/>
          <w:kern w:val="2"/>
          <w:sz w:val="24"/>
        </w:rPr>
        <w:t>管理制度落实情况</w:t>
      </w: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r>
        <w:pict>
          <v:shape id="_x0000_s1031" o:spid="_x0000_s1031" o:spt="75" alt="" type="#_x0000_t75" style="position:absolute;left:0pt;margin-left:55.1pt;margin-top:4.25pt;height:275.3pt;width:372.35pt;z-index:251658240;mso-width-relative:page;mso-height-relative:page;" filled="f" o:preferrelative="t" stroked="f" coordsize="21600,21600">
            <v:path/>
            <v:fill on="f" focussize="0,0"/>
            <v:stroke on="f"/>
            <v:imagedata r:id="rId10" cropright="15493f" o:title=""/>
            <o:lock v:ext="edit" aspectratio="t"/>
          </v:shape>
        </w:pict>
      </w: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640" w:firstLineChars="200"/>
        <w:jc w:val="both"/>
        <w:outlineLvl w:val="1"/>
        <w:rPr>
          <w:rFonts w:ascii="方正仿宋_GBK" w:hAnsi="方正仿宋_GBK" w:eastAsia="方正仿宋_GBK" w:cs="方正仿宋_GBK"/>
          <w:kern w:val="2"/>
          <w:szCs w:val="32"/>
        </w:rPr>
      </w:pPr>
    </w:p>
    <w:p>
      <w:pPr>
        <w:pStyle w:val="12"/>
        <w:widowControl/>
        <w:spacing w:beforeAutospacing="0" w:afterAutospacing="0" w:line="540" w:lineRule="exact"/>
        <w:ind w:firstLine="480" w:firstLineChars="200"/>
        <w:jc w:val="center"/>
        <w:outlineLvl w:val="1"/>
        <w:rPr>
          <w:rFonts w:hint="eastAsia" w:ascii="华文宋体" w:hAnsi="华文宋体" w:eastAsia="华文宋体" w:cs="方正仿宋_GBK"/>
          <w:kern w:val="2"/>
          <w:sz w:val="24"/>
        </w:rPr>
      </w:pPr>
    </w:p>
    <w:p>
      <w:pPr>
        <w:pStyle w:val="12"/>
        <w:widowControl/>
        <w:spacing w:beforeAutospacing="0" w:afterAutospacing="0" w:line="540" w:lineRule="exact"/>
        <w:ind w:firstLine="480" w:firstLineChars="200"/>
        <w:jc w:val="center"/>
        <w:outlineLvl w:val="1"/>
        <w:rPr>
          <w:rFonts w:ascii="方正楷体_GBK" w:cs="方正楷体_GBK"/>
          <w:bCs/>
          <w:color w:val="FF0000"/>
          <w:kern w:val="2"/>
          <w:szCs w:val="32"/>
        </w:rPr>
      </w:pPr>
      <w:r>
        <w:rPr>
          <w:rFonts w:hint="eastAsia" w:ascii="华文宋体" w:hAnsi="华文宋体" w:eastAsia="华文宋体" w:cs="方正仿宋_GBK"/>
          <w:kern w:val="2"/>
          <w:sz w:val="24"/>
        </w:rPr>
        <w:t>图</w:t>
      </w:r>
      <w:r>
        <w:rPr>
          <w:rFonts w:ascii="华文宋体" w:hAnsi="华文宋体" w:eastAsia="华文宋体" w:cs="方正仿宋_GBK"/>
          <w:kern w:val="2"/>
          <w:sz w:val="24"/>
        </w:rPr>
        <w:t xml:space="preserve">5 </w:t>
      </w:r>
      <w:r>
        <w:rPr>
          <w:rFonts w:hint="eastAsia" w:ascii="华文宋体" w:hAnsi="华文宋体" w:eastAsia="华文宋体" w:cs="方正仿宋_GBK"/>
          <w:kern w:val="2"/>
          <w:sz w:val="24"/>
        </w:rPr>
        <w:t>安全生产责任制落实情况</w:t>
      </w:r>
    </w:p>
    <w:p>
      <w:pPr>
        <w:pStyle w:val="12"/>
        <w:widowControl/>
        <w:spacing w:beforeAutospacing="0" w:afterAutospacing="0" w:line="540" w:lineRule="exact"/>
        <w:ind w:firstLine="640" w:firstLineChars="200"/>
        <w:jc w:val="both"/>
        <w:outlineLvl w:val="1"/>
        <w:rPr>
          <w:rFonts w:ascii="方正楷体_GBK" w:cs="方正楷体_GBK"/>
          <w:bCs/>
          <w:kern w:val="2"/>
          <w:szCs w:val="32"/>
        </w:rPr>
      </w:pPr>
      <w:r>
        <w:rPr>
          <w:rFonts w:hint="eastAsia" w:ascii="方正楷体_GBK" w:hAnsi="方正楷体_GBK" w:cs="方正楷体_GBK"/>
          <w:bCs/>
          <w:kern w:val="2"/>
          <w:szCs w:val="32"/>
        </w:rPr>
        <w:t>（二）</w:t>
      </w:r>
      <w:r>
        <w:rPr>
          <w:rFonts w:hint="eastAsia" w:ascii="方正楷体_GBK" w:hAnsi="方正楷体_GBK" w:cs="方正楷体_GBK"/>
          <w:kern w:val="2"/>
          <w:szCs w:val="32"/>
        </w:rPr>
        <w:t>重庆市永川区交通运输委员会</w:t>
      </w:r>
      <w:r>
        <w:rPr>
          <w:rFonts w:hint="eastAsia" w:ascii="方正楷体_GBK" w:hAnsi="方正楷体_GBK" w:cs="方正楷体_GBK"/>
          <w:bCs/>
          <w:kern w:val="2"/>
          <w:szCs w:val="32"/>
        </w:rPr>
        <w:t>。</w:t>
      </w:r>
      <w:bookmarkEnd w:id="44"/>
      <w:bookmarkEnd w:id="45"/>
      <w:bookmarkEnd w:id="46"/>
    </w:p>
    <w:p>
      <w:pPr>
        <w:spacing w:line="540" w:lineRule="exact"/>
        <w:ind w:firstLine="640" w:firstLineChars="200"/>
        <w:outlineLvl w:val="0"/>
        <w:rPr>
          <w:rFonts w:ascii="方正仿宋_GBK" w:hAnsi="方正仿宋_GBK" w:eastAsia="方正仿宋_GBK" w:cs="方正仿宋_GBK"/>
          <w:szCs w:val="32"/>
        </w:rPr>
      </w:pPr>
      <w:bookmarkStart w:id="47" w:name="_Toc25495"/>
      <w:bookmarkStart w:id="48" w:name="_Toc20580"/>
      <w:bookmarkStart w:id="49" w:name="_Toc11272"/>
      <w:r>
        <w:rPr>
          <w:rFonts w:hint="eastAsia" w:ascii="方正仿宋_GBK" w:hAnsi="方正仿宋_GBK" w:eastAsia="方正仿宋_GBK" w:cs="方正仿宋_GBK"/>
          <w:szCs w:val="32"/>
        </w:rPr>
        <w:t>一是强化主体责任落实。已对雨帝公司负责人进行约谈，督促企业主要负责人严格落实职责，抓好安全生产工作，要求各企业要深刻吸取事故教训，举一反三，建立健全日常安全教育培训机制，密切关注驾驶员“四态”，加强营运车辆</w:t>
      </w:r>
      <w:r>
        <w:rPr>
          <w:rFonts w:ascii="方正仿宋_GBK" w:hAnsi="方正仿宋_GBK" w:eastAsia="方正仿宋_GBK" w:cs="方正仿宋_GBK"/>
          <w:szCs w:val="32"/>
        </w:rPr>
        <w:t>GPS</w:t>
      </w:r>
      <w:r>
        <w:rPr>
          <w:rFonts w:hint="eastAsia" w:ascii="方正仿宋_GBK" w:hAnsi="方正仿宋_GBK" w:eastAsia="方正仿宋_GBK" w:cs="方正仿宋_GBK"/>
          <w:szCs w:val="32"/>
        </w:rPr>
        <w:t>动态监管，对违法行为及时预警，预防事故发生；二是严格企业安全检查。按照年度工作计划，严格对各货运企业开展安全检查和指导帮扶，</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年指导帮扶货运企业</w:t>
      </w:r>
      <w:r>
        <w:rPr>
          <w:rFonts w:ascii="方正仿宋_GBK" w:hAnsi="方正仿宋_GBK" w:eastAsia="方正仿宋_GBK" w:cs="方正仿宋_GBK"/>
          <w:szCs w:val="32"/>
        </w:rPr>
        <w:t>91</w:t>
      </w:r>
      <w:r>
        <w:rPr>
          <w:rFonts w:hint="eastAsia" w:ascii="方正仿宋_GBK" w:hAnsi="方正仿宋_GBK" w:eastAsia="方正仿宋_GBK" w:cs="方正仿宋_GBK"/>
          <w:szCs w:val="32"/>
        </w:rPr>
        <w:t>家次，发现和整改安全隐患问题</w:t>
      </w:r>
      <w:r>
        <w:rPr>
          <w:rFonts w:ascii="方正仿宋_GBK" w:hAnsi="方正仿宋_GBK" w:eastAsia="方正仿宋_GBK" w:cs="方正仿宋_GBK"/>
          <w:szCs w:val="32"/>
        </w:rPr>
        <w:t>56</w:t>
      </w:r>
      <w:r>
        <w:rPr>
          <w:rFonts w:hint="eastAsia" w:ascii="方正仿宋_GBK" w:hAnsi="方正仿宋_GBK" w:eastAsia="方正仿宋_GBK" w:cs="方正仿宋_GBK"/>
          <w:szCs w:val="32"/>
        </w:rPr>
        <w:t>个；三是强化科技监管。在货运企业全面使用安全风险管理系统，行业通过系统督促企业及时进行风险研判和安全隐患排查治理，提高安全监管效能；四是完善安全工作机制。</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年在全区各货运企业内全面推进安全风险和隐患排查治理双重预防机制建设工作，确保货运企业安全风险防控和安全隐患排查治理规范化、标准化，提高企业事故防范能力，落实企业安全生产主体责任。要督促所辖企业健全生产安全事故隐患排查治理预防机制，健全风险防范化解机制，加强对辖区道路货物运输企业</w:t>
      </w:r>
      <w:r>
        <w:rPr>
          <w:rFonts w:ascii="方正仿宋_GBK" w:hAnsi="方正仿宋_GBK" w:eastAsia="方正仿宋_GBK" w:cs="方正仿宋_GBK"/>
          <w:szCs w:val="32"/>
        </w:rPr>
        <w:t>GPS</w:t>
      </w:r>
      <w:r>
        <w:rPr>
          <w:rFonts w:hint="eastAsia" w:ascii="方正仿宋_GBK" w:hAnsi="方正仿宋_GBK" w:eastAsia="方正仿宋_GBK" w:cs="方正仿宋_GBK"/>
          <w:szCs w:val="32"/>
        </w:rPr>
        <w:t>终端数据信号异常及人车不符上路行为的监管执法，切实提高企业安全生产管理水平。</w:t>
      </w:r>
    </w:p>
    <w:p>
      <w:pPr>
        <w:pStyle w:val="12"/>
        <w:widowControl/>
        <w:spacing w:beforeAutospacing="0" w:afterAutospacing="0" w:line="540" w:lineRule="exact"/>
        <w:ind w:firstLine="640" w:firstLineChars="200"/>
        <w:jc w:val="both"/>
        <w:outlineLvl w:val="1"/>
        <w:rPr>
          <w:rFonts w:ascii="方正楷体_GBK" w:cs="方正楷体_GBK"/>
          <w:bCs/>
          <w:kern w:val="2"/>
          <w:szCs w:val="32"/>
        </w:rPr>
      </w:pPr>
      <w:r>
        <w:rPr>
          <w:rFonts w:hint="eastAsia" w:ascii="方正楷体_GBK" w:hAnsi="方正楷体_GBK" w:cs="方正楷体_GBK"/>
          <w:bCs/>
          <w:kern w:val="2"/>
          <w:szCs w:val="32"/>
        </w:rPr>
        <w:t>（三）</w:t>
      </w:r>
      <w:bookmarkEnd w:id="47"/>
      <w:bookmarkEnd w:id="48"/>
      <w:bookmarkEnd w:id="49"/>
      <w:r>
        <w:rPr>
          <w:rFonts w:hint="eastAsia" w:ascii="方正楷体_GBK" w:hAnsi="方正楷体_GBK" w:cs="方正楷体_GBK"/>
          <w:kern w:val="2"/>
          <w:szCs w:val="32"/>
        </w:rPr>
        <w:t>重庆市荣昌区公安局交通管理支队</w:t>
      </w:r>
    </w:p>
    <w:p>
      <w:pPr>
        <w:spacing w:line="540" w:lineRule="exact"/>
        <w:ind w:firstLine="640" w:firstLineChars="200"/>
        <w:outlineLvl w:val="0"/>
        <w:rPr>
          <w:rFonts w:ascii="方正仿宋_GBK" w:hAnsi="方正仿宋_GBK" w:eastAsia="方正仿宋_GBK" w:cs="方正仿宋_GBK"/>
          <w:szCs w:val="32"/>
        </w:rPr>
      </w:pPr>
      <w:bookmarkStart w:id="50" w:name="_Toc24919"/>
      <w:r>
        <w:rPr>
          <w:rFonts w:hint="eastAsia" w:ascii="方正仿宋_GBK" w:hAnsi="方正仿宋_GBK" w:eastAsia="方正仿宋_GBK" w:cs="方正仿宋_GBK"/>
          <w:szCs w:val="32"/>
        </w:rPr>
        <w:t>重庆市荣昌区公安局交通管理支队吸取事故教训，加强路面管控。</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年，针对事故发生地昌州街道，区公安局交通管理支队昌州大队着重加强重点时段、重点路段、重点驾驶人的管控力度，严查货车“三超”违法行为，共查处货车违法行为</w:t>
      </w:r>
      <w:r>
        <w:rPr>
          <w:rFonts w:ascii="方正仿宋_GBK" w:hAnsi="方正仿宋_GBK" w:eastAsia="方正仿宋_GBK" w:cs="方正仿宋_GBK"/>
          <w:szCs w:val="32"/>
        </w:rPr>
        <w:t>3899</w:t>
      </w:r>
      <w:r>
        <w:rPr>
          <w:rFonts w:hint="eastAsia" w:ascii="方正仿宋_GBK" w:hAnsi="方正仿宋_GBK" w:eastAsia="方正仿宋_GBK" w:cs="方正仿宋_GBK"/>
          <w:szCs w:val="32"/>
        </w:rPr>
        <w:t>余件。</w:t>
      </w:r>
      <w:r>
        <w:rPr>
          <w:rFonts w:ascii="方正仿宋_GBK" w:hAnsi="方正仿宋_GBK" w:eastAsia="方正仿宋_GBK" w:cs="方正仿宋_GBK"/>
          <w:szCs w:val="32"/>
        </w:rPr>
        <w:t>2025</w:t>
      </w:r>
      <w:r>
        <w:rPr>
          <w:rFonts w:hint="eastAsia" w:ascii="方正仿宋_GBK" w:hAnsi="方正仿宋_GBK" w:eastAsia="方正仿宋_GBK" w:cs="方正仿宋_GBK"/>
          <w:szCs w:val="32"/>
        </w:rPr>
        <w:t>年开展交通安全宣传教育</w:t>
      </w:r>
      <w:r>
        <w:rPr>
          <w:rFonts w:ascii="方正仿宋_GBK" w:hAnsi="方正仿宋_GBK" w:eastAsia="方正仿宋_GBK" w:cs="方正仿宋_GBK"/>
          <w:szCs w:val="32"/>
        </w:rPr>
        <w:t>12</w:t>
      </w:r>
      <w:r>
        <w:rPr>
          <w:rFonts w:hint="eastAsia" w:ascii="方正仿宋_GBK" w:hAnsi="方正仿宋_GBK" w:eastAsia="方正仿宋_GBK" w:cs="方正仿宋_GBK"/>
          <w:szCs w:val="32"/>
        </w:rPr>
        <w:t>次，其中在学校开展宣传教育</w:t>
      </w:r>
      <w:r>
        <w:rPr>
          <w:rFonts w:ascii="方正仿宋_GBK" w:hAnsi="方正仿宋_GBK" w:eastAsia="方正仿宋_GBK" w:cs="方正仿宋_GBK"/>
          <w:szCs w:val="32"/>
        </w:rPr>
        <w:t>8</w:t>
      </w:r>
      <w:r>
        <w:rPr>
          <w:rFonts w:hint="eastAsia" w:ascii="方正仿宋_GBK" w:hAnsi="方正仿宋_GBK" w:eastAsia="方正仿宋_GBK" w:cs="方正仿宋_GBK"/>
          <w:szCs w:val="32"/>
        </w:rPr>
        <w:t>次、社区和货运场站各</w:t>
      </w:r>
      <w:r>
        <w:rPr>
          <w:rFonts w:ascii="方正仿宋_GBK" w:hAnsi="方正仿宋_GBK" w:eastAsia="方正仿宋_GBK" w:cs="方正仿宋_GBK"/>
          <w:szCs w:val="32"/>
        </w:rPr>
        <w:t>2</w:t>
      </w:r>
      <w:r>
        <w:rPr>
          <w:rFonts w:hint="eastAsia" w:ascii="方正仿宋_GBK" w:hAnsi="方正仿宋_GBK" w:eastAsia="方正仿宋_GBK" w:cs="方正仿宋_GBK"/>
          <w:szCs w:val="32"/>
        </w:rPr>
        <w:t>次。</w:t>
      </w:r>
    </w:p>
    <w:p>
      <w:pPr>
        <w:spacing w:line="540" w:lineRule="exact"/>
        <w:ind w:firstLine="640" w:firstLineChars="200"/>
        <w:outlineLvl w:val="0"/>
        <w:rPr>
          <w:rFonts w:ascii="方正黑体_GBK" w:cs="方正黑体_GBK"/>
          <w:szCs w:val="32"/>
        </w:rPr>
      </w:pPr>
      <w:r>
        <w:rPr>
          <w:rFonts w:hint="eastAsia" w:ascii="方正黑体_GBK" w:hAnsi="方正黑体_GBK" w:cs="方正黑体_GBK"/>
          <w:szCs w:val="32"/>
        </w:rPr>
        <w:t>五、评估意见</w:t>
      </w:r>
      <w:bookmarkEnd w:id="50"/>
    </w:p>
    <w:p>
      <w:pPr>
        <w:spacing w:line="540" w:lineRule="exact"/>
        <w:ind w:firstLine="640" w:firstLineChars="200"/>
        <w:rPr>
          <w:szCs w:val="32"/>
        </w:rPr>
      </w:pPr>
      <w:r>
        <w:rPr>
          <w:rFonts w:hint="eastAsia" w:ascii="方正仿宋_GBK" w:hAnsi="方正仿宋_GBK" w:eastAsia="方正仿宋_GBK" w:cs="方正仿宋_GBK"/>
          <w:szCs w:val="32"/>
        </w:rPr>
        <w:t>评估组经综合评估后一致认为，各单位按照区政府批复意见，对有关责任人员作出相关处理；事故责任人及有关单位吸取事故教训，基本落实了事故调查报告提出的事故防范整改措施。</w:t>
      </w:r>
    </w:p>
    <w:p>
      <w:pPr>
        <w:spacing w:line="560" w:lineRule="exact"/>
        <w:rPr>
          <w:szCs w:val="32"/>
        </w:rPr>
      </w:pPr>
    </w:p>
    <w:p>
      <w:pPr>
        <w:kinsoku w:val="0"/>
        <w:spacing w:line="560" w:lineRule="exact"/>
        <w:ind w:firstLine="3443" w:firstLineChars="1345"/>
        <w:rPr>
          <w:rFonts w:ascii="Times New Roman" w:hAnsi="Times New Roman" w:eastAsia="方正仿宋_GBK" w:cs="Times New Roman"/>
          <w:color w:val="000000"/>
          <w:w w:val="80"/>
          <w:szCs w:val="32"/>
        </w:rPr>
      </w:pPr>
      <w:r>
        <w:rPr>
          <w:rFonts w:hint="eastAsia" w:ascii="Times New Roman" w:hAnsi="Times New Roman" w:eastAsia="方正仿宋_GBK" w:cs="Times New Roman"/>
          <w:color w:val="000000"/>
          <w:w w:val="80"/>
          <w:szCs w:val="32"/>
        </w:rPr>
        <w:t>荣昌昌州“</w:t>
      </w:r>
      <w:r>
        <w:rPr>
          <w:rFonts w:ascii="Times New Roman" w:hAnsi="Times New Roman" w:eastAsia="方正仿宋_GBK" w:cs="Times New Roman"/>
          <w:color w:val="000000"/>
          <w:w w:val="80"/>
          <w:szCs w:val="32"/>
        </w:rPr>
        <w:t>1</w:t>
      </w:r>
      <w:r>
        <w:rPr>
          <w:rFonts w:hint="eastAsia" w:ascii="Times New Roman" w:hAnsi="Times New Roman" w:eastAsia="方正仿宋_GBK" w:cs="Times New Roman"/>
          <w:color w:val="000000"/>
          <w:w w:val="80"/>
          <w:szCs w:val="32"/>
        </w:rPr>
        <w:t>·</w:t>
      </w:r>
      <w:r>
        <w:rPr>
          <w:rFonts w:ascii="Times New Roman" w:hAnsi="Times New Roman" w:eastAsia="方正仿宋_GBK" w:cs="Times New Roman"/>
          <w:color w:val="000000"/>
          <w:w w:val="80"/>
          <w:szCs w:val="32"/>
        </w:rPr>
        <w:t>13</w:t>
      </w:r>
      <w:r>
        <w:rPr>
          <w:rFonts w:hint="eastAsia" w:ascii="Times New Roman" w:hAnsi="Times New Roman" w:eastAsia="方正仿宋_GBK" w:cs="Times New Roman"/>
          <w:color w:val="000000"/>
          <w:w w:val="80"/>
          <w:szCs w:val="32"/>
        </w:rPr>
        <w:t>”一般道路交通事故</w:t>
      </w:r>
    </w:p>
    <w:p>
      <w:pPr>
        <w:kinsoku w:val="0"/>
        <w:spacing w:line="560" w:lineRule="exact"/>
        <w:ind w:firstLine="3819" w:firstLineChars="1492"/>
        <w:rPr>
          <w:rFonts w:ascii="Times New Roman" w:hAnsi="Times New Roman" w:eastAsia="方正仿宋_GBK" w:cs="Times New Roman"/>
          <w:color w:val="000000"/>
          <w:w w:val="80"/>
          <w:szCs w:val="32"/>
        </w:rPr>
      </w:pPr>
      <w:r>
        <w:rPr>
          <w:rFonts w:hint="eastAsia" w:ascii="Times New Roman" w:hAnsi="Times New Roman" w:eastAsia="方正仿宋_GBK" w:cs="Times New Roman"/>
          <w:color w:val="000000"/>
          <w:w w:val="80"/>
          <w:szCs w:val="32"/>
        </w:rPr>
        <w:t>防范和整改落实情况评估工作组</w:t>
      </w:r>
    </w:p>
    <w:p>
      <w:pPr>
        <w:kinsoku w:val="0"/>
        <w:spacing w:line="560" w:lineRule="exact"/>
        <w:ind w:firstLine="3072" w:firstLineChars="1200"/>
        <w:rPr>
          <w:rFonts w:ascii="Times New Roman" w:hAnsi="Times New Roman" w:eastAsia="方正仿宋_GBK" w:cs="Times New Roman"/>
          <w:color w:val="000000"/>
          <w:w w:val="80"/>
          <w:szCs w:val="32"/>
        </w:rPr>
      </w:pPr>
      <w:r>
        <w:rPr>
          <w:rFonts w:hint="eastAsia" w:ascii="Times New Roman" w:hAnsi="Times New Roman" w:eastAsia="方正仿宋_GBK" w:cs="Times New Roman"/>
          <w:color w:val="000000"/>
          <w:w w:val="80"/>
          <w:szCs w:val="32"/>
        </w:rPr>
        <w:t>（重庆市荣昌区安全生产委员会办公室代章）</w:t>
      </w:r>
      <w:r>
        <w:rPr>
          <w:rFonts w:ascii="Times New Roman" w:hAnsi="Times New Roman" w:eastAsia="方正仿宋_GBK" w:cs="Times New Roman"/>
          <w:color w:val="000000"/>
          <w:w w:val="80"/>
          <w:szCs w:val="32"/>
        </w:rPr>
        <w:t xml:space="preserve"> </w:t>
      </w:r>
    </w:p>
    <w:p>
      <w:pPr>
        <w:kinsoku w:val="0"/>
        <w:spacing w:line="560" w:lineRule="exact"/>
        <w:ind w:firstLine="4800" w:firstLineChars="1500"/>
        <w:rPr>
          <w:rFonts w:ascii="Times New Roman" w:hAnsi="Times New Roman" w:eastAsia="方正仿宋_GBK" w:cs="Times New Roman"/>
          <w:szCs w:val="32"/>
        </w:rPr>
      </w:pPr>
      <w:r>
        <w:rPr>
          <w:rFonts w:ascii="Times New Roman" w:hAnsi="Times New Roman" w:eastAsia="方正仿宋_GBK" w:cs="Times New Roman"/>
          <w:szCs w:val="32"/>
        </w:rPr>
        <w:t>2026</w:t>
      </w:r>
      <w:r>
        <w:rPr>
          <w:rFonts w:hint="eastAsia" w:ascii="Times New Roman" w:hAnsi="Times New Roman" w:eastAsia="方正仿宋_GBK" w:cs="Times New Roman"/>
          <w:szCs w:val="32"/>
        </w:rPr>
        <w:t>年</w:t>
      </w:r>
      <w:r>
        <w:rPr>
          <w:rFonts w:ascii="Times New Roman" w:hAnsi="Times New Roman" w:eastAsia="方正仿宋_GBK" w:cs="Times New Roman"/>
          <w:szCs w:val="32"/>
        </w:rPr>
        <w:t>4</w:t>
      </w:r>
      <w:r>
        <w:rPr>
          <w:rFonts w:hint="eastAsia" w:ascii="Times New Roman" w:hAnsi="Times New Roman" w:eastAsia="方正仿宋_GBK" w:cs="Times New Roman"/>
          <w:szCs w:val="32"/>
        </w:rPr>
        <w:t>月</w:t>
      </w:r>
      <w:r>
        <w:rPr>
          <w:rFonts w:ascii="Times New Roman" w:hAnsi="Times New Roman" w:eastAsia="方正仿宋_GBK" w:cs="Times New Roman"/>
          <w:szCs w:val="32"/>
        </w:rPr>
        <w:t>25</w:t>
      </w:r>
      <w:r>
        <w:rPr>
          <w:rFonts w:hint="eastAsia" w:ascii="Times New Roman" w:hAnsi="Times New Roman" w:eastAsia="方正仿宋_GBK" w:cs="Times New Roman"/>
          <w:szCs w:val="32"/>
        </w:rPr>
        <w:t>日</w:t>
      </w:r>
      <w:r>
        <w:rPr>
          <w:rFonts w:ascii="Times New Roman" w:hAnsi="Times New Roman" w:eastAsia="方正仿宋_GBK" w:cs="Times New Roman"/>
          <w:szCs w:val="32"/>
        </w:rPr>
        <w:t xml:space="preserve"> </w:t>
      </w:r>
    </w:p>
    <w:sectPr>
      <w:footerReference r:id="rId4" w:type="default"/>
      <w:pgSz w:w="12240" w:h="15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黑体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Courier New">
    <w:altName w:val="DejaVu Sans"/>
    <w:panose1 w:val="02070309020205020404"/>
    <w:charset w:val="00"/>
    <w:family w:val="modern"/>
    <w:pitch w:val="default"/>
    <w:sig w:usb0="00000000" w:usb1="00000000" w:usb2="00000009" w:usb3="00000000" w:csb0="000001FF" w:csb1="00000000"/>
  </w:font>
  <w:font w:name="方正仿宋_GBK">
    <w:panose1 w:val="02000000000000000000"/>
    <w:charset w:val="86"/>
    <w:family w:val="script"/>
    <w:pitch w:val="default"/>
    <w:sig w:usb0="00000001" w:usb1="08000000" w:usb2="00000000" w:usb3="00000000" w:csb0="00040000" w:csb1="00000000"/>
  </w:font>
  <w:font w:name="Arial">
    <w:altName w:val="Times New Roman"/>
    <w:panose1 w:val="020B0604020202020204"/>
    <w:charset w:val="00"/>
    <w:family w:val="swiss"/>
    <w:pitch w:val="default"/>
    <w:sig w:usb0="00000000" w:usb1="00000000" w:usb2="00000009" w:usb3="00000000" w:csb0="000001FF" w:csb1="00000000"/>
  </w:font>
  <w:font w:name="Cambria">
    <w:altName w:val="FreeSerif"/>
    <w:panose1 w:val="02040503050406030204"/>
    <w:charset w:val="00"/>
    <w:family w:val="roman"/>
    <w:pitch w:val="default"/>
    <w:sig w:usb0="00000000" w:usb1="00000000" w:usb2="00000000" w:usb3="00000000" w:csb0="0000019F" w:csb1="00000000"/>
  </w:font>
  <w:font w:name="华文宋体">
    <w:panose1 w:val="02010600040101010101"/>
    <w:charset w:val="86"/>
    <w:family w:val="auto"/>
    <w:pitch w:val="default"/>
    <w:sig w:usb0="00000287" w:usb1="080F0000" w:usb2="00000000" w:usb3="00000000" w:csb0="0004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49" o:spid="_x0000_s2049" o:spt="202" type="#_x0000_t202" style="position:absolute;left:0pt;margin-top:-7.55pt;height:19.05pt;width:51.7pt;mso-position-horizontal:outside;mso-position-horizontal-relative:margin;z-index:251660288;mso-width-relative:page;mso-height-relative:page;" filled="f" stroked="f" coordsize="21600,21600" o:gfxdata="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o/fBdUAAAAHAQAADwAAAAAAAAABACAAAAAiAAAAZHJzL2Rvd25yZXYu&#10;eG1sUEsBAhQAFAAAAAgAh07iQOPdVDE3AgAAYQQAAA4AAAAAAAAAAQAgAAAAJAEAAGRycy9lMm9E&#10;b2MueG1sUEsFBgAAAAAGAAYAWQEAAM0FAAAAAA==&#10;">
          <v:path/>
          <v:fill on="f" focussize="0,0"/>
          <v:stroke on="f" weight="0.5pt" joinstyle="miter"/>
          <v:imagedata o:title=""/>
          <o:lock v:ext="edit"/>
          <v:textbox inset="0mm,0mm,0mm,0mm">
            <w:txbxContent>
              <w:p>
                <w:pPr>
                  <w:pStyle w:val="7"/>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7</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documentProtection w:enforcement="0"/>
  <w:defaultTabStop w:val="500"/>
  <w:drawingGridVerticalSpacing w:val="156"/>
  <w:noPunctuationKerning w:val="true"/>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U4YmRlYjYyZWFkMzYzNTRmYzQxYzQzOTg3NzZiNTYifQ=="/>
  </w:docVars>
  <w:rsids>
    <w:rsidRoot w:val="00656595"/>
    <w:rsid w:val="0003646F"/>
    <w:rsid w:val="000457D9"/>
    <w:rsid w:val="00097324"/>
    <w:rsid w:val="000A025B"/>
    <w:rsid w:val="00137126"/>
    <w:rsid w:val="001758F7"/>
    <w:rsid w:val="00221781"/>
    <w:rsid w:val="0024349B"/>
    <w:rsid w:val="0031133C"/>
    <w:rsid w:val="00314AAA"/>
    <w:rsid w:val="00341176"/>
    <w:rsid w:val="0034705B"/>
    <w:rsid w:val="003D64FB"/>
    <w:rsid w:val="00407280"/>
    <w:rsid w:val="00425650"/>
    <w:rsid w:val="00426B37"/>
    <w:rsid w:val="00427DB8"/>
    <w:rsid w:val="00440A44"/>
    <w:rsid w:val="004B6714"/>
    <w:rsid w:val="004E4AA6"/>
    <w:rsid w:val="005D3A43"/>
    <w:rsid w:val="00656595"/>
    <w:rsid w:val="007261E6"/>
    <w:rsid w:val="00733FF1"/>
    <w:rsid w:val="00737A21"/>
    <w:rsid w:val="007A10B5"/>
    <w:rsid w:val="007B0559"/>
    <w:rsid w:val="007C27CD"/>
    <w:rsid w:val="007E1829"/>
    <w:rsid w:val="008247B2"/>
    <w:rsid w:val="00853BCF"/>
    <w:rsid w:val="008A1C28"/>
    <w:rsid w:val="008B1CFB"/>
    <w:rsid w:val="00917151"/>
    <w:rsid w:val="0098788D"/>
    <w:rsid w:val="00A934BF"/>
    <w:rsid w:val="00AA206D"/>
    <w:rsid w:val="00AF0E80"/>
    <w:rsid w:val="00B040BE"/>
    <w:rsid w:val="00B26417"/>
    <w:rsid w:val="00B748FB"/>
    <w:rsid w:val="00B8774B"/>
    <w:rsid w:val="00B95072"/>
    <w:rsid w:val="00BD42DE"/>
    <w:rsid w:val="00C12E5F"/>
    <w:rsid w:val="00CA7E42"/>
    <w:rsid w:val="00CE000B"/>
    <w:rsid w:val="00CE0606"/>
    <w:rsid w:val="00DE6F86"/>
    <w:rsid w:val="00E205B2"/>
    <w:rsid w:val="00E65AC7"/>
    <w:rsid w:val="00E67F01"/>
    <w:rsid w:val="00E91025"/>
    <w:rsid w:val="00F27D6C"/>
    <w:rsid w:val="00FC5287"/>
    <w:rsid w:val="04D1529F"/>
    <w:rsid w:val="07997769"/>
    <w:rsid w:val="07B6152A"/>
    <w:rsid w:val="07CF38A5"/>
    <w:rsid w:val="16E44D2F"/>
    <w:rsid w:val="300607B1"/>
    <w:rsid w:val="342A3AE8"/>
    <w:rsid w:val="379803E6"/>
    <w:rsid w:val="3BBB4BB1"/>
    <w:rsid w:val="3BFF2953"/>
    <w:rsid w:val="3D7C3329"/>
    <w:rsid w:val="544E63F0"/>
    <w:rsid w:val="55FB3495"/>
    <w:rsid w:val="5A5D71D1"/>
    <w:rsid w:val="5B3D6B62"/>
    <w:rsid w:val="5DC6470A"/>
    <w:rsid w:val="5E022B6E"/>
    <w:rsid w:val="61B977D7"/>
    <w:rsid w:val="65CF0072"/>
    <w:rsid w:val="74AB0875"/>
    <w:rsid w:val="752D41F3"/>
    <w:rsid w:val="78A06277"/>
    <w:rsid w:val="7C477828"/>
    <w:rsid w:val="7D84743C"/>
    <w:rsid w:val="7E8413EB"/>
    <w:rsid w:val="7EEB94ED"/>
    <w:rsid w:val="CEF579CA"/>
    <w:rsid w:val="FF97056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name="header"/>
    <w:lsdException w:qFormat="1" w:unhideWhenUsed="0" w:uiPriority="99"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99" w:semiHidden="0" w:name="Message Header"/>
    <w:lsdException w:qFormat="1" w:unhideWhenUsed="0" w:uiPriority="11" w:semiHidden="0" w:name="Subtitle" w:locked="1"/>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黑体_GBK" w:cs="Calibri"/>
      <w:kern w:val="2"/>
      <w:sz w:val="32"/>
      <w:szCs w:val="20"/>
      <w:lang w:val="en-US" w:eastAsia="zh-CN" w:bidi="ar-SA"/>
    </w:rPr>
  </w:style>
  <w:style w:type="paragraph" w:styleId="4">
    <w:name w:val="heading 1"/>
    <w:basedOn w:val="1"/>
    <w:next w:val="1"/>
    <w:link w:val="17"/>
    <w:qFormat/>
    <w:uiPriority w:val="99"/>
    <w:pPr>
      <w:snapToGrid w:val="0"/>
      <w:spacing w:line="720" w:lineRule="atLeast"/>
      <w:jc w:val="center"/>
      <w:outlineLvl w:val="0"/>
    </w:pPr>
    <w:rPr>
      <w:rFonts w:eastAsia="方正小标宋_GBK"/>
      <w:kern w:val="44"/>
      <w:sz w:val="44"/>
    </w:rPr>
  </w:style>
  <w:style w:type="paragraph" w:styleId="5">
    <w:name w:val="heading 3"/>
    <w:basedOn w:val="1"/>
    <w:next w:val="1"/>
    <w:link w:val="18"/>
    <w:qFormat/>
    <w:uiPriority w:val="99"/>
    <w:pPr>
      <w:outlineLvl w:val="2"/>
    </w:pPr>
    <w:rPr>
      <w:rFonts w:ascii="Times New Roman" w:hAnsi="Times New Roman" w:eastAsia="方正楷体_GBK" w:cs="Times New Roman"/>
      <w:kern w:val="0"/>
      <w:sz w:val="20"/>
    </w:rPr>
  </w:style>
  <w:style w:type="character" w:default="1" w:styleId="15">
    <w:name w:val="Default Paragraph Font"/>
    <w:semiHidden/>
    <w:qFormat/>
    <w:uiPriority w:val="99"/>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99"/>
    <w:pPr>
      <w:autoSpaceDE w:val="0"/>
      <w:autoSpaceDN w:val="0"/>
      <w:adjustRightInd w:val="0"/>
    </w:pPr>
    <w:rPr>
      <w:rFonts w:ascii="仿宋_GB2312" w:hAnsi="Calibri" w:eastAsia="仿宋_GB2312" w:cs="仿宋_GB2312"/>
      <w:color w:val="000000"/>
      <w:sz w:val="24"/>
      <w:szCs w:val="24"/>
    </w:rPr>
  </w:style>
  <w:style w:type="paragraph" w:styleId="3">
    <w:name w:val="Plain Text"/>
    <w:basedOn w:val="1"/>
    <w:link w:val="19"/>
    <w:qFormat/>
    <w:uiPriority w:val="99"/>
    <w:rPr>
      <w:rFonts w:ascii="宋体" w:hAnsi="Courier New" w:eastAsia="宋体" w:cs="Courier New"/>
      <w:sz w:val="21"/>
      <w:szCs w:val="21"/>
    </w:rPr>
  </w:style>
  <w:style w:type="paragraph" w:styleId="6">
    <w:name w:val="Body Text"/>
    <w:basedOn w:val="1"/>
    <w:next w:val="1"/>
    <w:link w:val="20"/>
    <w:qFormat/>
    <w:uiPriority w:val="99"/>
  </w:style>
  <w:style w:type="paragraph" w:styleId="7">
    <w:name w:val="footer"/>
    <w:basedOn w:val="1"/>
    <w:link w:val="21"/>
    <w:semiHidden/>
    <w:qFormat/>
    <w:uiPriority w:val="99"/>
    <w:pPr>
      <w:tabs>
        <w:tab w:val="center" w:pos="4153"/>
        <w:tab w:val="right" w:pos="8306"/>
      </w:tabs>
      <w:snapToGrid w:val="0"/>
      <w:jc w:val="left"/>
    </w:pPr>
    <w:rPr>
      <w:sz w:val="18"/>
    </w:rPr>
  </w:style>
  <w:style w:type="paragraph" w:styleId="8">
    <w:name w:val="header"/>
    <w:basedOn w:val="1"/>
    <w:link w:val="22"/>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semiHidden/>
    <w:qFormat/>
    <w:uiPriority w:val="99"/>
  </w:style>
  <w:style w:type="paragraph" w:styleId="10">
    <w:name w:val="toc 2"/>
    <w:basedOn w:val="1"/>
    <w:next w:val="1"/>
    <w:semiHidden/>
    <w:qFormat/>
    <w:uiPriority w:val="99"/>
    <w:pPr>
      <w:ind w:left="420" w:leftChars="200"/>
    </w:pPr>
  </w:style>
  <w:style w:type="paragraph" w:styleId="11">
    <w:name w:val="Message Header"/>
    <w:basedOn w:val="1"/>
    <w:next w:val="6"/>
    <w:link w:val="23"/>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2">
    <w:name w:val="Normal (Web)"/>
    <w:basedOn w:val="1"/>
    <w:qFormat/>
    <w:uiPriority w:val="99"/>
    <w:pPr>
      <w:spacing w:beforeAutospacing="1" w:afterAutospacing="1"/>
      <w:jc w:val="left"/>
    </w:pPr>
    <w:rPr>
      <w:rFonts w:ascii="Times New Roman" w:hAnsi="Times New Roman" w:eastAsia="方正楷体_GBK" w:cs="Times New Roman"/>
      <w:kern w:val="0"/>
      <w:szCs w:val="24"/>
    </w:rPr>
  </w:style>
  <w:style w:type="paragraph" w:styleId="13">
    <w:name w:val="Body Text First Indent"/>
    <w:basedOn w:val="6"/>
    <w:link w:val="24"/>
    <w:qFormat/>
    <w:uiPriority w:val="99"/>
    <w:pPr>
      <w:ind w:firstLine="420" w:firstLineChars="100"/>
    </w:pPr>
  </w:style>
  <w:style w:type="character" w:styleId="16">
    <w:name w:val="Hyperlink"/>
    <w:basedOn w:val="15"/>
    <w:qFormat/>
    <w:locked/>
    <w:uiPriority w:val="99"/>
    <w:rPr>
      <w:rFonts w:cs="Times New Roman"/>
      <w:color w:val="0000FF"/>
      <w:u w:val="single"/>
    </w:rPr>
  </w:style>
  <w:style w:type="character" w:customStyle="1" w:styleId="17">
    <w:name w:val="Heading 1 Char"/>
    <w:basedOn w:val="15"/>
    <w:link w:val="4"/>
    <w:qFormat/>
    <w:locked/>
    <w:uiPriority w:val="99"/>
    <w:rPr>
      <w:rFonts w:ascii="Calibri" w:hAnsi="Calibri" w:eastAsia="方正黑体_GBK" w:cs="Calibri"/>
      <w:b/>
      <w:bCs/>
      <w:kern w:val="44"/>
      <w:sz w:val="44"/>
      <w:szCs w:val="44"/>
    </w:rPr>
  </w:style>
  <w:style w:type="character" w:customStyle="1" w:styleId="18">
    <w:name w:val="Heading 3 Char"/>
    <w:basedOn w:val="15"/>
    <w:link w:val="5"/>
    <w:qFormat/>
    <w:locked/>
    <w:uiPriority w:val="99"/>
    <w:rPr>
      <w:rFonts w:eastAsia="方正楷体_GBK" w:cs="Times New Roman"/>
    </w:rPr>
  </w:style>
  <w:style w:type="character" w:customStyle="1" w:styleId="19">
    <w:name w:val="Plain Text Char"/>
    <w:basedOn w:val="15"/>
    <w:link w:val="3"/>
    <w:semiHidden/>
    <w:qFormat/>
    <w:locked/>
    <w:uiPriority w:val="99"/>
    <w:rPr>
      <w:rFonts w:ascii="宋体" w:hAnsi="Courier New" w:cs="Courier New"/>
      <w:sz w:val="21"/>
      <w:szCs w:val="21"/>
    </w:rPr>
  </w:style>
  <w:style w:type="character" w:customStyle="1" w:styleId="20">
    <w:name w:val="Body Text Char"/>
    <w:basedOn w:val="15"/>
    <w:link w:val="6"/>
    <w:qFormat/>
    <w:locked/>
    <w:uiPriority w:val="99"/>
    <w:rPr>
      <w:rFonts w:ascii="Times New Roman" w:hAnsi="Times New Roman" w:eastAsia="方正仿宋_GBK" w:cs="Times New Roman"/>
      <w:kern w:val="2"/>
      <w:sz w:val="24"/>
      <w:szCs w:val="24"/>
    </w:rPr>
  </w:style>
  <w:style w:type="character" w:customStyle="1" w:styleId="21">
    <w:name w:val="Footer Char"/>
    <w:basedOn w:val="15"/>
    <w:link w:val="7"/>
    <w:semiHidden/>
    <w:qFormat/>
    <w:locked/>
    <w:uiPriority w:val="99"/>
    <w:rPr>
      <w:rFonts w:ascii="Calibri" w:hAnsi="Calibri" w:eastAsia="方正黑体_GBK" w:cs="Calibri"/>
      <w:sz w:val="18"/>
      <w:szCs w:val="18"/>
    </w:rPr>
  </w:style>
  <w:style w:type="character" w:customStyle="1" w:styleId="22">
    <w:name w:val="Header Char"/>
    <w:basedOn w:val="15"/>
    <w:link w:val="8"/>
    <w:semiHidden/>
    <w:qFormat/>
    <w:locked/>
    <w:uiPriority w:val="99"/>
    <w:rPr>
      <w:rFonts w:ascii="Calibri" w:hAnsi="Calibri" w:eastAsia="方正黑体_GBK" w:cs="Calibri"/>
      <w:sz w:val="18"/>
      <w:szCs w:val="18"/>
    </w:rPr>
  </w:style>
  <w:style w:type="character" w:customStyle="1" w:styleId="23">
    <w:name w:val="Message Header Char"/>
    <w:basedOn w:val="15"/>
    <w:link w:val="11"/>
    <w:qFormat/>
    <w:locked/>
    <w:uiPriority w:val="99"/>
    <w:rPr>
      <w:rFonts w:ascii="Cambria" w:hAnsi="Cambria" w:eastAsia="宋体" w:cs="Times New Roman"/>
      <w:kern w:val="2"/>
      <w:sz w:val="24"/>
      <w:szCs w:val="24"/>
      <w:shd w:val="pct20" w:color="000000" w:fill="auto"/>
    </w:rPr>
  </w:style>
  <w:style w:type="character" w:customStyle="1" w:styleId="24">
    <w:name w:val="Body Text First Indent Char"/>
    <w:basedOn w:val="20"/>
    <w:link w:val="13"/>
    <w:semiHidden/>
    <w:qFormat/>
    <w:locked/>
    <w:uiPriority w:val="99"/>
    <w:rPr>
      <w:rFonts w:ascii="Calibri" w:hAnsi="Calibri" w:eastAsia="方正黑体_GBK" w:cs="Calibri"/>
      <w:sz w:val="20"/>
      <w:szCs w:val="20"/>
    </w:rPr>
  </w:style>
  <w:style w:type="paragraph" w:customStyle="1" w:styleId="25">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26">
    <w:name w:val="WPSOffice手动目录 2"/>
    <w:qFormat/>
    <w:uiPriority w:val="99"/>
    <w:pPr>
      <w:ind w:left="200" w:leftChars="200"/>
    </w:pPr>
    <w:rPr>
      <w:rFonts w:ascii="Times New Roman" w:hAnsi="Times New Roman" w:eastAsia="宋体" w:cs="Times New Roman"/>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Pages>
  <Words>442</Words>
  <Characters>2524</Characters>
  <Lines>0</Lines>
  <Paragraphs>0</Paragraphs>
  <TotalTime>1680</TotalTime>
  <ScaleCrop>false</ScaleCrop>
  <LinksUpToDate>false</LinksUpToDate>
  <CharactersWithSpaces>0</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2023-10-19T06:15:00Z</dcterms:created>
  <dc:creator>Administrator</dc:creator>
  <cp:lastModifiedBy>HUAWEI</cp:lastModifiedBy>
  <cp:lastPrinted>2024-11-08T17:06:00Z</cp:lastPrinted>
  <dcterms:modified xsi:type="dcterms:W3CDTF">2026-05-06T14:59:47Z</dcterms:modified>
  <dc:title>重庆平德连盛建材有限公司“3·21”一般机械伤害事故防范和整改</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7476564BF333418F89480D96A29F1801_13</vt:lpwstr>
  </property>
</Properties>
</file>