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19416">
      <w:pPr>
        <w:pStyle w:val="10"/>
        <w:keepNext w:val="0"/>
        <w:keepLines w:val="0"/>
        <w:pageBreakBefore w:val="0"/>
        <w:kinsoku/>
        <w:wordWrap/>
        <w:overflowPunct/>
        <w:topLinePunct w:val="0"/>
        <w:autoSpaceDE/>
        <w:autoSpaceDN/>
        <w:bidi w:val="0"/>
        <w:adjustRightInd w:val="0"/>
        <w:snapToGrid w:val="0"/>
        <w:spacing w:after="0" w:line="500" w:lineRule="exact"/>
        <w:ind w:left="0" w:leftChars="0" w:firstLine="640" w:firstLineChars="200"/>
        <w:textAlignment w:val="auto"/>
        <w:rPr>
          <w:rFonts w:hint="eastAsia" w:eastAsiaTheme="minorEastAsia"/>
          <w:sz w:val="32"/>
          <w:szCs w:val="32"/>
          <w:lang w:val="en-US" w:eastAsia="zh-CN"/>
        </w:rPr>
      </w:pPr>
    </w:p>
    <w:p w14:paraId="0237DA68">
      <w:pPr>
        <w:pStyle w:val="10"/>
        <w:keepNext w:val="0"/>
        <w:keepLines w:val="0"/>
        <w:pageBreakBefore w:val="0"/>
        <w:kinsoku/>
        <w:wordWrap/>
        <w:overflowPunct/>
        <w:topLinePunct w:val="0"/>
        <w:autoSpaceDE/>
        <w:autoSpaceDN/>
        <w:bidi w:val="0"/>
        <w:adjustRightInd w:val="0"/>
        <w:snapToGrid w:val="0"/>
        <w:spacing w:after="0" w:line="500" w:lineRule="exact"/>
        <w:ind w:left="0" w:leftChars="0" w:firstLine="640" w:firstLineChars="200"/>
        <w:textAlignment w:val="auto"/>
        <w:rPr>
          <w:rFonts w:hint="eastAsia" w:eastAsiaTheme="minorEastAsia"/>
          <w:sz w:val="32"/>
          <w:szCs w:val="32"/>
          <w:lang w:val="en-US" w:eastAsia="zh-CN"/>
        </w:rPr>
      </w:pPr>
    </w:p>
    <w:p w14:paraId="4C0B7A0E">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center"/>
        <w:textAlignment w:val="auto"/>
        <w:rPr>
          <w:rFonts w:hint="eastAsia" w:ascii="方正小标宋_GBK" w:eastAsia="方正小标宋_GBK"/>
          <w:b w:val="0"/>
          <w:bCs w:val="0"/>
          <w:sz w:val="44"/>
          <w:szCs w:val="44"/>
          <w:lang w:val="en-US" w:eastAsia="zh-CN"/>
        </w:rPr>
      </w:pPr>
      <w:r>
        <w:rPr>
          <w:rFonts w:hint="eastAsia" w:ascii="方正小标宋_GBK" w:eastAsia="方正小标宋_GBK"/>
          <w:b w:val="0"/>
          <w:bCs w:val="0"/>
          <w:sz w:val="44"/>
          <w:szCs w:val="44"/>
          <w:lang w:eastAsia="zh-CN"/>
        </w:rPr>
        <w:t>重庆市荣昌区住房和城乡建设委员会</w:t>
      </w:r>
    </w:p>
    <w:p w14:paraId="5A63CEC6">
      <w:pPr>
        <w:keepNext w:val="0"/>
        <w:keepLines w:val="0"/>
        <w:pageBreakBefore w:val="0"/>
        <w:widowControl w:val="0"/>
        <w:kinsoku/>
        <w:wordWrap w:val="0"/>
        <w:overflowPunct/>
        <w:topLinePunct w:val="0"/>
        <w:autoSpaceDE/>
        <w:autoSpaceDN/>
        <w:bidi w:val="0"/>
        <w:adjustRightInd w:val="0"/>
        <w:snapToGrid w:val="0"/>
        <w:spacing w:line="540" w:lineRule="exact"/>
        <w:ind w:left="0" w:right="0" w:rightChars="0" w:firstLine="0" w:firstLineChars="0"/>
        <w:jc w:val="center"/>
        <w:textAlignment w:val="auto"/>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关于加强物业专项维修资金使用项目第三方</w:t>
      </w:r>
    </w:p>
    <w:p w14:paraId="72DD4139">
      <w:pPr>
        <w:keepNext w:val="0"/>
        <w:keepLines w:val="0"/>
        <w:pageBreakBefore w:val="0"/>
        <w:widowControl w:val="0"/>
        <w:kinsoku/>
        <w:wordWrap w:val="0"/>
        <w:overflowPunct/>
        <w:topLinePunct w:val="0"/>
        <w:autoSpaceDE/>
        <w:autoSpaceDN/>
        <w:bidi w:val="0"/>
        <w:adjustRightInd w:val="0"/>
        <w:snapToGrid w:val="0"/>
        <w:spacing w:line="540" w:lineRule="exact"/>
        <w:ind w:left="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color w:val="000000"/>
          <w:sz w:val="44"/>
          <w:szCs w:val="44"/>
          <w:lang w:val="en-US" w:eastAsia="zh-CN"/>
        </w:rPr>
        <w:t>造价审核的通知</w:t>
      </w:r>
    </w:p>
    <w:p w14:paraId="3BB7C840">
      <w:pPr>
        <w:pStyle w:val="10"/>
        <w:keepNext w:val="0"/>
        <w:keepLines w:val="0"/>
        <w:pageBreakBefore w:val="0"/>
        <w:widowControl/>
        <w:kinsoku/>
        <w:wordWrap/>
        <w:overflowPunct/>
        <w:topLinePunct w:val="0"/>
        <w:autoSpaceDE/>
        <w:autoSpaceDN/>
        <w:bidi w:val="0"/>
        <w:adjustRightInd w:val="0"/>
        <w:snapToGrid w:val="0"/>
        <w:spacing w:after="0" w:line="540" w:lineRule="exact"/>
        <w:ind w:left="0" w:leftChars="0" w:firstLine="0" w:firstLine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eastAsia="zh-CN"/>
        </w:rPr>
        <w:t>荣建委发〔</w:t>
      </w:r>
      <w:r>
        <w:rPr>
          <w:rFonts w:hint="eastAsia" w:ascii="Times New Roman" w:hAnsi="Times New Roman" w:eastAsia="方正仿宋_GBK" w:cs="Times New Roman"/>
          <w:kern w:val="2"/>
          <w:sz w:val="32"/>
          <w:lang w:val="en-US" w:eastAsia="zh-CN" w:bidi="ar-SA"/>
        </w:rPr>
        <w:t>2025</w:t>
      </w:r>
      <w:r>
        <w:rPr>
          <w:rFonts w:hint="eastAsia" w:ascii="方正仿宋_GBK" w:hAnsi="方正仿宋_GBK" w:cs="方正仿宋_GBK"/>
          <w:sz w:val="32"/>
          <w:szCs w:val="32"/>
          <w:lang w:eastAsia="zh-CN"/>
        </w:rPr>
        <w:t>〕</w:t>
      </w:r>
      <w:r>
        <w:rPr>
          <w:rFonts w:hint="eastAsia" w:ascii="Times New Roman" w:hAnsi="Times New Roman" w:eastAsia="方正仿宋_GBK" w:cs="Times New Roman"/>
          <w:kern w:val="2"/>
          <w:sz w:val="32"/>
          <w:lang w:val="en-US" w:eastAsia="zh-CN" w:bidi="ar-SA"/>
        </w:rPr>
        <w:t>140</w:t>
      </w:r>
      <w:r>
        <w:rPr>
          <w:rFonts w:hint="eastAsia" w:ascii="方正仿宋_GBK" w:hAnsi="方正仿宋_GBK" w:cs="方正仿宋_GBK"/>
          <w:sz w:val="32"/>
          <w:szCs w:val="32"/>
          <w:lang w:val="en-US" w:eastAsia="zh-CN"/>
        </w:rPr>
        <w:t>号</w:t>
      </w:r>
    </w:p>
    <w:p w14:paraId="44349D60">
      <w:pPr>
        <w:pStyle w:val="10"/>
        <w:keepNext w:val="0"/>
        <w:keepLines w:val="0"/>
        <w:pageBreakBefore w:val="0"/>
        <w:widowControl/>
        <w:kinsoku/>
        <w:wordWrap/>
        <w:overflowPunct/>
        <w:topLinePunct w:val="0"/>
        <w:autoSpaceDE/>
        <w:autoSpaceDN/>
        <w:bidi w:val="0"/>
        <w:adjustRightInd w:val="0"/>
        <w:snapToGrid w:val="0"/>
        <w:spacing w:after="0" w:line="500" w:lineRule="exact"/>
        <w:ind w:left="0" w:leftChars="0" w:firstLine="640" w:firstLineChars="200"/>
        <w:textAlignment w:val="auto"/>
        <w:rPr>
          <w:rFonts w:hint="eastAsia" w:ascii="方正黑体_GBK" w:hAnsi="方正黑体_GBK" w:eastAsia="方正黑体_GBK" w:cs="方正黑体_GBK"/>
          <w:lang w:eastAsia="zh-CN"/>
        </w:rPr>
      </w:pPr>
    </w:p>
    <w:p w14:paraId="4BC15775">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各镇人民政府</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各</w:t>
      </w:r>
      <w:r>
        <w:rPr>
          <w:rFonts w:hint="eastAsia" w:ascii="方正仿宋_GBK" w:hAnsi="方正仿宋_GBK" w:eastAsia="方正仿宋_GBK" w:cs="方正仿宋_GBK"/>
          <w:color w:val="000000"/>
          <w:sz w:val="32"/>
          <w:szCs w:val="32"/>
        </w:rPr>
        <w:t>街道办事处</w:t>
      </w:r>
      <w:r>
        <w:rPr>
          <w:rFonts w:hint="eastAsia" w:ascii="方正仿宋_GBK" w:hAnsi="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各</w:t>
      </w:r>
      <w:r>
        <w:rPr>
          <w:rFonts w:hint="eastAsia" w:ascii="方正仿宋_GBK" w:hAnsi="方正仿宋_GBK" w:eastAsia="方正仿宋_GBK" w:cs="方正仿宋_GBK"/>
          <w:color w:val="000000"/>
          <w:sz w:val="32"/>
          <w:szCs w:val="32"/>
        </w:rPr>
        <w:t>物业服务企业</w:t>
      </w:r>
      <w:r>
        <w:rPr>
          <w:rFonts w:hint="eastAsia" w:ascii="方正仿宋_GBK" w:hAnsi="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各</w:t>
      </w:r>
      <w:r>
        <w:rPr>
          <w:rFonts w:hint="eastAsia" w:ascii="方正仿宋_GBK" w:hAnsi="方正仿宋_GBK" w:eastAsia="方正仿宋_GBK" w:cs="方正仿宋_GBK"/>
          <w:color w:val="000000"/>
          <w:sz w:val="32"/>
          <w:szCs w:val="32"/>
        </w:rPr>
        <w:t>有关单位：</w:t>
      </w:r>
    </w:p>
    <w:p w14:paraId="1CABE656">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小标宋_GBK" w:hAnsi="方正小标宋_GBK" w:eastAsia="方正小标宋_GBK" w:cs="方正小标宋_GBK"/>
          <w:b w:val="0"/>
          <w:bCs w:val="0"/>
          <w:sz w:val="32"/>
          <w:szCs w:val="32"/>
          <w:lang w:eastAsia="zh-CN"/>
        </w:rPr>
      </w:pPr>
      <w:r>
        <w:rPr>
          <w:rFonts w:hint="eastAsia" w:ascii="方正仿宋_GBK" w:hAnsi="方正仿宋_GBK" w:eastAsia="方正仿宋_GBK" w:cs="方正仿宋_GBK"/>
          <w:color w:val="000000"/>
          <w:sz w:val="32"/>
          <w:szCs w:val="32"/>
        </w:rPr>
        <w:t>为提高物业专项维修资金（以下简称维修资金）监管水平和使用效率，增强维修资金使用安全</w:t>
      </w:r>
      <w:r>
        <w:rPr>
          <w:rFonts w:hint="eastAsia" w:ascii="方正仿宋_GBK" w:hAnsi="方正仿宋_GBK" w:eastAsia="方正仿宋_GBK" w:cs="方正仿宋_GBK"/>
          <w:color w:val="000000"/>
          <w:sz w:val="32"/>
          <w:szCs w:val="32"/>
          <w:lang w:val="en-US" w:eastAsia="zh-CN"/>
        </w:rPr>
        <w:t>性</w:t>
      </w:r>
      <w:r>
        <w:rPr>
          <w:rFonts w:hint="eastAsia" w:ascii="方正仿宋_GBK" w:hAnsi="方正仿宋_GBK" w:eastAsia="方正仿宋_GBK" w:cs="方正仿宋_GBK"/>
          <w:color w:val="000000"/>
          <w:sz w:val="32"/>
          <w:szCs w:val="32"/>
        </w:rPr>
        <w:t>，防范资金使用风险，切实维护业主权益，按照《重庆市物业管理条例》《重庆市物业专项维修资金管理办法》等有关规定，结合本区实际，现就加强我区维修资金使用项目第三方造价审核的有关事项通知如下：</w:t>
      </w:r>
    </w:p>
    <w:p w14:paraId="7B838EE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lang w:eastAsia="zh-CN"/>
        </w:rPr>
        <w:t>一、</w:t>
      </w:r>
      <w:r>
        <w:rPr>
          <w:rFonts w:hint="eastAsia" w:ascii="方正黑体_GBK" w:hAnsi="方正黑体_GBK" w:eastAsia="方正黑体_GBK" w:cs="方正黑体_GBK"/>
          <w:b w:val="0"/>
          <w:bCs/>
          <w:color w:val="000000"/>
          <w:sz w:val="32"/>
          <w:szCs w:val="32"/>
        </w:rPr>
        <w:t>造价审核范围</w:t>
      </w:r>
    </w:p>
    <w:p w14:paraId="7F5B794A">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我区范围内申报使用维修资金的项目，符合以下情况之一的，由</w:t>
      </w:r>
      <w:r>
        <w:rPr>
          <w:rFonts w:hint="eastAsia" w:ascii="方正仿宋_GBK" w:hAnsi="方正仿宋_GBK" w:eastAsia="方正仿宋_GBK" w:cs="方正仿宋_GBK"/>
          <w:color w:val="000000"/>
          <w:sz w:val="32"/>
          <w:szCs w:val="32"/>
          <w:lang w:val="en-US" w:eastAsia="zh-CN"/>
        </w:rPr>
        <w:t>申请</w:t>
      </w:r>
      <w:r>
        <w:rPr>
          <w:rFonts w:hint="eastAsia" w:ascii="方正仿宋_GBK" w:hAnsi="方正仿宋_GBK" w:eastAsia="方正仿宋_GBK" w:cs="方正仿宋_GBK"/>
          <w:color w:val="000000"/>
          <w:sz w:val="32"/>
          <w:szCs w:val="32"/>
        </w:rPr>
        <w:t>主体（业主</w:t>
      </w:r>
      <w:r>
        <w:rPr>
          <w:rFonts w:hint="eastAsia" w:ascii="方正仿宋_GBK" w:hAnsi="方正仿宋_GBK" w:cs="方正仿宋_GBK"/>
          <w:color w:val="000000"/>
          <w:sz w:val="32"/>
          <w:szCs w:val="32"/>
          <w:lang w:val="en-US" w:eastAsia="zh-CN"/>
        </w:rPr>
        <w:t>代表</w:t>
      </w:r>
      <w:r>
        <w:rPr>
          <w:rFonts w:hint="eastAsia" w:ascii="方正仿宋_GBK" w:hAnsi="方正仿宋_GBK" w:eastAsia="方正仿宋_GBK" w:cs="方正仿宋_GBK"/>
          <w:color w:val="000000"/>
          <w:sz w:val="32"/>
          <w:szCs w:val="32"/>
        </w:rPr>
        <w:t>、业主委员会、物业服务企业</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社区</w:t>
      </w:r>
      <w:r>
        <w:rPr>
          <w:rFonts w:hint="eastAsia" w:ascii="方正仿宋_GBK" w:hAnsi="方正仿宋_GBK" w:eastAsia="方正仿宋_GBK" w:cs="方正仿宋_GBK"/>
          <w:color w:val="000000"/>
          <w:sz w:val="32"/>
          <w:szCs w:val="32"/>
        </w:rPr>
        <w:t>或街道）委托专业的第三方机构开展工程造价审核工作：</w:t>
      </w:r>
    </w:p>
    <w:p w14:paraId="2735490F">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（一）</w:t>
      </w:r>
      <w:r>
        <w:rPr>
          <w:rFonts w:hint="eastAsia" w:ascii="Times New Roman" w:hAnsi="Times New Roman" w:eastAsia="方正仿宋_GBK" w:cs="Times New Roman"/>
          <w:kern w:val="2"/>
          <w:sz w:val="32"/>
          <w:lang w:val="en-US" w:eastAsia="zh-CN" w:bidi="ar-SA"/>
        </w:rPr>
        <w:t>10</w:t>
      </w:r>
      <w:r>
        <w:rPr>
          <w:rFonts w:hint="eastAsia" w:ascii="方正仿宋_GBK" w:hAnsi="方正仿宋_GBK" w:eastAsia="方正仿宋_GBK" w:cs="方正仿宋_GBK"/>
          <w:color w:val="000000"/>
          <w:sz w:val="32"/>
          <w:szCs w:val="32"/>
        </w:rPr>
        <w:t>万元（含）以上的项目，应当进行工程造价预算审核和结算审核。鼓励</w:t>
      </w:r>
      <w:r>
        <w:rPr>
          <w:rFonts w:hint="eastAsia" w:ascii="Times New Roman" w:hAnsi="Times New Roman" w:eastAsia="方正仿宋_GBK" w:cs="Times New Roman"/>
          <w:kern w:val="2"/>
          <w:sz w:val="32"/>
          <w:lang w:val="en-US" w:eastAsia="zh-CN" w:bidi="ar-SA"/>
        </w:rPr>
        <w:t>50</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kern w:val="0"/>
          <w:sz w:val="32"/>
          <w:szCs w:val="32"/>
        </w:rPr>
        <w:t>（含）</w:t>
      </w:r>
      <w:r>
        <w:rPr>
          <w:rFonts w:hint="eastAsia" w:ascii="方正仿宋_GBK" w:hAnsi="方正仿宋_GBK" w:eastAsia="方正仿宋_GBK" w:cs="方正仿宋_GBK"/>
          <w:color w:val="000000"/>
          <w:sz w:val="32"/>
          <w:szCs w:val="32"/>
        </w:rPr>
        <w:t>以上的消防、外墙立面等项目开展施工阶段工程造价全过程控制。业主大会决定不进行造价审核的除外。</w:t>
      </w:r>
    </w:p>
    <w:p w14:paraId="00D51BAB">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color w:val="000000"/>
          <w:sz w:val="32"/>
          <w:szCs w:val="32"/>
        </w:rPr>
        <w:t>（二）</w:t>
      </w:r>
      <w:r>
        <w:rPr>
          <w:rFonts w:hint="eastAsia" w:ascii="Times New Roman" w:hAnsi="Times New Roman" w:eastAsia="方正仿宋_GBK" w:cs="Times New Roman"/>
          <w:kern w:val="2"/>
          <w:sz w:val="32"/>
          <w:lang w:val="en-US" w:eastAsia="zh-CN" w:bidi="ar-SA"/>
        </w:rPr>
        <w:t>10</w:t>
      </w:r>
      <w:r>
        <w:rPr>
          <w:rFonts w:hint="eastAsia" w:ascii="方正仿宋_GBK" w:hAnsi="方正仿宋_GBK" w:eastAsia="方正仿宋_GBK" w:cs="方正仿宋_GBK"/>
          <w:color w:val="000000"/>
          <w:sz w:val="32"/>
          <w:szCs w:val="32"/>
        </w:rPr>
        <w:t>万元以下的项目，</w:t>
      </w:r>
      <w:r>
        <w:rPr>
          <w:rFonts w:hint="eastAsia" w:ascii="方正仿宋_GBK" w:hAnsi="方正仿宋_GBK" w:eastAsia="方正仿宋_GBK" w:cs="方正仿宋_GBK"/>
          <w:color w:val="000000"/>
          <w:sz w:val="32"/>
          <w:szCs w:val="32"/>
          <w:lang w:val="en-US" w:eastAsia="zh-CN"/>
        </w:rPr>
        <w:t>鼓励</w:t>
      </w:r>
      <w:r>
        <w:rPr>
          <w:rFonts w:hint="eastAsia" w:ascii="方正仿宋_GBK" w:hAnsi="方正仿宋_GBK" w:eastAsia="方正仿宋_GBK" w:cs="方正仿宋_GBK"/>
          <w:color w:val="000000"/>
          <w:sz w:val="32"/>
          <w:szCs w:val="32"/>
        </w:rPr>
        <w:t>开展工程造价结算审核</w:t>
      </w:r>
      <w:r>
        <w:rPr>
          <w:rFonts w:hint="eastAsia" w:ascii="方正仿宋_GBK" w:hAnsi="方正仿宋_GBK" w:eastAsia="方正仿宋_GBK" w:cs="方正仿宋_GBK"/>
          <w:color w:val="000000"/>
          <w:sz w:val="32"/>
          <w:szCs w:val="32"/>
          <w:lang w:eastAsia="zh-CN"/>
        </w:rPr>
        <w:t>：</w:t>
      </w:r>
    </w:p>
    <w:p w14:paraId="1DDA2984">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普通程序项目，按法定程序由业主表决同意后开展。</w:t>
      </w:r>
    </w:p>
    <w:p w14:paraId="1DF7E393">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应急简易程序项目，由</w:t>
      </w:r>
      <w:r>
        <w:rPr>
          <w:rFonts w:hint="eastAsia" w:ascii="方正仿宋_GBK" w:hAnsi="方正仿宋_GBK" w:eastAsia="方正仿宋_GBK" w:cs="方正仿宋_GBK"/>
          <w:color w:val="000000"/>
          <w:sz w:val="32"/>
          <w:szCs w:val="32"/>
          <w:lang w:val="en-US" w:eastAsia="zh-CN"/>
        </w:rPr>
        <w:t>申请</w:t>
      </w:r>
      <w:r>
        <w:rPr>
          <w:rFonts w:hint="eastAsia" w:ascii="方正仿宋_GBK" w:hAnsi="方正仿宋_GBK" w:eastAsia="方正仿宋_GBK" w:cs="方正仿宋_GBK"/>
          <w:color w:val="000000"/>
          <w:sz w:val="32"/>
          <w:szCs w:val="32"/>
        </w:rPr>
        <w:t>主体自行确定。</w:t>
      </w:r>
    </w:p>
    <w:p w14:paraId="1CE677A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val="en-US" w:eastAsia="zh-CN"/>
        </w:rPr>
        <w:t>二</w:t>
      </w:r>
      <w:r>
        <w:rPr>
          <w:rFonts w:hint="eastAsia" w:ascii="方正黑体_GBK" w:hAnsi="方正黑体_GBK" w:eastAsia="方正黑体_GBK" w:cs="方正黑体_GBK"/>
          <w:b w:val="0"/>
          <w:bCs/>
          <w:color w:val="000000"/>
          <w:sz w:val="32"/>
          <w:szCs w:val="32"/>
          <w:lang w:eastAsia="zh-CN"/>
        </w:rPr>
        <w:t>、造价审核费用</w:t>
      </w:r>
    </w:p>
    <w:p w14:paraId="1C101AFF">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16" w:firstLineChars="200"/>
        <w:jc w:val="both"/>
        <w:textAlignment w:val="auto"/>
        <w:outlineLvl w:val="9"/>
        <w:rPr>
          <w:rFonts w:hint="eastAsia" w:ascii="方正仿宋_GBK" w:hAnsi="方正仿宋_GBK" w:eastAsia="方正仿宋_GBK" w:cs="方正仿宋_GBK"/>
          <w:color w:val="000000"/>
          <w:spacing w:val="-6"/>
          <w:sz w:val="32"/>
          <w:szCs w:val="32"/>
        </w:rPr>
      </w:pPr>
      <w:r>
        <w:rPr>
          <w:rFonts w:hint="eastAsia" w:ascii="方正仿宋_GBK" w:hAnsi="方正仿宋_GBK" w:eastAsia="方正仿宋_GBK" w:cs="方正仿宋_GBK"/>
          <w:color w:val="000000"/>
          <w:spacing w:val="-6"/>
          <w:sz w:val="32"/>
          <w:szCs w:val="32"/>
        </w:rPr>
        <w:t>审核费用按不超过重庆市工程造价咨询服务收费标准执行。</w:t>
      </w:r>
    </w:p>
    <w:p w14:paraId="4BE968CE">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lang w:val="en-US" w:eastAsia="zh-CN" w:bidi="ar-SA"/>
        </w:rPr>
        <w:t>10</w:t>
      </w:r>
      <w:r>
        <w:rPr>
          <w:rFonts w:hint="eastAsia" w:ascii="方正仿宋_GBK" w:hAnsi="方正仿宋_GBK" w:eastAsia="方正仿宋_GBK" w:cs="方正仿宋_GBK"/>
          <w:color w:val="000000"/>
          <w:sz w:val="32"/>
          <w:szCs w:val="32"/>
        </w:rPr>
        <w:t>万元（含）以上的审核项目，审核费用从维修资金增值收益或者公共收益中支付。</w:t>
      </w:r>
    </w:p>
    <w:p w14:paraId="1A10EB64">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Times New Roman" w:hAnsi="Times New Roman" w:eastAsia="方正仿宋_GBK" w:cs="Times New Roman"/>
          <w:kern w:val="2"/>
          <w:sz w:val="32"/>
          <w:lang w:val="en-US" w:eastAsia="zh-CN" w:bidi="ar-SA"/>
        </w:rPr>
        <w:t>10</w:t>
      </w:r>
      <w:r>
        <w:rPr>
          <w:rFonts w:hint="eastAsia" w:ascii="方正仿宋_GBK" w:hAnsi="方正仿宋_GBK" w:eastAsia="方正仿宋_GBK" w:cs="方正仿宋_GBK"/>
          <w:color w:val="000000"/>
          <w:sz w:val="32"/>
          <w:szCs w:val="32"/>
        </w:rPr>
        <w:t>万元以下的审核项目，审核费用可计入工程成本，从维修资金或者公共收益中列支。</w:t>
      </w:r>
    </w:p>
    <w:p w14:paraId="5813768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val="en-US" w:eastAsia="zh-CN"/>
        </w:rPr>
        <w:t>三</w:t>
      </w:r>
      <w:r>
        <w:rPr>
          <w:rFonts w:hint="eastAsia" w:ascii="方正黑体_GBK" w:hAnsi="方正黑体_GBK" w:eastAsia="方正黑体_GBK" w:cs="方正黑体_GBK"/>
          <w:b w:val="0"/>
          <w:bCs/>
          <w:color w:val="000000"/>
          <w:sz w:val="32"/>
          <w:szCs w:val="32"/>
          <w:lang w:eastAsia="zh-CN"/>
        </w:rPr>
        <w:t>、审核结果运用</w:t>
      </w:r>
    </w:p>
    <w:p w14:paraId="0C8467CD">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造价咨询机构出具的审核报告是划拨物业专项维修资金的主要依据。审核报告中应注明“本报告将作为向</w:t>
      </w:r>
      <w:r>
        <w:rPr>
          <w:rFonts w:hint="eastAsia" w:ascii="方正仿宋_GBK" w:hAnsi="方正仿宋_GBK" w:eastAsia="方正仿宋_GBK" w:cs="方正仿宋_GBK"/>
          <w:color w:val="000000"/>
          <w:sz w:val="32"/>
          <w:szCs w:val="32"/>
          <w:lang w:val="en-US" w:eastAsia="zh-CN"/>
        </w:rPr>
        <w:t>荣昌</w:t>
      </w:r>
      <w:r>
        <w:rPr>
          <w:rFonts w:hint="eastAsia" w:ascii="方正仿宋_GBK" w:hAnsi="方正仿宋_GBK" w:eastAsia="方正仿宋_GBK" w:cs="方正仿宋_GBK"/>
          <w:color w:val="000000"/>
          <w:sz w:val="32"/>
          <w:szCs w:val="32"/>
        </w:rPr>
        <w:t>区</w:t>
      </w:r>
      <w:r>
        <w:rPr>
          <w:rFonts w:hint="eastAsia" w:ascii="方正仿宋_GBK" w:hAnsi="方正仿宋_GBK" w:eastAsia="方正仿宋_GBK" w:cs="方正仿宋_GBK"/>
          <w:color w:val="000000"/>
          <w:sz w:val="32"/>
          <w:szCs w:val="32"/>
          <w:lang w:val="en-US" w:eastAsia="zh-CN"/>
        </w:rPr>
        <w:t>住房城乡建委</w:t>
      </w:r>
      <w:r>
        <w:rPr>
          <w:rFonts w:hint="eastAsia" w:ascii="方正仿宋_GBK" w:hAnsi="方正仿宋_GBK" w:eastAsia="方正仿宋_GBK" w:cs="方正仿宋_GBK"/>
          <w:color w:val="000000"/>
          <w:sz w:val="32"/>
          <w:szCs w:val="32"/>
        </w:rPr>
        <w:t>申请拨付物业专项维修资金的依据”。开展造价审核的项目未按要求提交审核报告的，不予拨付维修资金。</w:t>
      </w:r>
    </w:p>
    <w:p w14:paraId="4F5EB74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val="en-US" w:eastAsia="zh-CN"/>
        </w:rPr>
        <w:t>四</w:t>
      </w:r>
      <w:r>
        <w:rPr>
          <w:rFonts w:hint="eastAsia" w:ascii="方正黑体_GBK" w:hAnsi="方正黑体_GBK" w:eastAsia="方正黑体_GBK" w:cs="方正黑体_GBK"/>
          <w:b w:val="0"/>
          <w:bCs/>
          <w:color w:val="000000"/>
          <w:sz w:val="32"/>
          <w:szCs w:val="32"/>
          <w:lang w:eastAsia="zh-CN"/>
        </w:rPr>
        <w:t>、有关工作要求</w:t>
      </w:r>
    </w:p>
    <w:p w14:paraId="77703CE3">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rPr>
      </w:pPr>
      <w:r>
        <w:rPr>
          <w:rFonts w:hint="eastAsia" w:ascii="方正楷体_GBK" w:hAnsi="方正楷体_GBK" w:eastAsia="方正楷体_GBK" w:cs="方正楷体_GBK"/>
          <w:color w:val="000000"/>
          <w:sz w:val="32"/>
          <w:szCs w:val="32"/>
        </w:rPr>
        <w:t>（一）</w:t>
      </w:r>
      <w:r>
        <w:rPr>
          <w:rFonts w:hint="eastAsia" w:ascii="方正仿宋_GBK" w:hAnsi="方正仿宋_GBK" w:eastAsia="方正仿宋_GBK" w:cs="方正仿宋_GBK"/>
          <w:color w:val="000000"/>
          <w:kern w:val="0"/>
          <w:sz w:val="32"/>
          <w:szCs w:val="32"/>
        </w:rPr>
        <w:t>为加强使用监管，预算审核、结算审核（施工阶段工程造价全过程控制）不得选择同一家造价咨询机构。</w:t>
      </w:r>
    </w:p>
    <w:p w14:paraId="3E7152FB">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kern w:val="0"/>
          <w:sz w:val="32"/>
          <w:szCs w:val="32"/>
        </w:rPr>
        <w:t>（二）</w:t>
      </w:r>
      <w:r>
        <w:rPr>
          <w:rFonts w:hint="eastAsia" w:ascii="方正仿宋_GBK" w:hAnsi="方正仿宋_GBK" w:eastAsia="方正仿宋_GBK" w:cs="方正仿宋_GBK"/>
          <w:color w:val="000000"/>
          <w:sz w:val="32"/>
          <w:szCs w:val="32"/>
        </w:rPr>
        <w:t>为维护业主权益，</w:t>
      </w:r>
      <w:r>
        <w:rPr>
          <w:rFonts w:hint="eastAsia" w:ascii="方正仿宋_GBK" w:hAnsi="方正仿宋_GBK" w:eastAsia="方正仿宋_GBK" w:cs="方正仿宋_GBK"/>
          <w:color w:val="000000"/>
          <w:sz w:val="32"/>
          <w:szCs w:val="32"/>
          <w:lang w:val="en-US" w:eastAsia="zh-CN"/>
        </w:rPr>
        <w:t>申请</w:t>
      </w:r>
      <w:r>
        <w:rPr>
          <w:rFonts w:hint="eastAsia" w:ascii="方正仿宋_GBK" w:hAnsi="方正仿宋_GBK" w:eastAsia="方正仿宋_GBK" w:cs="方正仿宋_GBK"/>
          <w:color w:val="000000"/>
          <w:sz w:val="32"/>
          <w:szCs w:val="32"/>
        </w:rPr>
        <w:t>主体应依法签订工程合同。开展预算审核的项目，工程合同约定的金额不得高于造价咨询机构出具的预算审核金额。开展结算审核的项目，工程结算金额不得超过造价咨询机构出具的结算审核金额。</w:t>
      </w:r>
    </w:p>
    <w:p w14:paraId="4AD0F34D">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rPr>
      </w:pPr>
      <w:r>
        <w:rPr>
          <w:rFonts w:hint="eastAsia" w:ascii="方正楷体_GBK" w:hAnsi="方正楷体_GBK" w:eastAsia="方正楷体_GBK" w:cs="方正楷体_GBK"/>
          <w:color w:val="000000"/>
          <w:kern w:val="0"/>
          <w:sz w:val="32"/>
          <w:szCs w:val="32"/>
        </w:rPr>
        <w:t>（三）</w:t>
      </w:r>
      <w:r>
        <w:rPr>
          <w:rFonts w:hint="eastAsia" w:ascii="方正仿宋_GBK" w:hAnsi="方正仿宋_GBK" w:eastAsia="方正仿宋_GBK" w:cs="方正仿宋_GBK"/>
          <w:color w:val="000000"/>
          <w:kern w:val="0"/>
          <w:sz w:val="32"/>
          <w:szCs w:val="32"/>
          <w:lang w:val="en-US" w:eastAsia="zh-CN"/>
        </w:rPr>
        <w:t>项目实际实施过程中或结束后，原则上超出预算审核内容的，超出部分不予受理。确因不可抗力、无法提前预知造成</w:t>
      </w:r>
      <w:r>
        <w:rPr>
          <w:rFonts w:hint="eastAsia" w:ascii="方正仿宋_GBK" w:hAnsi="方正仿宋_GBK" w:eastAsia="方正仿宋_GBK" w:cs="方正仿宋_GBK"/>
          <w:color w:val="000000"/>
          <w:kern w:val="0"/>
          <w:sz w:val="32"/>
          <w:szCs w:val="32"/>
        </w:rPr>
        <w:t>超出预算审核内容的，超出部分按如下处理：</w:t>
      </w:r>
    </w:p>
    <w:p w14:paraId="17BE0E84">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普通程序项目：</w:t>
      </w:r>
      <w:r>
        <w:rPr>
          <w:rFonts w:hint="eastAsia" w:ascii="方正仿宋_GBK" w:hAnsi="方正仿宋_GBK" w:eastAsia="方正仿宋_GBK" w:cs="方正仿宋_GBK"/>
          <w:color w:val="000000"/>
          <w:sz w:val="32"/>
          <w:szCs w:val="32"/>
          <w:lang w:val="en-US" w:eastAsia="zh-CN"/>
        </w:rPr>
        <w:t>由申请主体向属地镇街提出申请，经属地镇街研判后，进入业主决策程序，若</w:t>
      </w:r>
      <w:r>
        <w:rPr>
          <w:rFonts w:hint="eastAsia" w:ascii="方正仿宋_GBK" w:hAnsi="方正仿宋_GBK" w:eastAsia="方正仿宋_GBK" w:cs="方正仿宋_GBK"/>
          <w:color w:val="000000"/>
          <w:sz w:val="32"/>
          <w:szCs w:val="32"/>
        </w:rPr>
        <w:t>超出部分未按法定程序由业主表决同意的，超出部分不予受理。</w:t>
      </w:r>
    </w:p>
    <w:p w14:paraId="0778446C">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kern w:val="0"/>
          <w:sz w:val="32"/>
          <w:szCs w:val="32"/>
        </w:rPr>
        <w:t>2</w:t>
      </w:r>
      <w:r>
        <w:rPr>
          <w:rFonts w:hint="eastAsia" w:ascii="方正仿宋_GBK" w:hAnsi="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应急简易程序项目：项目实施中，</w:t>
      </w:r>
      <w:r>
        <w:rPr>
          <w:rFonts w:hint="eastAsia" w:ascii="方正仿宋_GBK" w:hAnsi="方正仿宋_GBK" w:eastAsia="方正仿宋_GBK" w:cs="方正仿宋_GBK"/>
          <w:color w:val="000000"/>
          <w:sz w:val="32"/>
          <w:szCs w:val="32"/>
          <w:lang w:val="en-US" w:eastAsia="zh-CN"/>
        </w:rPr>
        <w:t>若出现与本项目无关，或以外或新增项目，申请主体应及时将超出部分情况公示告知业主并书面报告属地街道，街道应当组织有关部门共同实地查勘并明确意见。新增项目需要按程序重新提出申请；未按要求重新提出申请或直接在同一项目上增加工程量或增加资金申请额度的，超出部分不予受理。</w:t>
      </w:r>
    </w:p>
    <w:p w14:paraId="3954E3A7">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color w:val="000000"/>
          <w:kern w:val="0"/>
          <w:sz w:val="32"/>
          <w:szCs w:val="32"/>
        </w:rPr>
        <w:t>（四）</w:t>
      </w:r>
      <w:r>
        <w:rPr>
          <w:rFonts w:hint="eastAsia" w:ascii="方正仿宋_GBK" w:hAnsi="方正仿宋_GBK" w:eastAsia="方正仿宋_GBK" w:cs="方正仿宋_GBK"/>
          <w:color w:val="000000"/>
          <w:kern w:val="0"/>
          <w:sz w:val="32"/>
          <w:szCs w:val="32"/>
        </w:rPr>
        <w:t>各</w:t>
      </w:r>
      <w:r>
        <w:rPr>
          <w:rFonts w:hint="eastAsia" w:ascii="方正仿宋_GBK" w:hAnsi="方正仿宋_GBK" w:eastAsia="方正仿宋_GBK" w:cs="方正仿宋_GBK"/>
          <w:color w:val="000000"/>
          <w:kern w:val="0"/>
          <w:sz w:val="32"/>
          <w:szCs w:val="32"/>
          <w:lang w:val="en-US" w:eastAsia="zh-CN"/>
        </w:rPr>
        <w:t>镇街</w:t>
      </w:r>
      <w:r>
        <w:rPr>
          <w:rFonts w:hint="eastAsia" w:ascii="方正仿宋_GBK" w:hAnsi="方正仿宋_GBK" w:eastAsia="方正仿宋_GBK" w:cs="方正仿宋_GBK"/>
          <w:color w:val="000000"/>
          <w:kern w:val="0"/>
          <w:sz w:val="32"/>
          <w:szCs w:val="32"/>
        </w:rPr>
        <w:t>应落实属地管理责任，负责指导和督促</w:t>
      </w:r>
      <w:r>
        <w:rPr>
          <w:rFonts w:hint="eastAsia" w:ascii="方正仿宋_GBK" w:hAnsi="方正仿宋_GBK" w:eastAsia="方正仿宋_GBK" w:cs="方正仿宋_GBK"/>
          <w:color w:val="000000"/>
          <w:sz w:val="32"/>
          <w:szCs w:val="32"/>
          <w:lang w:val="en-US" w:eastAsia="zh-CN"/>
        </w:rPr>
        <w:t>申请</w:t>
      </w:r>
      <w:r>
        <w:rPr>
          <w:rFonts w:hint="eastAsia" w:ascii="方正仿宋_GBK" w:hAnsi="方正仿宋_GBK" w:eastAsia="方正仿宋_GBK" w:cs="方正仿宋_GBK"/>
          <w:color w:val="000000"/>
          <w:kern w:val="0"/>
          <w:sz w:val="32"/>
          <w:szCs w:val="32"/>
        </w:rPr>
        <w:t>主体按维修资金政策及本通知要求开展维修资金的</w:t>
      </w:r>
      <w:r>
        <w:rPr>
          <w:rFonts w:hint="eastAsia" w:ascii="方正仿宋_GBK" w:hAnsi="方正仿宋_GBK" w:eastAsia="方正仿宋_GBK" w:cs="方正仿宋_GBK"/>
          <w:color w:val="000000"/>
          <w:kern w:val="0"/>
          <w:sz w:val="32"/>
          <w:szCs w:val="32"/>
          <w:lang w:val="en-US" w:eastAsia="zh-CN"/>
        </w:rPr>
        <w:t>申请和</w:t>
      </w:r>
      <w:r>
        <w:rPr>
          <w:rFonts w:hint="eastAsia" w:ascii="方正仿宋_GBK" w:hAnsi="方正仿宋_GBK" w:eastAsia="方正仿宋_GBK" w:cs="方正仿宋_GBK"/>
          <w:color w:val="000000"/>
          <w:kern w:val="0"/>
          <w:sz w:val="32"/>
          <w:szCs w:val="32"/>
        </w:rPr>
        <w:t>使用</w:t>
      </w:r>
      <w:r>
        <w:rPr>
          <w:rFonts w:hint="eastAsia" w:ascii="方正仿宋_GBK" w:hAnsi="方正仿宋_GBK" w:eastAsia="方正仿宋_GBK" w:cs="方正仿宋_GBK"/>
          <w:color w:val="000000"/>
          <w:sz w:val="32"/>
          <w:szCs w:val="32"/>
        </w:rPr>
        <w:t>，加强维修资金使用项目的过程监管</w:t>
      </w:r>
      <w:r>
        <w:rPr>
          <w:rFonts w:hint="eastAsia" w:ascii="方正仿宋_GBK" w:hAnsi="方正仿宋_GBK" w:eastAsia="方正仿宋_GBK" w:cs="方正仿宋_GBK"/>
          <w:color w:val="000000"/>
          <w:sz w:val="32"/>
          <w:szCs w:val="32"/>
          <w:lang w:eastAsia="zh-CN"/>
        </w:rPr>
        <w:t>。</w:t>
      </w:r>
    </w:p>
    <w:p w14:paraId="4030A335">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kern w:val="0"/>
          <w:sz w:val="32"/>
          <w:szCs w:val="32"/>
        </w:rPr>
        <w:t>（五）</w:t>
      </w:r>
      <w:r>
        <w:rPr>
          <w:rFonts w:hint="eastAsia" w:ascii="方正仿宋_GBK" w:hAnsi="方正仿宋_GBK" w:eastAsia="方正仿宋_GBK" w:cs="方正仿宋_GBK"/>
          <w:color w:val="000000"/>
          <w:sz w:val="32"/>
          <w:szCs w:val="32"/>
          <w:lang w:val="en-US" w:eastAsia="zh-CN"/>
        </w:rPr>
        <w:t>工程</w:t>
      </w:r>
      <w:r>
        <w:rPr>
          <w:rFonts w:hint="eastAsia" w:ascii="方正仿宋_GBK" w:hAnsi="方正仿宋_GBK" w:eastAsia="方正仿宋_GBK" w:cs="方正仿宋_GBK"/>
          <w:color w:val="000000"/>
          <w:sz w:val="32"/>
          <w:szCs w:val="32"/>
        </w:rPr>
        <w:t>造价咨询机构应按照工程造价审核有关法律法规、执业规范对维修资金使用项目进行审核，对出具的审核报告真实性、准确性、合法性承担相关法律责任。</w:t>
      </w:r>
    </w:p>
    <w:p w14:paraId="7097811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right="0" w:rightChars="0" w:firstLine="640" w:firstLineChars="200"/>
        <w:jc w:val="both"/>
        <w:textAlignment w:val="auto"/>
        <w:outlineLvl w:val="9"/>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t>五</w:t>
      </w:r>
      <w:r>
        <w:rPr>
          <w:rFonts w:hint="eastAsia" w:ascii="方正黑体_GBK" w:hAnsi="方正黑体_GBK" w:eastAsia="方正黑体_GBK" w:cs="方正黑体_GBK"/>
          <w:b w:val="0"/>
          <w:bCs/>
          <w:color w:val="000000"/>
          <w:sz w:val="32"/>
          <w:szCs w:val="32"/>
          <w:lang w:eastAsia="zh-CN"/>
        </w:rPr>
        <w:t>、</w:t>
      </w:r>
      <w:r>
        <w:rPr>
          <w:rFonts w:hint="eastAsia" w:ascii="方正黑体_GBK" w:hAnsi="方正黑体_GBK" w:eastAsia="方正黑体_GBK" w:cs="方正黑体_GBK"/>
          <w:b w:val="0"/>
          <w:bCs/>
          <w:color w:val="000000"/>
          <w:sz w:val="32"/>
          <w:szCs w:val="32"/>
          <w:lang w:val="en-US" w:eastAsia="zh-CN"/>
        </w:rPr>
        <w:t>附则</w:t>
      </w:r>
    </w:p>
    <w:p w14:paraId="75ECD38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0"/>
          <w:sz w:val="32"/>
          <w:szCs w:val="32"/>
          <w:u w:val="none"/>
          <w:lang w:val="en-US" w:eastAsia="zh-CN" w:bidi="ar-SA"/>
        </w:rPr>
      </w:pPr>
      <w:bookmarkStart w:id="1" w:name="_GoBack"/>
      <w:r>
        <w:rPr>
          <w:rFonts w:hint="eastAsia" w:ascii="方正仿宋_GBK" w:hAnsi="方正仿宋_GBK" w:eastAsia="方正仿宋_GBK" w:cs="方正仿宋_GBK"/>
          <w:color w:val="auto"/>
          <w:kern w:val="0"/>
          <w:sz w:val="32"/>
          <w:szCs w:val="32"/>
          <w:u w:val="none"/>
          <w:lang w:val="en-US" w:eastAsia="zh-CN" w:bidi="ar-SA"/>
        </w:rPr>
        <w:t>本通知自印发之日起执行。《重庆市荣昌区国土房管局关于加强物业专项维修资金使用项目工程造价管理的通知》（荣国土房管发〔</w:t>
      </w:r>
      <w:r>
        <w:rPr>
          <w:rFonts w:hint="eastAsia" w:ascii="Times New Roman" w:hAnsi="Times New Roman" w:eastAsia="方正仿宋_GBK" w:cs="Times New Roman"/>
          <w:kern w:val="2"/>
          <w:sz w:val="32"/>
          <w:lang w:val="en-US" w:eastAsia="zh-CN" w:bidi="ar-SA"/>
        </w:rPr>
        <w:t>2017</w:t>
      </w:r>
      <w:r>
        <w:rPr>
          <w:rFonts w:hint="eastAsia" w:ascii="方正仿宋_GBK" w:hAnsi="方正仿宋_GBK" w:eastAsia="方正仿宋_GBK" w:cs="方正仿宋_GBK"/>
          <w:color w:val="auto"/>
          <w:kern w:val="0"/>
          <w:sz w:val="32"/>
          <w:szCs w:val="32"/>
          <w:u w:val="none"/>
          <w:lang w:val="en-US" w:eastAsia="zh-CN" w:bidi="ar-SA"/>
        </w:rPr>
        <w:t>〕</w:t>
      </w:r>
      <w:r>
        <w:rPr>
          <w:rFonts w:hint="eastAsia" w:ascii="Times New Roman" w:hAnsi="Times New Roman" w:eastAsia="方正仿宋_GBK" w:cs="Times New Roman"/>
          <w:kern w:val="2"/>
          <w:sz w:val="32"/>
          <w:lang w:val="en-US" w:eastAsia="zh-CN" w:bidi="ar-SA"/>
        </w:rPr>
        <w:t>31</w:t>
      </w:r>
      <w:r>
        <w:rPr>
          <w:rFonts w:hint="eastAsia" w:ascii="方正仿宋_GBK" w:hAnsi="方正仿宋_GBK" w:eastAsia="方正仿宋_GBK" w:cs="方正仿宋_GBK"/>
          <w:color w:val="auto"/>
          <w:kern w:val="0"/>
          <w:sz w:val="32"/>
          <w:szCs w:val="32"/>
          <w:u w:val="none"/>
          <w:lang w:val="en-US" w:eastAsia="zh-CN" w:bidi="ar-SA"/>
        </w:rPr>
        <w:t>号）同时废止。</w:t>
      </w:r>
    </w:p>
    <w:bookmarkEnd w:id="1"/>
    <w:p w14:paraId="6CB1003F">
      <w:pPr>
        <w:pStyle w:val="10"/>
        <w:keepNext w:val="0"/>
        <w:keepLines w:val="0"/>
        <w:pageBreakBefore w:val="0"/>
        <w:widowControl w:val="0"/>
        <w:kinsoku/>
        <w:wordWrap w:val="0"/>
        <w:overflowPunct/>
        <w:topLinePunct w:val="0"/>
        <w:autoSpaceDE/>
        <w:autoSpaceDN/>
        <w:bidi w:val="0"/>
        <w:adjustRightInd w:val="0"/>
        <w:snapToGrid w:val="0"/>
        <w:spacing w:after="0" w:line="600" w:lineRule="exact"/>
        <w:ind w:left="0" w:leftChars="0" w:firstLine="640" w:firstLineChars="200"/>
        <w:jc w:val="right"/>
        <w:textAlignment w:val="auto"/>
        <w:rPr>
          <w:rFonts w:hint="eastAsia" w:ascii="方正仿宋_GBK" w:hAnsi="方正仿宋_GBK" w:cs="方正仿宋_GBK"/>
          <w:kern w:val="2"/>
          <w:sz w:val="32"/>
          <w:szCs w:val="24"/>
          <w:lang w:val="en-US" w:eastAsia="zh-CN" w:bidi="ar-SA"/>
        </w:rPr>
      </w:pPr>
    </w:p>
    <w:p w14:paraId="4EF454B5">
      <w:pPr>
        <w:pStyle w:val="10"/>
        <w:keepNext w:val="0"/>
        <w:keepLines w:val="0"/>
        <w:pageBreakBefore w:val="0"/>
        <w:widowControl w:val="0"/>
        <w:kinsoku/>
        <w:wordWrap w:val="0"/>
        <w:overflowPunct/>
        <w:topLinePunct w:val="0"/>
        <w:autoSpaceDE/>
        <w:autoSpaceDN/>
        <w:bidi w:val="0"/>
        <w:adjustRightInd w:val="0"/>
        <w:snapToGrid w:val="0"/>
        <w:spacing w:after="0" w:line="600" w:lineRule="exact"/>
        <w:ind w:left="0" w:leftChars="0" w:firstLine="640" w:firstLineChars="200"/>
        <w:jc w:val="right"/>
        <w:textAlignment w:val="auto"/>
        <w:rPr>
          <w:rFonts w:hint="default" w:ascii="方正仿宋_GBK" w:hAnsi="方正仿宋_GBK" w:cs="方正仿宋_GBK"/>
          <w:kern w:val="2"/>
          <w:sz w:val="32"/>
          <w:szCs w:val="24"/>
          <w:lang w:val="en-US" w:eastAsia="zh-CN" w:bidi="ar-SA"/>
        </w:rPr>
      </w:pPr>
      <w:r>
        <w:rPr>
          <w:rFonts w:hint="eastAsia" w:ascii="方正仿宋_GBK" w:hAnsi="方正仿宋_GBK" w:cs="方正仿宋_GBK"/>
          <w:kern w:val="2"/>
          <w:sz w:val="32"/>
          <w:szCs w:val="24"/>
          <w:lang w:val="en-US" w:eastAsia="zh-CN" w:bidi="ar-SA"/>
        </w:rPr>
        <w:t xml:space="preserve">重庆市荣昌区住房和城乡建设委员会  </w:t>
      </w:r>
    </w:p>
    <w:p w14:paraId="60057A95">
      <w:pPr>
        <w:keepNext w:val="0"/>
        <w:keepLines w:val="0"/>
        <w:pageBreakBefore w:val="0"/>
        <w:widowControl w:val="0"/>
        <w:kinsoku/>
        <w:overflowPunct/>
        <w:topLinePunct w:val="0"/>
        <w:autoSpaceDE/>
        <w:autoSpaceDN/>
        <w:bidi w:val="0"/>
        <w:spacing w:line="600" w:lineRule="exact"/>
        <w:textAlignment w:val="auto"/>
        <w:rPr>
          <w:rFonts w:hint="eastAsia"/>
          <w:lang w:val="en-US" w:eastAsia="zh-CN"/>
        </w:rPr>
      </w:pPr>
      <w:r>
        <w:rPr>
          <w:rFonts w:hint="eastAsia"/>
          <w:lang w:val="en-US" w:eastAsia="zh-CN"/>
        </w:rPr>
        <w:t xml:space="preserve">                             </w:t>
      </w:r>
      <w:r>
        <w:rPr>
          <w:rFonts w:hint="eastAsia" w:ascii="Times New Roman" w:hAnsi="Times New Roman" w:eastAsia="方正仿宋_GBK" w:cs="Times New Roman"/>
          <w:kern w:val="2"/>
          <w:sz w:val="32"/>
          <w:lang w:val="en-US" w:eastAsia="zh-CN" w:bidi="ar-SA"/>
        </w:rPr>
        <w:t>2025</w:t>
      </w:r>
      <w:r>
        <w:rPr>
          <w:rFonts w:hint="eastAsia"/>
          <w:lang w:val="en-US" w:eastAsia="zh-CN"/>
        </w:rPr>
        <w:t>年</w:t>
      </w:r>
      <w:r>
        <w:rPr>
          <w:rFonts w:hint="eastAsia" w:ascii="Times New Roman" w:hAnsi="Times New Roman" w:eastAsia="方正仿宋_GBK" w:cs="Times New Roman"/>
          <w:kern w:val="2"/>
          <w:sz w:val="32"/>
          <w:lang w:val="en-US" w:eastAsia="zh-CN" w:bidi="ar-SA"/>
        </w:rPr>
        <w:t>12</w:t>
      </w:r>
      <w:r>
        <w:rPr>
          <w:rFonts w:hint="eastAsia"/>
          <w:lang w:val="en-US" w:eastAsia="zh-CN"/>
        </w:rPr>
        <w:t>月</w:t>
      </w:r>
      <w:r>
        <w:rPr>
          <w:rFonts w:hint="eastAsia" w:ascii="Times New Roman" w:hAnsi="Times New Roman" w:eastAsia="方正仿宋_GBK" w:cs="Times New Roman"/>
          <w:kern w:val="2"/>
          <w:sz w:val="32"/>
          <w:lang w:val="en-US" w:eastAsia="zh-CN" w:bidi="ar-SA"/>
        </w:rPr>
        <w:t>2</w:t>
      </w:r>
      <w:r>
        <w:rPr>
          <w:rFonts w:hint="eastAsia"/>
          <w:lang w:val="en-US" w:eastAsia="zh-CN"/>
        </w:rPr>
        <w:t>日</w:t>
      </w:r>
    </w:p>
    <w:p w14:paraId="67A2F6AF">
      <w:pPr>
        <w:pStyle w:val="2"/>
        <w:rPr>
          <w:rFonts w:hint="default"/>
          <w:lang w:val="en-US" w:eastAsia="zh-CN"/>
        </w:rPr>
      </w:pPr>
    </w:p>
    <w:p w14:paraId="580A68D6">
      <w:pPr>
        <w:tabs>
          <w:tab w:val="left" w:pos="872"/>
        </w:tabs>
        <w:bidi w:val="0"/>
        <w:ind w:firstLine="640" w:firstLineChars="200"/>
        <w:jc w:val="left"/>
        <w:rPr>
          <w:rFonts w:hint="eastAsia" w:ascii="Times New Roman" w:hAnsi="Times New Roman" w:eastAsia="方正仿宋_GBK" w:cs="Times New Roman"/>
          <w:kern w:val="2"/>
          <w:sz w:val="32"/>
          <w:lang w:val="en-US" w:eastAsia="zh-CN" w:bidi="ar-SA"/>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00"/>
    <w:family w:val="auto"/>
    <w:pitch w:val="default"/>
    <w:sig w:usb0="00000000" w:usb1="00000000" w:usb2="00000012"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C084">
    <w:pPr>
      <w:pStyle w:val="8"/>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24815">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824815">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D544336">
    <w:pPr>
      <w:pStyle w:val="8"/>
      <w:keepNext w:val="0"/>
      <w:keepLines w:val="0"/>
      <w:pageBreakBefore w:val="0"/>
      <w:widowControl w:val="0"/>
      <w:kinsoku/>
      <w:wordWrap w:val="0"/>
      <w:overflowPunct/>
      <w:topLinePunct w:val="0"/>
      <w:autoSpaceDE/>
      <w:autoSpaceDN/>
      <w:bidi w:val="0"/>
      <w:adjustRightInd/>
      <w:snapToGrid w:val="0"/>
      <w:ind w:left="0" w:leftChars="0" w:firstLine="0" w:firstLineChars="0"/>
      <w:jc w:val="right"/>
      <w:textAlignment w:val="auto"/>
      <w:rPr>
        <w:rFonts w:hint="eastAsia"/>
        <w:color w:val="FAFAFA"/>
        <w:sz w:val="32"/>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63500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5pt;height:0.15pt;width:442.25pt;z-index:251659264;mso-width-relative:page;mso-height-relative:page;" filled="f" stroked="t" coordsize="21600,21600" o:gfxdata="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JQ2ULTAAAA&#10;Bw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w:t>
    </w:r>
    <w:r>
      <w:rPr>
        <w:rFonts w:hint="eastAsia"/>
        <w:color w:val="FAFAFA"/>
        <w:sz w:val="32"/>
        <w:lang w:val="en-US" w:eastAsia="zh-CN"/>
      </w:rPr>
      <w:t xml:space="preserve"> </w:t>
    </w:r>
  </w:p>
  <w:p w14:paraId="129D3CFA">
    <w:pPr>
      <w:pStyle w:val="8"/>
      <w:keepNext w:val="0"/>
      <w:keepLines w:val="0"/>
      <w:pageBreakBefore w:val="0"/>
      <w:widowControl w:val="0"/>
      <w:kinsoku/>
      <w:wordWrap w:val="0"/>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荣昌区住房和城乡建设委员会发布</w:t>
    </w:r>
  </w:p>
  <w:p w14:paraId="71BD3F98">
    <w:pPr>
      <w:pStyle w:val="8"/>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E3807">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0" name="直接连接符 10"/>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1312;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IarXC3zAQAAvwMAAA4AAAAAAAAAAQAgAAAAIwEAAGRycy9lMm9Eb2MueG1sUEsFBgAA&#10;AAAGAAYAWQEAAIgFAAAAAA==&#10;">
              <v:fill on="f" focussize="0,0"/>
              <v:stroke weight="1.75pt" color="#005192 [3204]" miterlimit="8" joinstyle="miter"/>
              <v:imagedata o:title=""/>
              <o:lock v:ext="edit" aspectratio="f"/>
            </v:line>
          </w:pict>
        </mc:Fallback>
      </mc:AlternateContent>
    </w:r>
  </w:p>
  <w:p w14:paraId="46E3542F">
    <w:pPr>
      <w:pStyle w:val="8"/>
      <w:keepNext w:val="0"/>
      <w:keepLines w:val="0"/>
      <w:pageBreakBefore w:val="0"/>
      <w:widowControl w:val="0"/>
      <w:tabs>
        <w:tab w:val="right" w:pos="8845"/>
        <w:tab w:val="clear" w:pos="8306"/>
      </w:tabs>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7" name="图片 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bookmarkStart w:id="0" w:name="OLE_LINK1"/>
    <w:r>
      <w:rPr>
        <w:rFonts w:hint="eastAsia" w:ascii="宋体" w:hAnsi="宋体" w:eastAsia="宋体" w:cs="宋体"/>
        <w:b/>
        <w:bCs/>
        <w:color w:val="005192"/>
        <w:sz w:val="32"/>
        <w:lang w:val="en-US" w:eastAsia="zh-Hans"/>
      </w:rPr>
      <w:t>重庆市荣昌区住房和城乡建设委员会</w:t>
    </w:r>
    <w:r>
      <w:rPr>
        <w:rFonts w:hint="eastAsia" w:ascii="宋体" w:hAnsi="宋体" w:eastAsia="宋体" w:cs="宋体"/>
        <w:b/>
        <w:bCs/>
        <w:color w:val="005192"/>
        <w:sz w:val="32"/>
        <w:lang w:val="en-US" w:eastAsia="zh-CN"/>
      </w:rPr>
      <w:t>行政规范性</w:t>
    </w:r>
    <w:r>
      <w:rPr>
        <w:rFonts w:hint="eastAsia" w:ascii="宋体" w:hAnsi="宋体" w:eastAsia="宋体" w:cs="宋体"/>
        <w:b/>
        <w:bCs/>
        <w:color w:val="005192"/>
        <w:sz w:val="32"/>
        <w:szCs w:val="32"/>
        <w:lang w:val="en-US" w:eastAsia="zh-Hans"/>
      </w:rPr>
      <w:t>文件</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WM3OWZkYzJkYzlhYjE5ZjZiMjZjMDQzMTg3NzQifQ=="/>
  </w:docVars>
  <w:rsids>
    <w:rsidRoot w:val="00172A27"/>
    <w:rsid w:val="018D4DF2"/>
    <w:rsid w:val="019E71BD"/>
    <w:rsid w:val="029D34BA"/>
    <w:rsid w:val="041C42DA"/>
    <w:rsid w:val="04B679C3"/>
    <w:rsid w:val="05F07036"/>
    <w:rsid w:val="06E00104"/>
    <w:rsid w:val="080F63D8"/>
    <w:rsid w:val="09341458"/>
    <w:rsid w:val="098254C2"/>
    <w:rsid w:val="09FC30DE"/>
    <w:rsid w:val="0A766EDE"/>
    <w:rsid w:val="0AD64BE8"/>
    <w:rsid w:val="0B0912D7"/>
    <w:rsid w:val="0DC32AED"/>
    <w:rsid w:val="0E025194"/>
    <w:rsid w:val="152D2DCA"/>
    <w:rsid w:val="187168EA"/>
    <w:rsid w:val="196673CA"/>
    <w:rsid w:val="1B2F4AEE"/>
    <w:rsid w:val="1CF734C9"/>
    <w:rsid w:val="1DEC284C"/>
    <w:rsid w:val="1E6523AC"/>
    <w:rsid w:val="1ECC1973"/>
    <w:rsid w:val="218C6A7B"/>
    <w:rsid w:val="22440422"/>
    <w:rsid w:val="22BB4BBB"/>
    <w:rsid w:val="247C3932"/>
    <w:rsid w:val="27E35CDE"/>
    <w:rsid w:val="2A64640A"/>
    <w:rsid w:val="2AEB3417"/>
    <w:rsid w:val="31A15F24"/>
    <w:rsid w:val="324A1681"/>
    <w:rsid w:val="36FB1DF0"/>
    <w:rsid w:val="395347B5"/>
    <w:rsid w:val="39A232A0"/>
    <w:rsid w:val="39E745AA"/>
    <w:rsid w:val="3B5A6BBB"/>
    <w:rsid w:val="3BD038FF"/>
    <w:rsid w:val="3EDA13A6"/>
    <w:rsid w:val="40933213"/>
    <w:rsid w:val="417B75E9"/>
    <w:rsid w:val="42F058B7"/>
    <w:rsid w:val="436109F6"/>
    <w:rsid w:val="441A38D4"/>
    <w:rsid w:val="4504239D"/>
    <w:rsid w:val="49965743"/>
    <w:rsid w:val="4BC77339"/>
    <w:rsid w:val="4C9236C5"/>
    <w:rsid w:val="4E250A85"/>
    <w:rsid w:val="4FFD4925"/>
    <w:rsid w:val="505C172E"/>
    <w:rsid w:val="506405EA"/>
    <w:rsid w:val="52F46F0B"/>
    <w:rsid w:val="532B6A10"/>
    <w:rsid w:val="53D8014D"/>
    <w:rsid w:val="55E064E0"/>
    <w:rsid w:val="572C6D10"/>
    <w:rsid w:val="588A05FB"/>
    <w:rsid w:val="5DC34279"/>
    <w:rsid w:val="5FCD688E"/>
    <w:rsid w:val="5FF9BDAA"/>
    <w:rsid w:val="5FFE5333"/>
    <w:rsid w:val="608816D1"/>
    <w:rsid w:val="60EF4E7F"/>
    <w:rsid w:val="60FB063E"/>
    <w:rsid w:val="63880043"/>
    <w:rsid w:val="648B0A32"/>
    <w:rsid w:val="665233C1"/>
    <w:rsid w:val="69AC0D42"/>
    <w:rsid w:val="6AD9688B"/>
    <w:rsid w:val="6D0E3F22"/>
    <w:rsid w:val="6ECB3616"/>
    <w:rsid w:val="744E4660"/>
    <w:rsid w:val="753355A2"/>
    <w:rsid w:val="759F1C61"/>
    <w:rsid w:val="769F2DE8"/>
    <w:rsid w:val="76FDEB7C"/>
    <w:rsid w:val="77F783D4"/>
    <w:rsid w:val="79C65162"/>
    <w:rsid w:val="7C9011D9"/>
    <w:rsid w:val="7DC651C5"/>
    <w:rsid w:val="7DF350ED"/>
    <w:rsid w:val="7EEB3816"/>
    <w:rsid w:val="7F9DA0E8"/>
    <w:rsid w:val="7FCC2834"/>
    <w:rsid w:val="7FF6A4EF"/>
    <w:rsid w:val="92DD1CEF"/>
    <w:rsid w:val="9FFFD341"/>
    <w:rsid w:val="F05B4F69"/>
    <w:rsid w:val="F3DFAE4C"/>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Normal Indent"/>
    <w:basedOn w:val="1"/>
    <w:next w:val="1"/>
    <w:qFormat/>
    <w:uiPriority w:val="0"/>
    <w:pPr>
      <w:widowControl w:val="0"/>
      <w:ind w:firstLine="420" w:firstLineChars="200"/>
      <w:jc w:val="both"/>
    </w:pPr>
    <w:rPr>
      <w:rFonts w:eastAsia="方正仿宋简体"/>
      <w:kern w:val="2"/>
      <w:sz w:val="32"/>
      <w:szCs w:val="24"/>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jc w:val="center"/>
    </w:pPr>
    <w:rPr>
      <w:rFonts w:ascii="Calibri" w:hAnsi="Calibri" w:eastAsia="方正小标宋简体" w:cs="Times New Roman"/>
      <w:sz w:val="32"/>
    </w:rPr>
  </w:style>
  <w:style w:type="paragraph" w:styleId="7">
    <w:name w:val="Body Text Indent"/>
    <w:basedOn w:val="1"/>
    <w:next w:val="6"/>
    <w:qFormat/>
    <w:uiPriority w:val="0"/>
    <w:pPr>
      <w:widowControl w:val="0"/>
      <w:spacing w:after="120"/>
      <w:ind w:left="420" w:leftChars="200"/>
      <w:jc w:val="both"/>
    </w:pPr>
    <w:rPr>
      <w:rFonts w:ascii="Times New Roman" w:hAnsi="Times New Roman" w:eastAsia="方正仿宋_GBK" w:cs="Times New Roman"/>
      <w:kern w:val="2"/>
      <w:sz w:val="32"/>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qFormat/>
    <w:uiPriority w:val="0"/>
    <w:pPr>
      <w:widowControl w:val="0"/>
      <w:spacing w:after="120"/>
      <w:ind w:left="420" w:leftChars="200" w:firstLine="420" w:firstLineChars="200"/>
      <w:jc w:val="both"/>
    </w:pPr>
    <w:rPr>
      <w:rFonts w:ascii="Times New Roman" w:hAnsi="Times New Roman" w:eastAsia="方正仿宋_GBK" w:cs="Times New Roman"/>
      <w:kern w:val="2"/>
      <w:sz w:val="32"/>
      <w:lang w:val="en-US" w:eastAsia="zh-CN" w:bidi="ar-SA"/>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Body Text First Indent1"/>
    <w:basedOn w:val="6"/>
    <w:qFormat/>
    <w:uiPriority w:val="0"/>
    <w:pPr>
      <w:adjustRightInd w:val="0"/>
      <w:spacing w:line="275" w:lineRule="atLeast"/>
      <w:ind w:firstLine="420"/>
      <w:textAlignment w:val="baseline"/>
    </w:pPr>
  </w:style>
  <w:style w:type="paragraph" w:customStyle="1" w:styleId="16">
    <w:name w:val="页眉1"/>
    <w:basedOn w:val="1"/>
    <w:qFormat/>
    <w:uiPriority w:val="0"/>
    <w:pPr>
      <w:pBdr>
        <w:bottom w:val="single" w:color="000000" w:sz="6" w:space="1"/>
      </w:pBdr>
      <w:tabs>
        <w:tab w:val="center" w:pos="4153"/>
        <w:tab w:val="right" w:pos="8306"/>
      </w:tabs>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8733</Words>
  <Characters>8797</Characters>
  <Lines>1</Lines>
  <Paragraphs>1</Paragraphs>
  <TotalTime>0</TotalTime>
  <ScaleCrop>false</ScaleCrop>
  <LinksUpToDate>false</LinksUpToDate>
  <CharactersWithSpaces>8828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PPPPPPIG</cp:lastModifiedBy>
  <cp:lastPrinted>2022-05-12T16:46:00Z</cp:lastPrinted>
  <dcterms:modified xsi:type="dcterms:W3CDTF">2026-01-22T08:59:53Z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48C61CB29D3F4D9384F5922CF0F7FFB4</vt:lpwstr>
  </property>
  <property fmtid="{D5CDD505-2E9C-101B-9397-08002B2CF9AE}" pid="4" name="KSOTemplateDocerSaveRecord">
    <vt:lpwstr>eyJoZGlkIjoiY2ExOGQ1OTlmNjk0ZDBmOGY5NTJhNDc1YjViZjYyMjciLCJ1c2VySWQiOiI0NDA1OTc0MDMifQ==</vt:lpwstr>
  </property>
</Properties>
</file>