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重庆市荣昌区招商投资中心</w:t>
      </w: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方正小标宋_GBK" w:hAnsi="方正小标宋_GBK" w:eastAsia="方正小标宋_GBK" w:cs="方正小标宋_GBK"/>
          <w:b w:val="0"/>
          <w:bCs/>
          <w:kern w:val="0"/>
          <w:sz w:val="44"/>
          <w:szCs w:val="44"/>
          <w:lang w:val="en-US" w:eastAsia="zh-CN"/>
        </w:rPr>
      </w:pPr>
      <w:r>
        <w:rPr>
          <w:rFonts w:hint="default" w:ascii="方正小标宋_GBK" w:hAnsi="方正小标宋_GBK" w:eastAsia="方正小标宋_GBK" w:cs="方正小标宋_GBK"/>
          <w:b w:val="0"/>
          <w:bCs/>
          <w:kern w:val="0"/>
          <w:sz w:val="44"/>
          <w:szCs w:val="44"/>
        </w:rPr>
        <w:t>2024</w:t>
      </w:r>
      <w:r>
        <w:rPr>
          <w:rFonts w:hint="eastAsia" w:ascii="方正小标宋_GBK" w:hAnsi="方正小标宋_GBK" w:eastAsia="方正小标宋_GBK" w:cs="方正小标宋_GBK"/>
          <w:b w:val="0"/>
          <w:bCs/>
          <w:kern w:val="0"/>
          <w:sz w:val="44"/>
          <w:szCs w:val="44"/>
        </w:rPr>
        <w:t>年度决算公开</w:t>
      </w:r>
      <w:r>
        <w:rPr>
          <w:rFonts w:hint="eastAsia" w:ascii="方正小标宋_GBK" w:hAnsi="方正小标宋_GBK" w:eastAsia="方正小标宋_GBK" w:cs="方正小标宋_GBK"/>
          <w:b w:val="0"/>
          <w:bCs/>
          <w:kern w:val="0"/>
          <w:sz w:val="44"/>
          <w:szCs w:val="44"/>
          <w:lang w:val="en-US" w:eastAsia="zh-CN"/>
        </w:rPr>
        <w:t>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96" w:lineRule="exact"/>
        <w:ind w:left="634" w:leftChars="200" w:firstLine="0" w:firstLineChars="0"/>
        <w:jc w:val="both"/>
        <w:textAlignment w:val="auto"/>
        <w:rPr>
          <w:rFonts w:hint="eastAsia" w:ascii="方正楷体_GBK" w:hAnsi="方正楷体_GBK" w:eastAsia="方正楷体_GBK" w:cs="方正楷体_GBK"/>
        </w:rPr>
      </w:pPr>
      <w:r>
        <w:rPr>
          <w:rFonts w:hint="eastAsia" w:ascii="方正黑体_GBK" w:hAnsi="方正黑体_GBK" w:eastAsia="方正黑体_GBK" w:cs="方正黑体_GBK"/>
        </w:rPr>
        <w:t>一、</w:t>
      </w:r>
      <w:r>
        <w:rPr>
          <w:rFonts w:hint="eastAsia" w:ascii="方正黑体_GBK" w:hAnsi="方正黑体_GBK" w:eastAsia="方正黑体_GBK" w:cs="方正黑体_GBK"/>
          <w:lang w:eastAsia="zh-CN"/>
        </w:rPr>
        <w:t>单位</w:t>
      </w:r>
      <w:r>
        <w:rPr>
          <w:rFonts w:hint="eastAsia" w:ascii="方正黑体_GBK" w:hAnsi="方正黑体_GBK" w:eastAsia="方正黑体_GBK" w:cs="方正黑体_GBK"/>
        </w:rPr>
        <w:t>基本情况</w:t>
      </w:r>
      <w:r>
        <w:rPr>
          <w:rFonts w:hint="eastAsia" w:ascii="方正黑体_GBK" w:hAnsi="方正黑体_GBK" w:eastAsia="方正黑体_GBK" w:cs="方正黑体_GBK"/>
        </w:rPr>
        <w:br w:type="textWrapping"/>
      </w:r>
      <w:r>
        <w:rPr>
          <w:rFonts w:hint="eastAsia" w:ascii="方正楷体_GBK" w:hAnsi="方正楷体_GBK" w:eastAsia="方正楷体_GBK" w:cs="方正楷体_GBK"/>
        </w:rPr>
        <w:t>（一）职能职责</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lang w:eastAsia="zh-CN"/>
        </w:rPr>
        <w:t>重庆市荣昌区招商投资中心为正科级全额拨款事业单位，隶属重庆市荣昌区招商投资促进局管理。本单位的宗旨是：为招商投资工作提供服务。</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pPr>
      <w:r>
        <w:rPr>
          <w:rFonts w:hint="eastAsia"/>
          <w:lang w:eastAsia="zh-CN"/>
        </w:rPr>
        <w:t>其主要职能职责是：</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pPr>
      <w:r>
        <w:rPr>
          <w:rFonts w:hint="eastAsia"/>
          <w:lang w:val="en-US" w:eastAsia="zh-CN"/>
        </w:rPr>
        <w:t>1.</w:t>
      </w:r>
      <w:r>
        <w:rPr>
          <w:rFonts w:hint="eastAsia"/>
          <w:lang w:eastAsia="zh-CN"/>
        </w:rPr>
        <w:t>负责招商投资交流合作。</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pPr>
      <w:r>
        <w:rPr>
          <w:rFonts w:hint="eastAsia"/>
          <w:lang w:val="en-US" w:eastAsia="zh-CN"/>
        </w:rPr>
        <w:t>2.</w:t>
      </w:r>
      <w:r>
        <w:rPr>
          <w:rFonts w:hint="eastAsia"/>
          <w:lang w:eastAsia="zh-CN"/>
        </w:rPr>
        <w:t>协同开展区级重大项目招商引资。</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pPr>
      <w:r>
        <w:rPr>
          <w:rFonts w:hint="eastAsia"/>
          <w:lang w:val="en-US" w:eastAsia="zh-CN"/>
        </w:rPr>
        <w:t>3.</w:t>
      </w:r>
      <w:r>
        <w:rPr>
          <w:rFonts w:hint="eastAsia"/>
          <w:lang w:eastAsia="zh-CN"/>
        </w:rPr>
        <w:t>为重大招商项目提供落地协调服务。</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pPr>
      <w:r>
        <w:rPr>
          <w:rFonts w:hint="eastAsia"/>
          <w:lang w:val="en-US" w:eastAsia="zh-CN"/>
        </w:rPr>
        <w:t>4.</w:t>
      </w:r>
      <w:r>
        <w:rPr>
          <w:rFonts w:hint="eastAsia"/>
          <w:lang w:eastAsia="zh-CN"/>
        </w:rPr>
        <w:t>提供招商投资有关配套服务。</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pPr>
      <w:r>
        <w:rPr>
          <w:rFonts w:hint="eastAsia"/>
          <w:lang w:val="en-US" w:eastAsia="zh-CN"/>
        </w:rPr>
        <w:t>5.</w:t>
      </w:r>
      <w:r>
        <w:rPr>
          <w:rFonts w:hint="eastAsia"/>
          <w:lang w:eastAsia="zh-CN"/>
        </w:rPr>
        <w:t>统筹协调招商投资信息化建设和运行维护。</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（二）机构设置</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lang w:eastAsia="zh-CN"/>
        </w:rPr>
        <w:t>重庆市荣昌区招商投资中心未分内设机构。主要工作内容为：负责根据全区发展战略和产业发展规划，组织拟订全区招商投资促进发展中长期规划和招商投资促进政策措施并组织实施。负责研究国（境）内外产业发展趋势和招商投资促进政策，提出对策和建议。负责建立产业招商专家库和智库联盟。负责统筹开展国（境）内外重点项目的招商引资工作。负责建设国（境）内外招商投资网络，宣传全区投资环境，推介全区重点区域、重点产业、重大招商项目。负责组织开展与国（境）内外大型企业和知名机构的投资促进战略合作。负责统筹协调区域经济合作有关重大招商项目。负责推动与国（境）外有关地区、国家及国际组织的经济交流与合作。负责建设国（境）内外招商投资网络、平台的建设管理工作，负责组织开展与国（境）内外大型企业和知名机构的投资促进战略合作。负责制定招商专家人才库和荣昌籍成功人士人才库。负责主导产业研究并制定产业招商图谱。负责重大项目的论证工作。负责具体实施局机关招商工作。负责重点招商项目调度会工作。负责外资及现代服务业招商工作。负责区域合作招商工作。负责确定重大项目、建立重大招商项目库并制定招商专案实施招商。统筹并具体实施全区产业发展规划、产业招商政策、产业项目招商、区域交流合作、负责产业链招商、市区联动招商、行业协会招商、基金招商、重大项目招商。为重大招商项目提供落地协调服务。提供招商投资有关配套服务。统筹区领导、局领导外出招商考察。对接联系攻坚组、驻外招商组及各招商部门。完成局领导交办的其他任务。对接市招商投资局政策规划处、招商合作一处、招商合作二处、招商投资促进中心。</w:t>
      </w:r>
    </w:p>
    <w:p>
      <w:pPr>
        <w:keepNext w:val="0"/>
        <w:keepLines w:val="0"/>
        <w:pageBreakBefore w:val="0"/>
        <w:widowControl/>
        <w:numPr>
          <w:ilvl w:val="0"/>
          <w:numId w:val="1"/>
        </w:numPr>
        <w:kinsoku/>
        <w:wordWrap/>
        <w:overflowPunct/>
        <w:topLinePunct w:val="0"/>
        <w:autoSpaceDE/>
        <w:autoSpaceDN/>
        <w:bidi w:val="0"/>
        <w:adjustRightInd/>
        <w:snapToGrid/>
        <w:spacing w:line="596" w:lineRule="exact"/>
        <w:ind w:firstLine="634"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单位</w:t>
      </w:r>
      <w:r>
        <w:rPr>
          <w:rFonts w:hint="eastAsia" w:ascii="方正黑体_GBK" w:hAnsi="方正黑体_GBK" w:eastAsia="方正黑体_GBK" w:cs="方正黑体_GBK"/>
        </w:rPr>
        <w:t>决算</w:t>
      </w:r>
      <w:r>
        <w:rPr>
          <w:rFonts w:hint="eastAsia" w:ascii="方正黑体_GBK" w:hAnsi="方正黑体_GBK" w:eastAsia="方正黑体_GBK" w:cs="方正黑体_GBK"/>
          <w:lang w:eastAsia="zh-CN"/>
        </w:rPr>
        <w:t>收支</w:t>
      </w:r>
      <w:r>
        <w:rPr>
          <w:rFonts w:hint="eastAsia" w:ascii="方正黑体_GBK" w:hAnsi="方正黑体_GBK" w:eastAsia="方正黑体_GBK" w:cs="方正黑体_GBK"/>
        </w:rPr>
        <w:t>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34" w:firstLineChars="200"/>
        <w:jc w:val="both"/>
        <w:textAlignment w:val="auto"/>
        <w:rPr>
          <w:rFonts w:hint="eastAsia" w:ascii="方正楷体_GBK" w:hAnsi="方正楷体_GBK" w:eastAsia="方正楷体_GBK" w:cs="方正楷体_GBK"/>
          <w:lang w:eastAsia="zh-CN"/>
        </w:rPr>
      </w:pPr>
      <w:r>
        <w:rPr>
          <w:rFonts w:hint="eastAsia" w:ascii="方正楷体_GBK" w:hAnsi="方正楷体_GBK" w:eastAsia="方正楷体_GBK" w:cs="方正楷体_GBK"/>
          <w:b/>
          <w:bCs/>
          <w:sz w:val="32"/>
          <w:szCs w:val="32"/>
          <w:shd w:val="clear" w:color="auto" w:fill="FFFFFF"/>
          <w:lang w:eastAsia="zh-CN"/>
        </w:rPr>
        <w:t>（</w:t>
      </w:r>
      <w:r>
        <w:rPr>
          <w:rFonts w:hint="eastAsia" w:ascii="方正楷体_GBK" w:hAnsi="方正楷体_GBK" w:eastAsia="方正楷体_GBK" w:cs="方正楷体_GBK"/>
          <w:b/>
          <w:bCs/>
          <w:sz w:val="32"/>
          <w:szCs w:val="32"/>
          <w:shd w:val="clear" w:color="auto" w:fill="FFFFFF"/>
        </w:rPr>
        <w:t>一）收入支出决算总体情况说明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pPr>
      <w:r>
        <w:rPr>
          <w:rFonts w:hint="eastAsia"/>
          <w:lang w:eastAsia="zh-CN"/>
        </w:rPr>
        <w:t>2024年度收、支总计均为202.17万元。收、支与2023年度相比，减少11.36万元，下降5.3%，主要原因2024年未发招商超额绩效，且日常公用经费年初预算增加。</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lang w:val="en-US" w:eastAsia="zh-CN"/>
        </w:rPr>
        <w:t>1</w:t>
      </w:r>
      <w:r>
        <w:rPr>
          <w:rFonts w:hint="eastAsia"/>
          <w:b/>
          <w:bCs/>
          <w:lang w:eastAsia="zh-CN"/>
        </w:rPr>
        <w:t>.</w:t>
      </w:r>
      <w:r>
        <w:rPr>
          <w:rFonts w:hint="eastAsia"/>
          <w:b/>
          <w:bCs/>
        </w:rPr>
        <w:t>收入情况。</w:t>
      </w:r>
      <w:r>
        <w:rPr>
          <w:rFonts w:hint="eastAsia"/>
        </w:rPr>
        <w:t>2024年度收入合计202.17万元，与2023年度相比，减少11.36万元，下降5.3%，主要原因</w:t>
      </w:r>
      <w:r>
        <w:rPr>
          <w:rFonts w:hint="eastAsia"/>
          <w:lang w:val="en-US" w:eastAsia="zh-CN"/>
        </w:rPr>
        <w:t>2024年未发招商超额绩效，且日常公用经费年初预算增加</w:t>
      </w:r>
      <w:r>
        <w:rPr>
          <w:rFonts w:hint="eastAsia"/>
          <w:lang w:eastAsia="zh-CN"/>
        </w:rPr>
        <w:t>，导致</w:t>
      </w:r>
      <w:r>
        <w:rPr>
          <w:rFonts w:hint="eastAsia"/>
          <w:lang w:val="en-US" w:eastAsia="zh-CN"/>
        </w:rPr>
        <w:t>2024年收入减少</w:t>
      </w:r>
      <w:r>
        <w:rPr>
          <w:rFonts w:hint="eastAsia"/>
        </w:rPr>
        <w:t>。其中：财政拨款收入202.17万元，占100.0%；事业收入0.00万元，占0.0%；经营收入0.00万元，占0.0%；其他收入0.00万元，占0.0%。此外，使用非财政拨款结余（含专用结余）0.00万元，年初结转和结余0.00万元。</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lang w:val="en-US" w:eastAsia="zh-CN"/>
        </w:rPr>
        <w:t>2</w:t>
      </w:r>
      <w:r>
        <w:rPr>
          <w:rFonts w:hint="eastAsia"/>
          <w:b/>
          <w:bCs/>
          <w:lang w:eastAsia="zh-CN"/>
        </w:rPr>
        <w:t>.</w:t>
      </w:r>
      <w:r>
        <w:rPr>
          <w:rFonts w:hint="eastAsia"/>
          <w:b/>
          <w:bCs/>
        </w:rPr>
        <w:t>支出情况。</w:t>
      </w:r>
      <w:r>
        <w:rPr>
          <w:rFonts w:hint="eastAsia"/>
        </w:rPr>
        <w:t>2024年度支出合计202.17万元，与2023年度相比，减少11.36万元，下降5.3%，主要原因</w:t>
      </w:r>
      <w:r>
        <w:rPr>
          <w:rFonts w:hint="eastAsia"/>
          <w:lang w:val="en-US" w:eastAsia="zh-CN"/>
        </w:rPr>
        <w:t>2024年未发招商超额绩效，且日常公用经费年初预算增加，</w:t>
      </w:r>
      <w:r>
        <w:rPr>
          <w:rFonts w:hint="eastAsia"/>
          <w:lang w:eastAsia="zh-CN"/>
        </w:rPr>
        <w:t>导致</w:t>
      </w:r>
      <w:r>
        <w:rPr>
          <w:rFonts w:hint="eastAsia"/>
          <w:lang w:val="en-US" w:eastAsia="zh-CN"/>
        </w:rPr>
        <w:t>2024年支出减少</w:t>
      </w:r>
      <w:r>
        <w:rPr>
          <w:rFonts w:hint="eastAsia"/>
        </w:rPr>
        <w:t>。其中：基本支出202.17万元，占100.0%；项目支出0.00万元，占0.0%；经营支出0.00万元，占0.0%。此外，结余分配0.00万元。</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pPr>
      <w:r>
        <w:rPr>
          <w:rFonts w:hint="eastAsia"/>
          <w:b/>
          <w:bCs/>
          <w:lang w:val="en-US" w:eastAsia="zh-CN"/>
        </w:rPr>
        <w:t>3</w:t>
      </w:r>
      <w:r>
        <w:rPr>
          <w:rFonts w:hint="eastAsia"/>
          <w:b/>
          <w:bCs/>
          <w:lang w:eastAsia="zh-CN"/>
        </w:rPr>
        <w:t>.</w:t>
      </w:r>
      <w:r>
        <w:rPr>
          <w:rFonts w:hint="eastAsia"/>
          <w:b/>
          <w:bCs/>
        </w:rPr>
        <w:t>结转结余情况。</w:t>
      </w:r>
      <w:r>
        <w:rPr>
          <w:rFonts w:hint="eastAsia"/>
        </w:rPr>
        <w:t>2024年度年末结转和结余0.00万元，与2023年度相比，无增减</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楷体_GBK" w:hAnsi="方正楷体_GBK" w:eastAsia="方正楷体_GBK" w:cs="方正楷体_GBK"/>
          <w:b/>
          <w:bCs/>
          <w:sz w:val="32"/>
          <w:szCs w:val="32"/>
          <w:shd w:val="clear" w:color="auto" w:fill="FFFFFF"/>
          <w:lang w:val="en-US" w:eastAsia="zh-CN" w:bidi="ar-SA"/>
        </w:rPr>
      </w:pPr>
      <w:r>
        <w:rPr>
          <w:rFonts w:hint="eastAsia" w:ascii="方正楷体_GBK" w:hAnsi="方正楷体_GBK" w:eastAsia="方正楷体_GBK" w:cs="方正楷体_GBK"/>
          <w:b/>
          <w:bCs/>
          <w:sz w:val="32"/>
          <w:szCs w:val="32"/>
          <w:shd w:val="clear" w:color="auto" w:fill="FFFFFF"/>
          <w:lang w:val="en-US" w:eastAsia="zh-CN" w:bidi="ar-SA"/>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2024年度财政拨款收、支总计均为202.17万元。与2023年</w:t>
      </w:r>
      <w:r>
        <w:rPr>
          <w:rFonts w:hint="eastAsia"/>
          <w:lang w:eastAsia="zh-CN"/>
        </w:rPr>
        <w:t>度</w:t>
      </w:r>
      <w:r>
        <w:rPr>
          <w:rFonts w:hint="eastAsia"/>
        </w:rPr>
        <w:t>相比，财政拨款收、支总计各减少11.36万元，下降5.3%。主要原因</w:t>
      </w:r>
      <w:r>
        <w:rPr>
          <w:rFonts w:hint="eastAsia"/>
          <w:lang w:val="en-US" w:eastAsia="zh-CN"/>
        </w:rPr>
        <w:t>2024年未发招商超额绩效，</w:t>
      </w:r>
      <w:r>
        <w:rPr>
          <w:rFonts w:hint="eastAsia"/>
          <w:lang w:eastAsia="zh-CN"/>
        </w:rPr>
        <w:t>导致</w:t>
      </w:r>
      <w:r>
        <w:rPr>
          <w:rFonts w:hint="eastAsia"/>
          <w:lang w:val="en-US" w:eastAsia="zh-CN"/>
        </w:rPr>
        <w:t>2024年支出减少</w:t>
      </w:r>
      <w:r>
        <w:rPr>
          <w:rFonts w:hint="eastAsia"/>
        </w:rPr>
        <w:t>。</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楷体_GBK" w:hAnsi="方正楷体_GBK" w:eastAsia="方正楷体_GBK" w:cs="方正楷体_GBK"/>
          <w:b/>
          <w:bCs/>
          <w:sz w:val="32"/>
          <w:szCs w:val="32"/>
          <w:shd w:val="clear" w:color="auto" w:fill="FFFFFF"/>
          <w:lang w:val="en-US" w:eastAsia="zh-CN" w:bidi="ar-SA"/>
        </w:rPr>
      </w:pPr>
      <w:r>
        <w:rPr>
          <w:rFonts w:hint="eastAsia" w:ascii="方正楷体_GBK" w:hAnsi="方正楷体_GBK" w:eastAsia="方正楷体_GBK" w:cs="方正楷体_GBK"/>
          <w:b/>
          <w:bCs/>
          <w:sz w:val="32"/>
          <w:szCs w:val="32"/>
          <w:shd w:val="clear" w:color="auto" w:fill="FFFFFF"/>
          <w:lang w:val="en-US" w:eastAsia="zh-CN" w:bidi="ar-SA"/>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1</w:t>
      </w:r>
      <w:r>
        <w:rPr>
          <w:rFonts w:hint="eastAsia"/>
          <w:b/>
          <w:bCs/>
          <w:lang w:eastAsia="zh-CN"/>
        </w:rPr>
        <w:t>.</w:t>
      </w:r>
      <w:r>
        <w:rPr>
          <w:rFonts w:hint="eastAsia"/>
          <w:b/>
          <w:bCs/>
        </w:rPr>
        <w:t>收入情况。</w:t>
      </w:r>
      <w:r>
        <w:rPr>
          <w:rFonts w:hint="eastAsia"/>
        </w:rPr>
        <w:t>2024年度一般公共预算财政拨款收入202.17万元，与2023年度相比，减少11.36万元，下降5.3%。主要原因是</w:t>
      </w:r>
      <w:r>
        <w:rPr>
          <w:rFonts w:hint="eastAsia"/>
          <w:lang w:eastAsia="zh-CN"/>
        </w:rPr>
        <w:t>我单位根据厉行节约、过紧日子要求，压缩公用经费开支，导致</w:t>
      </w:r>
      <w:r>
        <w:rPr>
          <w:rFonts w:hint="eastAsia"/>
          <w:lang w:val="en-US" w:eastAsia="zh-CN"/>
        </w:rPr>
        <w:t>2024年收入减少</w:t>
      </w:r>
      <w:r>
        <w:rPr>
          <w:rFonts w:hint="eastAsia"/>
        </w:rPr>
        <w:t>。较年初预算数减少8.70万元，下降4.1%。主要原因</w:t>
      </w:r>
      <w:r>
        <w:rPr>
          <w:rFonts w:hint="eastAsia"/>
          <w:lang w:val="en-US" w:eastAsia="zh-CN"/>
        </w:rPr>
        <w:t>2024年未发招商超额绩效，</w:t>
      </w:r>
      <w:r>
        <w:rPr>
          <w:rFonts w:hint="eastAsia"/>
          <w:lang w:eastAsia="zh-CN"/>
        </w:rPr>
        <w:t>导致</w:t>
      </w:r>
      <w:r>
        <w:rPr>
          <w:rFonts w:hint="eastAsia"/>
          <w:lang w:val="en-US" w:eastAsia="zh-CN"/>
        </w:rPr>
        <w:t>2024年收入减少</w:t>
      </w:r>
      <w:r>
        <w:rPr>
          <w:rFonts w:hint="eastAsia"/>
        </w:rPr>
        <w:t>。此外，年初财政拨款结转和结余0.00万元。</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2</w:t>
      </w:r>
      <w:r>
        <w:rPr>
          <w:rFonts w:hint="eastAsia"/>
          <w:b/>
          <w:bCs/>
          <w:lang w:eastAsia="zh-CN"/>
        </w:rPr>
        <w:t>.</w:t>
      </w:r>
      <w:r>
        <w:rPr>
          <w:rFonts w:hint="eastAsia"/>
          <w:b/>
          <w:bCs/>
        </w:rPr>
        <w:t>支出情况。</w:t>
      </w:r>
      <w:r>
        <w:rPr>
          <w:rFonts w:hint="eastAsia"/>
        </w:rPr>
        <w:t>2024年度一般公共预算财政拨款支出202.17万元，与2023年度相比，减少11.36万元，下降5.3%。主要原因</w:t>
      </w:r>
      <w:r>
        <w:rPr>
          <w:rFonts w:hint="eastAsia"/>
          <w:lang w:val="en-US" w:eastAsia="zh-CN"/>
        </w:rPr>
        <w:t>2024年未发招商超额绩效，</w:t>
      </w:r>
      <w:r>
        <w:rPr>
          <w:rFonts w:hint="eastAsia"/>
          <w:lang w:eastAsia="zh-CN"/>
        </w:rPr>
        <w:t>导致</w:t>
      </w:r>
      <w:r>
        <w:rPr>
          <w:rFonts w:hint="eastAsia"/>
          <w:lang w:val="en-US" w:eastAsia="zh-CN"/>
        </w:rPr>
        <w:t>2024年支出减少</w:t>
      </w:r>
      <w:r>
        <w:rPr>
          <w:rFonts w:hint="eastAsia"/>
        </w:rPr>
        <w:t>。较年初预算数减少8.70万元，下降4.1%。主要原因</w:t>
      </w:r>
      <w:r>
        <w:rPr>
          <w:rFonts w:hint="eastAsia"/>
          <w:lang w:val="en-US" w:eastAsia="zh-CN"/>
        </w:rPr>
        <w:t>2024年未发招商超额绩效</w:t>
      </w:r>
      <w:r>
        <w:rPr>
          <w:rFonts w:hint="eastAsia"/>
          <w:lang w:eastAsia="zh-CN"/>
        </w:rPr>
        <w:t>，导致</w:t>
      </w:r>
      <w:r>
        <w:rPr>
          <w:rFonts w:hint="eastAsia"/>
          <w:lang w:val="en-US" w:eastAsia="zh-CN"/>
        </w:rPr>
        <w:t>2024年支出减少</w:t>
      </w:r>
      <w:r>
        <w:rPr>
          <w:rFonts w:hint="eastAsia"/>
        </w:rPr>
        <w:t>。</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一般公共预算财政拨款支出主要</w:t>
      </w:r>
      <w:r>
        <w:rPr>
          <w:rFonts w:hint="eastAsia"/>
          <w:lang w:eastAsia="zh-CN"/>
        </w:rPr>
        <w:t>用途如下</w:t>
      </w:r>
      <w:r>
        <w:rPr>
          <w:rFonts w:hint="eastAsia"/>
        </w:rPr>
        <w:t>：</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一般公共服务支出159.61万元，占79.0%，较年初预算数减少16.62万元，下降9.4%，主要原因</w:t>
      </w:r>
      <w:r>
        <w:rPr>
          <w:rFonts w:hint="eastAsia"/>
          <w:lang w:val="en-US" w:eastAsia="zh-CN"/>
        </w:rPr>
        <w:t>2024年未发招商超额绩效</w:t>
      </w:r>
      <w:r>
        <w:rPr>
          <w:rFonts w:hint="eastAsia"/>
          <w:lang w:eastAsia="zh-CN"/>
        </w:rPr>
        <w:t>，一般公共服务支出减少。</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val="en-US" w:eastAsia="zh-CN"/>
        </w:rPr>
      </w:pPr>
      <w:r>
        <w:rPr>
          <w:rFonts w:hint="eastAsia"/>
          <w:lang w:val="en-US" w:eastAsia="zh-CN"/>
        </w:rPr>
        <w:t>（2）教育支出0.27万元，占0.1%，较年初预算数减少0.77万元，下降74.0%，2023年组织了招商专题培训，2024年未组织。</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社会保障</w:t>
      </w:r>
      <w:r>
        <w:rPr>
          <w:rFonts w:hint="eastAsia"/>
          <w:lang w:eastAsia="zh-CN"/>
        </w:rPr>
        <w:t>和</w:t>
      </w:r>
      <w:r>
        <w:rPr>
          <w:rFonts w:hint="eastAsia"/>
        </w:rPr>
        <w:t>就业支出25.35万元，占12.5%，较年初预算数增加8.65万元，增长51.8%，主要原因</w:t>
      </w:r>
      <w:r>
        <w:rPr>
          <w:rFonts w:hint="eastAsia"/>
          <w:lang w:eastAsia="zh-CN"/>
        </w:rPr>
        <w:t>根据最新事业单位养老保险及职业年金缴存基数计算方法，事业单位养老保险及职业年金缴存基数提高，</w:t>
      </w:r>
      <w:r>
        <w:rPr>
          <w:rFonts w:hint="eastAsia"/>
          <w:lang w:val="en-US" w:eastAsia="zh-CN"/>
        </w:rPr>
        <w:t>养老保险及职业年金支出增加。</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w:t>
      </w:r>
      <w:r>
        <w:rPr>
          <w:rFonts w:hint="eastAsia"/>
          <w:lang w:val="en-US" w:eastAsia="zh-CN"/>
        </w:rPr>
        <w:t>4</w:t>
      </w:r>
      <w:r>
        <w:rPr>
          <w:rFonts w:hint="eastAsia"/>
        </w:rPr>
        <w:t>）卫生健康支出8.66万元，占4.3%，较年初预算数增加0.10万元，增长1.2%，</w:t>
      </w:r>
      <w:r>
        <w:rPr>
          <w:rFonts w:hint="eastAsia"/>
          <w:lang w:eastAsia="zh-CN"/>
        </w:rPr>
        <w:t>根据工资变动，事业单位人员医保基数提高，</w:t>
      </w:r>
      <w:r>
        <w:rPr>
          <w:rFonts w:hint="eastAsia"/>
          <w:lang w:val="en-US" w:eastAsia="zh-CN"/>
        </w:rPr>
        <w:t>医疗保险支出增加。</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val="en-US" w:eastAsia="zh-CN"/>
        </w:rPr>
      </w:pPr>
      <w:r>
        <w:rPr>
          <w:rFonts w:hint="eastAsia"/>
        </w:rPr>
        <w:t>（</w:t>
      </w:r>
      <w:r>
        <w:rPr>
          <w:rFonts w:hint="eastAsia"/>
          <w:lang w:val="en-US" w:eastAsia="zh-CN"/>
        </w:rPr>
        <w:t>5</w:t>
      </w:r>
      <w:r>
        <w:rPr>
          <w:rFonts w:hint="eastAsia"/>
        </w:rPr>
        <w:t>）住房保障支出8.28万元，占4.1%，较年初预算数减少0.07万元，下降0.8%，</w:t>
      </w:r>
      <w:r>
        <w:rPr>
          <w:rFonts w:hint="eastAsia"/>
          <w:lang w:val="en-US" w:eastAsia="zh-CN"/>
        </w:rPr>
        <w:t>根据工资变动，事业单位人员公积金基数调整，住房公积金支出减少。</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pPr>
      <w:r>
        <w:rPr>
          <w:rFonts w:hint="eastAsia"/>
          <w:b/>
          <w:bCs/>
        </w:rPr>
        <w:t>3</w:t>
      </w:r>
      <w:r>
        <w:rPr>
          <w:rFonts w:hint="eastAsia"/>
          <w:b/>
          <w:bCs/>
          <w:lang w:eastAsia="zh-CN"/>
        </w:rPr>
        <w:t>.</w:t>
      </w:r>
      <w:r>
        <w:rPr>
          <w:rFonts w:hint="eastAsia"/>
          <w:b/>
          <w:bCs/>
        </w:rPr>
        <w:t>结转结余情况。</w:t>
      </w:r>
      <w:r>
        <w:rPr>
          <w:rFonts w:hint="eastAsia"/>
        </w:rPr>
        <w:t>2024年度年末一般公共预算财政拨款结转和结余0.00万元，与2023年度相比，无增减</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楷体_GBK" w:hAnsi="方正楷体_GBK" w:eastAsia="方正楷体_GBK" w:cs="方正楷体_GBK"/>
          <w:b/>
          <w:bCs/>
        </w:rPr>
      </w:pPr>
      <w:r>
        <w:rPr>
          <w:rFonts w:hint="eastAsia" w:ascii="方正楷体_GBK" w:hAnsi="方正楷体_GBK" w:eastAsia="方正楷体_GBK" w:cs="方正楷体_GBK"/>
          <w:b/>
          <w:bCs/>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2024年度一般公共财政拨款基本支出202.17万元。</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其中：</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人员经费160.87万元，与2023年度相比，减少18.64万元，下降10.4%，主要原因</w:t>
      </w:r>
      <w:r>
        <w:rPr>
          <w:rFonts w:hint="eastAsia"/>
          <w:lang w:val="en-US" w:eastAsia="zh-CN"/>
        </w:rPr>
        <w:t>2024年未发招商超额绩效，</w:t>
      </w:r>
      <w:r>
        <w:rPr>
          <w:rFonts w:hint="eastAsia"/>
        </w:rPr>
        <w:t>人员经费</w:t>
      </w:r>
      <w:r>
        <w:rPr>
          <w:rFonts w:hint="eastAsia"/>
          <w:lang w:eastAsia="zh-CN"/>
        </w:rPr>
        <w:t>较</w:t>
      </w:r>
      <w:r>
        <w:rPr>
          <w:rFonts w:hint="eastAsia"/>
          <w:lang w:val="en-US" w:eastAsia="zh-CN"/>
        </w:rPr>
        <w:t>2023年减少。</w:t>
      </w:r>
      <w:r>
        <w:rPr>
          <w:rFonts w:hint="eastAsia"/>
        </w:rPr>
        <w:t>人员经费用途主要包括人员工资、绩</w:t>
      </w:r>
      <w:r>
        <w:rPr>
          <w:rFonts w:hint="eastAsia"/>
          <w:lang w:val="en-US" w:eastAsia="zh-CN"/>
        </w:rPr>
        <w:t>效考核、五险一金。</w:t>
      </w:r>
      <w:r>
        <w:rPr>
          <w:rFonts w:hint="eastAsia"/>
        </w:rPr>
        <w:t>公用经费41.30万元，与2023年度相比，增加7.28万元，增长21.4%，</w:t>
      </w:r>
      <w:r>
        <w:rPr>
          <w:rFonts w:hint="eastAsia"/>
          <w:lang w:val="en-US" w:eastAsia="zh-CN"/>
        </w:rPr>
        <w:t>2023年事业人员新调入1人，新招入2人，导致2024年年初预算人员基础增加3人。日常公用经费年初预算增加。公用经费用途主要包括办公费、水电费、邮电费、工作餐费、培训费、福利费、工会经费、其他交通费用等。</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（五）政府性基金预算收支决算情况说明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本</w:t>
      </w:r>
      <w:r>
        <w:rPr>
          <w:rFonts w:hint="eastAsia"/>
          <w:lang w:eastAsia="zh-CN"/>
        </w:rPr>
        <w:t>单位</w:t>
      </w:r>
      <w:r>
        <w:rPr>
          <w:rFonts w:hint="eastAsia"/>
        </w:rPr>
        <w:t>202</w:t>
      </w:r>
      <w:r>
        <w:rPr>
          <w:rFonts w:hint="eastAsia"/>
          <w:lang w:val="en-US" w:eastAsia="zh-CN"/>
        </w:rPr>
        <w:t>4</w:t>
      </w:r>
      <w:r>
        <w:rPr>
          <w:rFonts w:hint="eastAsia"/>
        </w:rPr>
        <w:t>年度无政府性基金预算财政拨款收支。</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本</w:t>
      </w:r>
      <w:r>
        <w:rPr>
          <w:rFonts w:hint="eastAsia"/>
          <w:lang w:eastAsia="zh-CN"/>
        </w:rPr>
        <w:t>单位</w:t>
      </w:r>
      <w:r>
        <w:rPr>
          <w:rFonts w:hint="eastAsia"/>
        </w:rPr>
        <w:t>202</w:t>
      </w:r>
      <w:r>
        <w:rPr>
          <w:rFonts w:hint="eastAsia"/>
          <w:lang w:val="en-US" w:eastAsia="zh-CN"/>
        </w:rPr>
        <w:t>4</w:t>
      </w:r>
      <w:r>
        <w:rPr>
          <w:rFonts w:hint="eastAsia"/>
        </w:rPr>
        <w:t>年度无国有资本经营预算财政拨款支出。</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三、财政拨款</w:t>
      </w:r>
      <w:r>
        <w:rPr>
          <w:rFonts w:hint="eastAsia" w:ascii="方正黑体_GBK" w:hAnsi="方正黑体_GBK" w:eastAsia="方正黑体_GBK" w:cs="方正黑体_GBK"/>
        </w:rPr>
        <w:t>“三公”经费情况说明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202</w:t>
      </w:r>
      <w:r>
        <w:rPr>
          <w:rFonts w:hint="eastAsia"/>
          <w:lang w:val="en-US" w:eastAsia="zh-CN"/>
        </w:rPr>
        <w:t>4</w:t>
      </w:r>
      <w:r>
        <w:rPr>
          <w:rFonts w:hint="eastAsia"/>
        </w:rPr>
        <w:t>年度“三公”经费支出共计0.00万元，较年初预算数无增减，主要原因是我单位属于</w:t>
      </w:r>
      <w:r>
        <w:rPr>
          <w:rFonts w:hint="eastAsia"/>
          <w:lang w:eastAsia="zh-CN"/>
        </w:rPr>
        <w:t>招商局下属事业单位</w:t>
      </w:r>
      <w:r>
        <w:rPr>
          <w:rFonts w:hint="eastAsia"/>
        </w:rPr>
        <w:t>，财政未保障我单位“三公”经费。</w:t>
      </w:r>
    </w:p>
    <w:p>
      <w:pPr>
        <w:keepNext w:val="0"/>
        <w:keepLines w:val="0"/>
        <w:pageBreakBefore w:val="0"/>
        <w:widowControl/>
        <w:kinsoku/>
        <w:wordWrap/>
        <w:overflowPunct/>
        <w:topLinePunct w:val="0"/>
        <w:autoSpaceDE/>
        <w:autoSpaceDN/>
        <w:bidi w:val="0"/>
        <w:adjustRightInd/>
        <w:snapToGrid/>
        <w:spacing w:line="596" w:lineRule="exact"/>
        <w:ind w:left="634" w:leftChars="200" w:firstLine="0" w:firstLineChars="0"/>
        <w:jc w:val="both"/>
        <w:textAlignment w:val="auto"/>
        <w:rPr>
          <w:rFonts w:hint="eastAsia" w:ascii="方正楷体_GBK" w:hAnsi="方正楷体_GBK" w:eastAsia="方正楷体_GBK" w:cs="方正楷体_GBK"/>
          <w:lang w:eastAsia="zh-CN"/>
        </w:rPr>
      </w:pPr>
      <w:r>
        <w:rPr>
          <w:rFonts w:hint="eastAsia" w:ascii="方正黑体_GBK" w:hAnsi="方正黑体_GBK" w:eastAsia="方正黑体_GBK" w:cs="方正黑体_GBK"/>
        </w:rPr>
        <w:t>四、其他需要说明的事项</w:t>
      </w:r>
      <w:r>
        <w:rPr>
          <w:rFonts w:hint="eastAsia" w:ascii="方正黑体_GBK" w:hAnsi="方正黑体_GBK" w:eastAsia="方正黑体_GBK" w:cs="方正黑体_GBK"/>
        </w:rPr>
        <w:br w:type="textWrapping"/>
      </w:r>
      <w:r>
        <w:rPr>
          <w:rFonts w:hint="eastAsia" w:ascii="方正楷体_GBK" w:hAnsi="方正楷体_GBK" w:eastAsia="方正楷体_GBK" w:cs="方正楷体_GBK"/>
          <w:lang w:eastAsia="zh-CN"/>
        </w:rPr>
        <w:t>（一）财政拨款会议费、培训费和差旅费情况说明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val="en-US" w:eastAsia="zh-CN"/>
        </w:rPr>
      </w:pPr>
      <w:r>
        <w:rPr>
          <w:rFonts w:hint="eastAsia"/>
          <w:lang w:val="en-US" w:eastAsia="zh-CN"/>
        </w:rPr>
        <w:t>因2024</w:t>
      </w:r>
      <w:r>
        <w:rPr>
          <w:rFonts w:hint="eastAsia"/>
          <w:lang w:eastAsia="zh-CN"/>
        </w:rPr>
        <w:t>年未安排筹办会议</w:t>
      </w:r>
      <w:r>
        <w:rPr>
          <w:rFonts w:hint="eastAsia"/>
          <w:lang w:val="en-US" w:eastAsia="zh-CN"/>
        </w:rPr>
        <w:t>，本单位2024年未使用财政资金保障会议费、培训费和差旅费。</w:t>
      </w:r>
    </w:p>
    <w:p>
      <w:pPr>
        <w:keepNext w:val="0"/>
        <w:keepLines w:val="0"/>
        <w:pageBreakBefore w:val="0"/>
        <w:widowControl/>
        <w:kinsoku/>
        <w:wordWrap/>
        <w:overflowPunct/>
        <w:topLinePunct w:val="0"/>
        <w:autoSpaceDE/>
        <w:autoSpaceDN/>
        <w:bidi w:val="0"/>
        <w:adjustRightInd/>
        <w:snapToGrid/>
        <w:spacing w:line="596" w:lineRule="exact"/>
        <w:ind w:left="634" w:leftChars="200" w:firstLine="0" w:firstLineChars="0"/>
        <w:jc w:val="both"/>
        <w:textAlignment w:val="auto"/>
        <w:rPr>
          <w:rFonts w:hint="eastAsia" w:ascii="方正楷体_GBK" w:hAnsi="方正楷体_GBK" w:eastAsia="方正楷体_GBK" w:cs="方正楷体_GBK"/>
          <w:lang w:eastAsia="zh-CN"/>
        </w:rPr>
      </w:pPr>
      <w:r>
        <w:rPr>
          <w:rFonts w:hint="eastAsia" w:ascii="方正楷体_GBK" w:hAnsi="方正楷体_GBK" w:eastAsia="方正楷体_GBK" w:cs="方正楷体_GBK"/>
          <w:lang w:eastAsia="zh-CN"/>
        </w:rPr>
        <w:t>（二）机关运行经费情况说明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按照</w:t>
      </w:r>
      <w:r>
        <w:rPr>
          <w:rFonts w:hint="eastAsia"/>
          <w:lang w:eastAsia="zh-CN"/>
        </w:rPr>
        <w:t>单位</w:t>
      </w:r>
      <w:r>
        <w:rPr>
          <w:rFonts w:hint="eastAsia"/>
        </w:rPr>
        <w:t>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（三）国有资产占用情况说明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因</w:t>
      </w:r>
      <w:r>
        <w:rPr>
          <w:rFonts w:hint="eastAsia"/>
          <w:lang w:eastAsia="zh-CN"/>
        </w:rPr>
        <w:t>未购买公务用车</w:t>
      </w:r>
      <w:r>
        <w:rPr>
          <w:rFonts w:hint="eastAsia"/>
        </w:rPr>
        <w:t>，我单位资产未纳入</w:t>
      </w:r>
      <w:r>
        <w:rPr>
          <w:rFonts w:hint="eastAsia"/>
          <w:lang w:eastAsia="zh-CN"/>
        </w:rPr>
        <w:t>单位</w:t>
      </w:r>
      <w:r>
        <w:rPr>
          <w:rFonts w:hint="eastAsia"/>
        </w:rPr>
        <w:t>决算报表。</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（四）政府采购支出情况说明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pPr>
      <w:r>
        <w:rPr>
          <w:rFonts w:hint="eastAsia"/>
          <w:lang w:eastAsia="zh-CN"/>
        </w:rPr>
        <w:t>202</w:t>
      </w:r>
      <w:r>
        <w:rPr>
          <w:rFonts w:hint="eastAsia"/>
          <w:lang w:val="en-US" w:eastAsia="zh-CN"/>
        </w:rPr>
        <w:t>4</w:t>
      </w:r>
      <w:r>
        <w:rPr>
          <w:rFonts w:hint="eastAsia"/>
          <w:lang w:eastAsia="zh-CN"/>
        </w:rPr>
        <w:t>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五、预算绩效管理情况说明</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lang w:eastAsia="zh-CN"/>
        </w:rPr>
        <w:t>本单位202</w:t>
      </w:r>
      <w:r>
        <w:rPr>
          <w:rFonts w:hint="eastAsia"/>
          <w:lang w:val="en-US" w:eastAsia="zh-CN"/>
        </w:rPr>
        <w:t>4</w:t>
      </w:r>
      <w:r>
        <w:rPr>
          <w:rFonts w:hint="eastAsia"/>
          <w:lang w:eastAsia="zh-CN"/>
        </w:rPr>
        <w:t>年度无项目支出</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六</w:t>
      </w:r>
      <w:r>
        <w:rPr>
          <w:rFonts w:hint="eastAsia" w:ascii="方正黑体_GBK" w:hAnsi="方正黑体_GBK" w:eastAsia="方正黑体_GBK" w:cs="方正黑体_GBK"/>
        </w:rPr>
        <w:t>、专业名词解释</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（一）财政拨款收入：</w:t>
      </w:r>
      <w:r>
        <w:rPr>
          <w:rFonts w:hint="eastAsia"/>
        </w:rPr>
        <w:t>指本年度从本级财政</w:t>
      </w:r>
      <w:r>
        <w:rPr>
          <w:rFonts w:hint="eastAsia"/>
          <w:lang w:eastAsia="zh-CN"/>
        </w:rPr>
        <w:t>部门</w:t>
      </w:r>
      <w:r>
        <w:rPr>
          <w:rFonts w:hint="eastAsia"/>
        </w:rPr>
        <w:t>取得的财政拨款。</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（二）事业收入：</w:t>
      </w:r>
      <w:r>
        <w:rPr>
          <w:rFonts w:hint="eastAsia"/>
        </w:rPr>
        <w:t>指事业单位开展专业业务活动及其辅助活动取得的</w:t>
      </w:r>
      <w:r>
        <w:rPr>
          <w:rFonts w:hint="eastAsia"/>
          <w:lang w:eastAsia="zh-CN"/>
        </w:rPr>
        <w:t>收入</w:t>
      </w:r>
      <w:r>
        <w:rPr>
          <w:rFonts w:hint="eastAsia"/>
        </w:rPr>
        <w:t>。</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（三）经营收入：</w:t>
      </w:r>
      <w:r>
        <w:rPr>
          <w:rFonts w:hint="eastAsia"/>
        </w:rPr>
        <w:t>指事业单位在专业业务活动及其辅助活动之外开展非独立核算经营活动取得的</w:t>
      </w:r>
      <w:r>
        <w:rPr>
          <w:rFonts w:hint="eastAsia"/>
          <w:lang w:eastAsia="zh-CN"/>
        </w:rPr>
        <w:t>收入</w:t>
      </w:r>
      <w:r>
        <w:rPr>
          <w:rFonts w:hint="eastAsia"/>
        </w:rPr>
        <w:t>。</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（四）其他收入：</w:t>
      </w:r>
      <w:r>
        <w:rPr>
          <w:rFonts w:hint="eastAsi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lang w:eastAsia="zh-CN"/>
        </w:rPr>
        <w:t>单位</w:t>
      </w:r>
      <w:r>
        <w:rPr>
          <w:rFonts w:hint="eastAsia"/>
        </w:rPr>
        <w:t>以外的同级单位取得的经费、从非本级财政</w:t>
      </w:r>
      <w:r>
        <w:rPr>
          <w:rFonts w:hint="eastAsia"/>
          <w:lang w:eastAsia="zh-CN"/>
        </w:rPr>
        <w:t>单位</w:t>
      </w:r>
      <w:r>
        <w:rPr>
          <w:rFonts w:hint="eastAsia"/>
        </w:rPr>
        <w:t>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（五）使用非财政拨款结余</w:t>
      </w:r>
      <w:r>
        <w:rPr>
          <w:rFonts w:hint="eastAsia"/>
          <w:b/>
          <w:bCs/>
          <w:lang w:eastAsia="zh-CN"/>
        </w:rPr>
        <w:t>（含专用结余）</w:t>
      </w:r>
      <w:r>
        <w:rPr>
          <w:rFonts w:hint="eastAsia"/>
          <w:b/>
          <w:bCs/>
        </w:rPr>
        <w:t>：</w:t>
      </w:r>
      <w:r>
        <w:rPr>
          <w:rFonts w:hint="eastAsia"/>
        </w:rPr>
        <w:t>指</w:t>
      </w:r>
      <w:r>
        <w:rPr>
          <w:rFonts w:hint="eastAsia"/>
          <w:lang w:eastAsia="zh-CN"/>
        </w:rPr>
        <w:t>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（六）年初结转和结余：</w:t>
      </w:r>
      <w:r>
        <w:rPr>
          <w:rFonts w:hint="eastAsia"/>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（七）结余分配：</w:t>
      </w:r>
      <w:r>
        <w:rPr>
          <w:rFonts w:hint="eastAsia"/>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（八）年末结转和结余：</w:t>
      </w:r>
      <w:r>
        <w:rPr>
          <w:rFonts w:hint="eastAsia"/>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（九）基本支出：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（十）项目支出：</w:t>
      </w:r>
      <w:r>
        <w:rPr>
          <w:rFonts w:hint="eastAsia"/>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（十一）经营支出：</w:t>
      </w:r>
      <w:r>
        <w:rPr>
          <w:rFonts w:hint="eastAsia"/>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（十二）“三公”经费：</w:t>
      </w:r>
      <w:r>
        <w:rPr>
          <w:rFonts w:hint="eastAsia"/>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（十三）机关运行经费：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（十四）工资福利支出（支出经济分类科目类级）：</w:t>
      </w:r>
      <w:r>
        <w:rPr>
          <w:rFonts w:hint="eastAsia"/>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（十五）商品和服务支出（支出经济分类科目类级）：</w:t>
      </w:r>
      <w:r>
        <w:rPr>
          <w:rFonts w:hint="eastAsia"/>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（十六）对个人和家庭的补助（支出经济分类科目类级）：</w:t>
      </w:r>
      <w:r>
        <w:rPr>
          <w:rFonts w:hint="eastAsia"/>
        </w:rPr>
        <w:t>反映用于对个人和家庭的补助支出。</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b/>
          <w:bCs/>
        </w:rPr>
        <w:t>（十七）其他资本性支出（支出经济分类科目类级）：</w:t>
      </w:r>
      <w:r>
        <w:rPr>
          <w:rFonts w:hint="eastAsia"/>
        </w:rPr>
        <w:t>反映非各级发展</w:t>
      </w:r>
      <w:r>
        <w:rPr>
          <w:rFonts w:hint="eastAsia"/>
          <w:lang w:eastAsia="zh-CN"/>
        </w:rPr>
        <w:t>与</w:t>
      </w:r>
      <w:r>
        <w:rPr>
          <w:rFonts w:hint="eastAsia"/>
        </w:rPr>
        <w:t>改革</w:t>
      </w:r>
      <w:r>
        <w:rPr>
          <w:rFonts w:hint="eastAsia"/>
          <w:lang w:eastAsia="zh-CN"/>
        </w:rPr>
        <w:t>单位</w:t>
      </w:r>
      <w:r>
        <w:rPr>
          <w:rFonts w:hint="eastAsia"/>
        </w:rPr>
        <w:t>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七</w:t>
      </w:r>
      <w:r>
        <w:rPr>
          <w:rFonts w:hint="eastAsia" w:ascii="方正黑体_GBK" w:hAnsi="方正黑体_GBK" w:eastAsia="方正黑体_GBK" w:cs="方正黑体_GBK"/>
        </w:rPr>
        <w:t>、决算公开联系方式及信息反馈渠道</w:t>
      </w:r>
    </w:p>
    <w:p>
      <w:pPr>
        <w:keepNext w:val="0"/>
        <w:keepLines w:val="0"/>
        <w:pageBreakBefore w:val="0"/>
        <w:widowControl/>
        <w:kinsoku/>
        <w:wordWrap/>
        <w:overflowPunct/>
        <w:topLinePunct w:val="0"/>
        <w:autoSpaceDE/>
        <w:autoSpaceDN/>
        <w:bidi w:val="0"/>
        <w:adjustRightInd/>
        <w:snapToGrid/>
        <w:spacing w:line="596" w:lineRule="exact"/>
        <w:ind w:firstLine="634" w:firstLineChars="200"/>
        <w:jc w:val="both"/>
        <w:textAlignment w:val="auto"/>
        <w:rPr>
          <w:rFonts w:hint="eastAsia"/>
        </w:rPr>
      </w:pPr>
      <w:r>
        <w:rPr>
          <w:rFonts w:hint="eastAsia"/>
        </w:rPr>
        <w:t>本</w:t>
      </w:r>
      <w:r>
        <w:rPr>
          <w:rFonts w:hint="eastAsia"/>
          <w:lang w:eastAsia="zh-CN"/>
        </w:rPr>
        <w:t>单位</w:t>
      </w:r>
      <w:r>
        <w:rPr>
          <w:rFonts w:hint="eastAsia"/>
        </w:rPr>
        <w:t>决算公开信息反馈和联系方式：</w:t>
      </w:r>
    </w:p>
    <w:p>
      <w:pPr>
        <w:keepNext w:val="0"/>
        <w:keepLines w:val="0"/>
        <w:pageBreakBefore w:val="0"/>
        <w:widowControl/>
        <w:tabs>
          <w:tab w:val="right" w:pos="8220"/>
        </w:tabs>
        <w:kinsoku/>
        <w:wordWrap/>
        <w:overflowPunct/>
        <w:topLinePunct w:val="0"/>
        <w:autoSpaceDE/>
        <w:autoSpaceDN/>
        <w:bidi w:val="0"/>
        <w:adjustRightInd/>
        <w:snapToGrid/>
        <w:spacing w:line="596" w:lineRule="exact"/>
        <w:ind w:firstLine="634" w:firstLineChars="200"/>
        <w:jc w:val="both"/>
        <w:textAlignment w:val="auto"/>
        <w:rPr>
          <w:rFonts w:hint="eastAsia"/>
          <w:lang w:eastAsia="zh-CN"/>
        </w:rPr>
        <w:sectPr>
          <w:headerReference r:id="rId3" w:type="default"/>
          <w:footerReference r:id="rId4" w:type="default"/>
          <w:footerReference r:id="rId5" w:type="even"/>
          <w:pgSz w:w="11915" w:h="16840"/>
          <w:pgMar w:top="2098" w:right="1474" w:bottom="1984" w:left="1587" w:header="851" w:footer="1474" w:gutter="0"/>
          <w:paperSrc/>
          <w:pgNumType w:fmt="decimal"/>
          <w:cols w:space="0" w:num="1"/>
          <w:docGrid w:type="linesAndChars" w:linePitch="579" w:charSpace="-776"/>
        </w:sectPr>
      </w:pPr>
      <w:r>
        <w:rPr>
          <w:rFonts w:hint="eastAsia"/>
          <w:lang w:val="en-US" w:eastAsia="zh-CN"/>
        </w:rPr>
        <w:t>联系人：</w:t>
      </w:r>
      <w:r>
        <w:rPr>
          <w:rFonts w:hint="eastAsia"/>
          <w:lang w:eastAsia="zh-CN"/>
        </w:rPr>
        <w:t>周益</w:t>
      </w:r>
      <w:r>
        <w:rPr>
          <w:rFonts w:hint="eastAsia"/>
          <w:lang w:val="en-US" w:eastAsia="zh-CN"/>
        </w:rPr>
        <w:t xml:space="preserve">           联系电话： </w:t>
      </w:r>
      <w:r>
        <w:rPr>
          <w:rFonts w:hint="eastAsia"/>
        </w:rPr>
        <w:t>023-</w:t>
      </w:r>
      <w:r>
        <w:rPr>
          <w:rFonts w:hint="eastAsia"/>
          <w:lang w:val="en-US" w:eastAsia="zh-CN"/>
        </w:rPr>
        <w:t>81066729</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72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color w:val="000000"/>
                <w:sz w:val="44"/>
                <w:szCs w:val="44"/>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重庆市荣昌区招商投资中心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202.17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202.17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202.17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202.17</w:t>
            </w:r>
            <w:r>
              <w:rPr>
                <w:rFonts w:ascii="Times New Roman" w:hAnsi="Times New Roman"/>
                <w:color w:val="000000"/>
                <w:sz w:val="20"/>
                <w:u w:color="auto"/>
              </w:rPr>
              <w:t xml:space="preserve"> </w:t>
            </w:r>
          </w:p>
        </w:tc>
      </w:tr>
    </w:tbl>
    <w:p>
      <w:pPr>
        <w:spacing w:line="240" w:lineRule="exact"/>
        <w:rPr>
          <w:rFonts w:cs="宋体"/>
          <w:sz w:val="20"/>
          <w:szCs w:val="20"/>
        </w:rPr>
      </w:pPr>
    </w:p>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pPr>
        <w:rPr>
          <w:rFonts w:cs="宋体"/>
          <w:sz w:val="20"/>
          <w:szCs w:val="20"/>
        </w:rPr>
      </w:pPr>
      <w:r>
        <w:rPr>
          <w:rFonts w:cs="宋体"/>
          <w:sz w:val="20"/>
          <w:szCs w:val="20"/>
        </w:rPr>
        <w:br w:type="page"/>
      </w:r>
    </w:p>
    <w:p>
      <w:pPr>
        <w:spacing w:line="240" w:lineRule="exact"/>
        <w:rPr>
          <w:rFonts w:hint="eastAsia" w:ascii="方正小标宋_GBK" w:hAnsi="方正小标宋_GBK" w:eastAsia="方正小标宋_GBK" w:cs="方正小标宋_GBK"/>
          <w:sz w:val="44"/>
          <w:szCs w:val="44"/>
        </w:rPr>
      </w:pPr>
    </w:p>
    <w:tbl>
      <w:tblPr>
        <w:tblStyle w:val="8"/>
        <w:tblW w:w="15503" w:type="dxa"/>
        <w:tblInd w:w="0" w:type="dxa"/>
        <w:tblLayout w:type="fixed"/>
        <w:tblCellMar>
          <w:top w:w="0" w:type="dxa"/>
          <w:left w:w="0" w:type="dxa"/>
          <w:bottom w:w="0" w:type="dxa"/>
          <w:right w:w="0" w:type="dxa"/>
        </w:tblCellMar>
      </w:tblPr>
      <w:tblGrid>
        <w:gridCol w:w="1872"/>
        <w:gridCol w:w="2895"/>
        <w:gridCol w:w="1542"/>
        <w:gridCol w:w="1000"/>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720" w:lineRule="exact"/>
              <w:jc w:val="center"/>
              <w:textAlignment w:val="bottom"/>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收入决算表</w:t>
            </w:r>
          </w:p>
        </w:tc>
      </w:tr>
      <w:tr>
        <w:tblPrEx>
          <w:tblCellMar>
            <w:top w:w="0" w:type="dxa"/>
            <w:left w:w="0" w:type="dxa"/>
            <w:bottom w:w="0" w:type="dxa"/>
            <w:right w:w="0" w:type="dxa"/>
          </w:tblCellMar>
        </w:tblPrEx>
        <w:trPr>
          <w:trHeight w:val="328" w:hRule="atLeast"/>
        </w:trPr>
        <w:tc>
          <w:tcPr>
            <w:tcW w:w="630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重庆市荣昌区招商投资中心</w:t>
            </w:r>
          </w:p>
        </w:tc>
        <w:tc>
          <w:tcPr>
            <w:tcW w:w="10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30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87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89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87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8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87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8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187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8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202.17</w:t>
            </w:r>
            <w:r>
              <w:rPr>
                <w:rFonts w:ascii="Times New Roman" w:hAnsi="Times New Roman"/>
                <w:b/>
                <w:color w:val="000000"/>
                <w:sz w:val="20"/>
                <w:u w:color="auto"/>
              </w:rPr>
              <w:t xml:space="preserve"> </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202.17</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159.61</w:t>
            </w:r>
            <w:r>
              <w:rPr>
                <w:rFonts w:ascii="Times New Roman" w:hAnsi="Times New Roman"/>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16.90</w:t>
            </w:r>
            <w:r>
              <w:rPr>
                <w:rFonts w:ascii="Times New Roman" w:hAnsi="Times New Roman"/>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89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4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8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0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372"/>
        <w:gridCol w:w="3663"/>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72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color w:val="000000"/>
                <w:sz w:val="44"/>
                <w:szCs w:val="44"/>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重庆市荣昌区招商投资中心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37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6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7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6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7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6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137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6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202.17</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202.17</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3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keepNext w:val="0"/>
        <w:keepLines w:val="0"/>
        <w:pageBreakBefore w:val="0"/>
        <w:widowControl/>
        <w:kinsoku/>
        <w:wordWrap/>
        <w:overflowPunct/>
        <w:topLinePunct w:val="0"/>
        <w:autoSpaceDE/>
        <w:autoSpaceDN/>
        <w:bidi w:val="0"/>
        <w:adjustRightInd/>
        <w:snapToGrid/>
        <w:spacing w:line="720" w:lineRule="exact"/>
        <w:jc w:val="center"/>
        <w:rPr>
          <w:rFonts w:hint="eastAsia" w:ascii="方正小标宋_GBK" w:hAnsi="方正小标宋_GBK" w:eastAsia="方正小标宋_GBK" w:cs="方正小标宋_GBK"/>
          <w:sz w:val="44"/>
          <w:szCs w:val="44"/>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720" w:lineRule="exact"/>
              <w:jc w:val="center"/>
              <w:textAlignment w:val="bottom"/>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重庆市荣昌区招商投资中心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72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重庆市荣昌区招商投资中心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202.17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159.61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firstLine="600" w:firstLineChars="300"/>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72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color w:val="000000"/>
                <w:sz w:val="44"/>
                <w:szCs w:val="44"/>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重庆市荣昌区招商投资中心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160.87</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41.30</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p>
    <w:p>
      <w:pPr>
        <w:rPr>
          <w:rFonts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720" w:lineRule="exact"/>
              <w:jc w:val="center"/>
              <w:textAlignment w:val="bottom"/>
              <w:rPr>
                <w:rFonts w:hint="default" w:cs="宋体"/>
                <w:b/>
                <w:color w:val="000000"/>
                <w:sz w:val="32"/>
                <w:szCs w:val="32"/>
              </w:rPr>
            </w:pPr>
            <w:r>
              <w:rPr>
                <w:rFonts w:hint="eastAsia" w:ascii="方正小标宋_GBK" w:hAnsi="方正小标宋_GBK" w:eastAsia="方正小标宋_GBK" w:cs="方正小标宋_GBK"/>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重庆市荣昌区招商投资中心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720" w:lineRule="exact"/>
              <w:jc w:val="center"/>
              <w:textAlignment w:val="bottom"/>
              <w:rPr>
                <w:rFonts w:hint="default" w:cs="宋体"/>
                <w:b/>
                <w:color w:val="000000"/>
                <w:sz w:val="32"/>
                <w:szCs w:val="32"/>
              </w:rPr>
            </w:pPr>
            <w:bookmarkStart w:id="0" w:name="_GoBack"/>
            <w:bookmarkEnd w:id="0"/>
            <w:r>
              <w:rPr>
                <w:rFonts w:hint="eastAsia" w:ascii="方正小标宋_GBK" w:hAnsi="方正小标宋_GBK" w:eastAsia="方正小标宋_GBK" w:cs="方正小标宋_GBK"/>
                <w:b/>
                <w:color w:val="000000"/>
                <w:sz w:val="44"/>
                <w:szCs w:val="44"/>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重庆市荣昌区招商投资中心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720" w:lineRule="exact"/>
              <w:jc w:val="center"/>
              <w:textAlignment w:val="bottom"/>
              <w:rPr>
                <w:rFonts w:hint="default" w:cs="宋体"/>
                <w:b/>
                <w:color w:val="000000"/>
                <w:kern w:val="2"/>
                <w:sz w:val="32"/>
                <w:szCs w:val="32"/>
              </w:rPr>
            </w:pPr>
            <w:r>
              <w:rPr>
                <w:rFonts w:hint="eastAsia" w:ascii="方正小标宋_GBK" w:hAnsi="方正小标宋_GBK" w:eastAsia="方正小标宋_GBK" w:cs="方正小标宋_GBK"/>
                <w:b/>
                <w:color w:val="000000"/>
                <w:sz w:val="44"/>
                <w:szCs w:val="44"/>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重庆市荣昌区招商投资中心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6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6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6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6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rPr>
      </w:pPr>
      <w:r>
        <w:rPr>
          <w:rFonts w:cs="宋体"/>
          <w:sz w:val="18"/>
          <w:szCs w:val="18"/>
        </w:rPr>
        <w:t>备注：1</w:t>
      </w:r>
      <w:r>
        <w:rPr>
          <w:rFonts w:hint="eastAsia" w:cs="宋体"/>
          <w:sz w:val="18"/>
          <w:szCs w:val="18"/>
          <w:lang w:eastAsia="zh-CN"/>
        </w:rPr>
        <w:t>.</w:t>
      </w:r>
      <w:r>
        <w:rPr>
          <w:rFonts w:cs="宋体"/>
          <w:sz w:val="18"/>
          <w:szCs w:val="18"/>
        </w:rPr>
        <w:t>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w:t>
      </w:r>
      <w:r>
        <w:rPr>
          <w:rFonts w:hint="eastAsia" w:cs="宋体"/>
          <w:sz w:val="18"/>
          <w:szCs w:val="18"/>
          <w:lang w:eastAsia="zh-CN"/>
        </w:rPr>
        <w:t>.</w:t>
      </w:r>
      <w:r>
        <w:rPr>
          <w:rFonts w:cs="宋体"/>
          <w:sz w:val="18"/>
          <w:szCs w:val="18"/>
        </w:rPr>
        <w:t>本套报表金额单位转换时可能存在尾数误差。</w:t>
      </w:r>
    </w:p>
    <w:sectPr>
      <w:headerReference r:id="rId6" w:type="default"/>
      <w:footerReference r:id="rId7"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posOffset>4926330</wp:posOffset>
              </wp:positionH>
              <wp:positionV relativeFrom="paragraph">
                <wp:posOffset>-182245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7.9pt;margin-top:-14.35pt;height:144pt;width:144pt;mso-position-horizontal-relative:margin;mso-wrap-style:none;z-index:251661312;mso-width-relative:page;mso-height-relative:page;" filled="f" stroked="f" coordsize="21600,21600" o:gfxdata="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b86ha2QAAAAwBAAAPAAAA&#10;AAAAAAEAIAAAADgAAABkcnMvZG93bnJldi54bWxQSwECFAAUAAAACACHTuJAvXQbdjcCAABvBAAA&#10;DgAAAAAAAAABACAAAAA+AQAAZHJzL2Uyb0RvYy54bWxQSwUGAAAAAAYABgBZAQAA5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408"/>
        <w:tab w:val="clear" w:pos="4153"/>
      </w:tabs>
      <w:rPr>
        <w:rFonts w:hint="eastAsia" w:eastAsia="方正仿宋_GBK"/>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posOffset>57785</wp:posOffset>
              </wp:positionH>
              <wp:positionV relativeFrom="paragraph">
                <wp:posOffset>-163830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5pt;margin-top:-12.9pt;height:144pt;width:144pt;mso-position-horizontal-relative:margin;mso-wrap-style:none;z-index:251662336;mso-width-relative:page;mso-height-relative:page;" filled="f" stroked="f" coordsize="21600,21600" o:gfxdata="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BYAAABkcnMvUEsBAhQAFAAAAAgAh07iQN4obtvXAAAACQEAAA8AAAAAAAAAAQAg&#10;AAAAOAAAAGRycy9kb3ducmV2LnhtbFBLAQIUABQAAAAIAIdO4kBS4pbL3QIAACQGAAAOAAAAAAAA&#10;AAEAIAAAADwBAABkcnMvZTJvRG9jLnhtbFBLBQYAAAAABgAGAFkBAACLBg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posOffset>8942070</wp:posOffset>
              </wp:positionH>
              <wp:positionV relativeFrom="paragraph">
                <wp:posOffset>-76835</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704.1pt;margin-top:-6.05pt;height:144pt;width:144pt;mso-position-horizontal-relative:margin;mso-wrap-style:none;z-index:251660288;mso-width-relative:page;mso-height-relative:page;" filled="f" stroked="f" coordsize="21600,21600" o:allowoverlap="f" o:gfxdata="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5QNwRtUAAAAKAQAADwAAAAAAAAABACAA&#10;AAA4AAAAZHJzL2Rvd25yZXYueG1sUEsBAhQAFAAAAAgAh07iQKOYorozAgAAZwQAAA4AAAAAAAAA&#10;AQAgAAAAOgEAAGRycy9lMm9Eb2MueG1sUEsFBgAAAAAGAAYAWQEAAN8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0B8F7"/>
    <w:multiLevelType w:val="singleLevel"/>
    <w:tmpl w:val="C9E0B8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mirrorMargins w:val="1"/>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890553"/>
    <w:rsid w:val="10EC0126"/>
    <w:rsid w:val="10F70B9A"/>
    <w:rsid w:val="111445C7"/>
    <w:rsid w:val="114278C6"/>
    <w:rsid w:val="114B7E5C"/>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8E20811"/>
    <w:rsid w:val="194A1770"/>
    <w:rsid w:val="19B906A4"/>
    <w:rsid w:val="1B6F15B6"/>
    <w:rsid w:val="1BAA2EDC"/>
    <w:rsid w:val="1C5C0973"/>
    <w:rsid w:val="1CA55E64"/>
    <w:rsid w:val="1D014A01"/>
    <w:rsid w:val="1D022362"/>
    <w:rsid w:val="1D1B04B0"/>
    <w:rsid w:val="1D6534C4"/>
    <w:rsid w:val="1DBD6767"/>
    <w:rsid w:val="1DC52125"/>
    <w:rsid w:val="1DD26311"/>
    <w:rsid w:val="1E374ACB"/>
    <w:rsid w:val="1E475C73"/>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EE4D3F"/>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972AEF"/>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734163"/>
    <w:rsid w:val="3CD45FD0"/>
    <w:rsid w:val="3D2757A1"/>
    <w:rsid w:val="3D3D4FC4"/>
    <w:rsid w:val="3DA857B1"/>
    <w:rsid w:val="3DDF3AB1"/>
    <w:rsid w:val="3E1D0952"/>
    <w:rsid w:val="3E42660A"/>
    <w:rsid w:val="3E7555B1"/>
    <w:rsid w:val="3E787ED9"/>
    <w:rsid w:val="3EEC37F3"/>
    <w:rsid w:val="3F032E93"/>
    <w:rsid w:val="3F0527E5"/>
    <w:rsid w:val="3F4814B0"/>
    <w:rsid w:val="3F5E5D98"/>
    <w:rsid w:val="3F694D83"/>
    <w:rsid w:val="3F770C56"/>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480B87"/>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4FF70834"/>
    <w:rsid w:val="4FFF3D03"/>
    <w:rsid w:val="5042146E"/>
    <w:rsid w:val="50F06B6E"/>
    <w:rsid w:val="51082C00"/>
    <w:rsid w:val="52234D33"/>
    <w:rsid w:val="52261ABA"/>
    <w:rsid w:val="522F6E0C"/>
    <w:rsid w:val="52463BA1"/>
    <w:rsid w:val="5298794F"/>
    <w:rsid w:val="52F163D4"/>
    <w:rsid w:val="531A2DB4"/>
    <w:rsid w:val="53C0244D"/>
    <w:rsid w:val="53DD4D4E"/>
    <w:rsid w:val="53E578CE"/>
    <w:rsid w:val="541330F0"/>
    <w:rsid w:val="54272666"/>
    <w:rsid w:val="543B029D"/>
    <w:rsid w:val="54861779"/>
    <w:rsid w:val="54E62E8E"/>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7FA3AC"/>
    <w:rsid w:val="6BBF53FD"/>
    <w:rsid w:val="6C560CAE"/>
    <w:rsid w:val="6C576495"/>
    <w:rsid w:val="6D903FF5"/>
    <w:rsid w:val="6D98292A"/>
    <w:rsid w:val="6DA955B8"/>
    <w:rsid w:val="6DE346AB"/>
    <w:rsid w:val="6DE5391A"/>
    <w:rsid w:val="6E7466D6"/>
    <w:rsid w:val="6EEA5552"/>
    <w:rsid w:val="6EFD1324"/>
    <w:rsid w:val="6F4FB9A0"/>
    <w:rsid w:val="6F5A53AC"/>
    <w:rsid w:val="6FAC003D"/>
    <w:rsid w:val="6FE55E12"/>
    <w:rsid w:val="6FFB2E76"/>
    <w:rsid w:val="708F6F7F"/>
    <w:rsid w:val="70D94BD3"/>
    <w:rsid w:val="71B57C9A"/>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 w:val="BFF107BD"/>
    <w:rsid w:val="DBF45E19"/>
    <w:rsid w:val="EDF69121"/>
    <w:rsid w:val="FD7D98E0"/>
    <w:rsid w:val="FFEFD0D0"/>
    <w:rsid w:val="FFF74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Times New Roman" w:hAnsi="Times New Roman" w:eastAsia="方正仿宋_GBK" w:cs="Times New Roman"/>
      <w:sz w:val="32"/>
      <w:szCs w:val="24"/>
      <w:lang w:val="en-US" w:eastAsia="zh-CN" w:bidi="ar-SA"/>
    </w:rPr>
  </w:style>
  <w:style w:type="paragraph" w:styleId="2">
    <w:name w:val="heading 1"/>
    <w:basedOn w:val="1"/>
    <w:next w:val="1"/>
    <w:qFormat/>
    <w:uiPriority w:val="0"/>
    <w:pPr>
      <w:keepNext/>
      <w:keepLines/>
      <w:adjustRightInd w:val="0"/>
      <w:snapToGrid w:val="0"/>
      <w:spacing w:before="340" w:after="330"/>
      <w:jc w:val="center"/>
      <w:outlineLvl w:val="0"/>
    </w:pPr>
    <w:rPr>
      <w:rFonts w:ascii="宋体" w:hAnsi="Arial" w:eastAsia="黑体"/>
      <w:b/>
      <w:bCs/>
      <w:color w:val="000000"/>
      <w:kern w:val="44"/>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21</TotalTime>
  <ScaleCrop>false</ScaleCrop>
  <LinksUpToDate>false</LinksUpToDate>
  <CharactersWithSpaces>26302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2025-06-27T23:40:00Z</dcterms:created>
  <dc:creator>Administrator</dc:creator>
  <cp:lastModifiedBy>langchao</cp:lastModifiedBy>
  <dcterms:modified xsi:type="dcterms:W3CDTF">2025-09-29T11:49:53Z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60A9C91B94EA48B17AE1D968D93F9E16</vt:lpwstr>
  </property>
</Properties>
</file>