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56" w:type="dxa"/>
        <w:tblInd w:w="0" w:type="dxa"/>
        <w:shd w:val="clear" w:color="auto" w:fill="FFFFFF"/>
        <w:tblLayout w:type="fixed"/>
        <w:tblCellMar>
          <w:top w:w="0" w:type="dxa"/>
          <w:left w:w="0" w:type="dxa"/>
          <w:bottom w:w="0" w:type="dxa"/>
          <w:right w:w="0" w:type="dxa"/>
        </w:tblCellMar>
      </w:tblPr>
      <w:tblGrid>
        <w:gridCol w:w="8756"/>
      </w:tblGrid>
      <w:tr>
        <w:tblPrEx>
          <w:shd w:val="clear" w:color="auto" w:fill="FFFFFF"/>
          <w:tblLayout w:type="fixed"/>
          <w:tblCellMar>
            <w:top w:w="0" w:type="dxa"/>
            <w:left w:w="0" w:type="dxa"/>
            <w:bottom w:w="0" w:type="dxa"/>
            <w:right w:w="0" w:type="dxa"/>
          </w:tblCellMar>
        </w:tblPrEx>
        <w:trPr>
          <w:trHeight w:val="450" w:hRule="atLeast"/>
        </w:trPr>
        <w:tc>
          <w:tcPr>
            <w:tcW w:w="8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225" w:type="dxa"/>
              <w:bottom w:w="7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eastAsia" w:ascii="方正仿宋_GBK" w:hAnsi="方正仿宋_GBK" w:eastAsia="方正仿宋_GBK" w:cs="方正仿宋_GBK"/>
                <w:b/>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lang w:val="en-US" w:eastAsia="zh-CN" w:bidi="ar"/>
              </w:rPr>
              <w:t>重庆市荣昌区“智慧政务”综合管理系统建设项目(21C00019)中标结果公告</w:t>
            </w:r>
          </w:p>
        </w:tc>
      </w:tr>
      <w:tr>
        <w:tblPrEx>
          <w:shd w:val="clear" w:color="auto" w:fill="FFFFFF"/>
          <w:tblLayout w:type="fixed"/>
          <w:tblCellMar>
            <w:top w:w="0" w:type="dxa"/>
            <w:left w:w="0" w:type="dxa"/>
            <w:bottom w:w="0" w:type="dxa"/>
            <w:right w:w="0" w:type="dxa"/>
          </w:tblCellMar>
        </w:tblPrEx>
        <w:trPr>
          <w:trHeight w:val="450" w:hRule="atLeast"/>
        </w:trPr>
        <w:tc>
          <w:tcPr>
            <w:tcW w:w="8756" w:type="dxa"/>
            <w:tcBorders>
              <w:top w:val="single" w:color="DDDDDD" w:sz="6" w:space="0"/>
              <w:left w:val="single" w:color="DDDDDD" w:sz="6" w:space="0"/>
              <w:bottom w:val="single" w:color="DDDDDD" w:sz="6" w:space="0"/>
              <w:right w:val="single" w:color="DDDDDD" w:sz="6" w:space="0"/>
            </w:tcBorders>
            <w:shd w:val="clear" w:color="auto" w:fill="F4F7FC"/>
            <w:tcMar>
              <w:top w:w="75" w:type="dxa"/>
              <w:left w:w="225" w:type="dxa"/>
              <w:bottom w:w="75" w:type="dxa"/>
              <w:right w:w="22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一、项目号：21C00019</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二、项目名称：重庆市荣昌区“智慧政务”综合管理系统建设项目</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三、中标信息</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供应商名称：浪潮软件股份有限公司</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供应商地址：泰安市虎山路中段</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中标金额：3400000.00（人民币/元）</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四、主要标的信息</w:t>
            </w:r>
          </w:p>
          <w:tbl>
            <w:tblPr>
              <w:tblStyle w:val="4"/>
              <w:tblW w:w="8306" w:type="dxa"/>
              <w:tblInd w:w="-7" w:type="dxa"/>
              <w:shd w:val="clear" w:color="auto" w:fill="auto"/>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450" w:hRule="atLeast"/>
              </w:trPr>
              <w:tc>
                <w:tcPr>
                  <w:tcW w:w="83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225" w:type="dxa"/>
                    <w:bottom w:w="7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kern w:val="0"/>
                      <w:sz w:val="32"/>
                      <w:szCs w:val="32"/>
                      <w:lang w:val="en-US" w:eastAsia="zh-CN" w:bidi="ar"/>
                    </w:rPr>
                    <w:t>服务类</w:t>
                  </w:r>
                </w:p>
              </w:tc>
            </w:tr>
            <w:tr>
              <w:tblPrEx>
                <w:tblLayout w:type="fixed"/>
                <w:tblCellMar>
                  <w:top w:w="0" w:type="dxa"/>
                  <w:left w:w="0" w:type="dxa"/>
                  <w:bottom w:w="0" w:type="dxa"/>
                  <w:right w:w="0" w:type="dxa"/>
                </w:tblCellMar>
              </w:tblPrEx>
              <w:trPr>
                <w:trHeight w:val="450" w:hRule="atLeast"/>
              </w:trPr>
              <w:tc>
                <w:tcPr>
                  <w:tcW w:w="8306" w:type="dxa"/>
                  <w:tcBorders>
                    <w:top w:val="single" w:color="000000" w:sz="6" w:space="0"/>
                    <w:left w:val="single" w:color="000000" w:sz="6" w:space="0"/>
                    <w:bottom w:val="single" w:color="000000" w:sz="6" w:space="0"/>
                    <w:right w:val="single" w:color="000000" w:sz="6" w:space="0"/>
                  </w:tcBorders>
                  <w:shd w:val="clear" w:color="auto" w:fill="F4F7FC"/>
                  <w:tcMar>
                    <w:top w:w="75" w:type="dxa"/>
                    <w:left w:w="225" w:type="dxa"/>
                    <w:bottom w:w="7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kern w:val="0"/>
                      <w:sz w:val="32"/>
                      <w:szCs w:val="32"/>
                      <w:lang w:val="en-US" w:eastAsia="zh-CN" w:bidi="ar"/>
                    </w:rPr>
                    <w:t>名称：重庆市荣昌区“智慧政务”综合管理系统建设项目</w:t>
                  </w:r>
                  <w:r>
                    <w:rPr>
                      <w:rFonts w:hint="eastAsia" w:ascii="方正仿宋_GBK" w:hAnsi="方正仿宋_GBK" w:eastAsia="方正仿宋_GBK" w:cs="方正仿宋_GBK"/>
                      <w:b w:val="0"/>
                      <w:kern w:val="0"/>
                      <w:sz w:val="32"/>
                      <w:szCs w:val="32"/>
                      <w:lang w:val="en-US" w:eastAsia="zh-CN" w:bidi="ar"/>
                    </w:rPr>
                    <w:br w:type="textWrapping"/>
                  </w:r>
                  <w:r>
                    <w:rPr>
                      <w:rFonts w:hint="eastAsia" w:ascii="方正仿宋_GBK" w:hAnsi="方正仿宋_GBK" w:eastAsia="方正仿宋_GBK" w:cs="方正仿宋_GBK"/>
                      <w:b w:val="0"/>
                      <w:kern w:val="0"/>
                      <w:sz w:val="32"/>
                      <w:szCs w:val="32"/>
                      <w:lang w:val="en-US" w:eastAsia="zh-CN" w:bidi="ar"/>
                    </w:rPr>
                    <w:t>服务范围：系统总体架构须包括：用户服务层、业务应用层、应用支撑层、数据资源层、基础设施层以及标准规范体系和安全运维保障体系。总体架构设计以深度融合为核心思想，为推动服务型政府转型，使管理模式优化、业务流程再造、信息技术升级等工作能够科学有序的实施，形成一个有机整体，避免重复建设、系统功能滞后等问题，推动全行业电子政务的良性发展。本次项目，投标人需提供总体架构设计。</w:t>
                  </w:r>
                  <w:r>
                    <w:rPr>
                      <w:rFonts w:hint="eastAsia" w:ascii="方正仿宋_GBK" w:hAnsi="方正仿宋_GBK" w:eastAsia="方正仿宋_GBK" w:cs="方正仿宋_GBK"/>
                      <w:b w:val="0"/>
                      <w:kern w:val="0"/>
                      <w:sz w:val="32"/>
                      <w:szCs w:val="32"/>
                      <w:lang w:val="en-US" w:eastAsia="zh-CN" w:bidi="ar"/>
                    </w:rPr>
                    <w:br w:type="textWrapping"/>
                  </w:r>
                  <w:r>
                    <w:rPr>
                      <w:rFonts w:hint="eastAsia" w:ascii="方正仿宋_GBK" w:hAnsi="方正仿宋_GBK" w:eastAsia="方正仿宋_GBK" w:cs="方正仿宋_GBK"/>
                      <w:b w:val="0"/>
                      <w:kern w:val="0"/>
                      <w:sz w:val="32"/>
                      <w:szCs w:val="32"/>
                      <w:lang w:val="en-US" w:eastAsia="zh-CN" w:bidi="ar"/>
                    </w:rPr>
                    <w:t>服务要求：深入推进“一窗受理”改革，强化改革精神，创新运用互联网思维，聚焦群众和企业生产生活密切相关的领域，抓重点、补短板，对政务服务流程进行再造，深化跨部门、跨层级的数据共享和业务协同，构建服务渠道多样、线上线下融合、业务协同办理、数据全面共享、全程阳光运行的“智慧政务”体系，围绕“只进一门、一窗受理、只跑一次”，实现企业和群众到政务大厅办事只进一扇门、只跑一个窗、最多跑一次的目标，大幅提升企业和群众获得感。</w:t>
                  </w:r>
                  <w:r>
                    <w:rPr>
                      <w:rFonts w:hint="eastAsia" w:ascii="方正仿宋_GBK" w:hAnsi="方正仿宋_GBK" w:eastAsia="方正仿宋_GBK" w:cs="方正仿宋_GBK"/>
                      <w:b w:val="0"/>
                      <w:kern w:val="0"/>
                      <w:sz w:val="32"/>
                      <w:szCs w:val="32"/>
                      <w:lang w:val="en-US" w:eastAsia="zh-CN" w:bidi="ar"/>
                    </w:rPr>
                    <w:br w:type="textWrapping"/>
                  </w:r>
                  <w:r>
                    <w:rPr>
                      <w:rFonts w:hint="eastAsia" w:ascii="方正仿宋_GBK" w:hAnsi="方正仿宋_GBK" w:eastAsia="方正仿宋_GBK" w:cs="方正仿宋_GBK"/>
                      <w:b w:val="0"/>
                      <w:kern w:val="0"/>
                      <w:sz w:val="32"/>
                      <w:szCs w:val="32"/>
                      <w:lang w:val="en-US" w:eastAsia="zh-CN" w:bidi="ar"/>
                    </w:rPr>
                    <w:t>服务时间：中标人应在采购合同签订后 60 个日历日内交货并完成安装调试。自验收之日起，提供 1 年免费的设备质保期 。</w:t>
                  </w:r>
                  <w:r>
                    <w:rPr>
                      <w:rFonts w:hint="eastAsia" w:ascii="方正仿宋_GBK" w:hAnsi="方正仿宋_GBK" w:eastAsia="方正仿宋_GBK" w:cs="方正仿宋_GBK"/>
                      <w:b w:val="0"/>
                      <w:kern w:val="0"/>
                      <w:sz w:val="32"/>
                      <w:szCs w:val="32"/>
                      <w:lang w:val="en-US" w:eastAsia="zh-CN" w:bidi="ar"/>
                    </w:rPr>
                    <w:br w:type="textWrapping"/>
                  </w:r>
                  <w:r>
                    <w:rPr>
                      <w:rFonts w:hint="eastAsia" w:ascii="方正仿宋_GBK" w:hAnsi="方正仿宋_GBK" w:eastAsia="方正仿宋_GBK" w:cs="方正仿宋_GBK"/>
                      <w:b w:val="0"/>
                      <w:kern w:val="0"/>
                      <w:sz w:val="32"/>
                      <w:szCs w:val="32"/>
                      <w:lang w:val="en-US" w:eastAsia="zh-CN" w:bidi="ar"/>
                    </w:rPr>
                    <w:t>服务标准：以实现政务服务的标准化、精准化、便捷化、平台化、协同化，政务服务流程显著优化，服务形式更加多元，服务渠道更为畅通，群众办事满意度显著提升为总体目标，依据市级相关指导文件要求，构建荣昌区智慧政务服务体系，以企业和群众用户为中心，精简行政审批、优化整合提升政务服务大厅“一站式”功能、简化优化高频政务服务事项办理流程和手续，让信息多跑路，让企业和群众少跑路或不跑路，以云计算技术、大数据技术为驱动，构建政务智慧化基础设施、建立信息共享体系、建设监管决策支撑体系，着力打造“审批最少、流程最优、体制最顺、机制最活、效率最高、服务最好”营商环境高地。</w:t>
                  </w:r>
                </w:p>
              </w:tc>
            </w:tr>
          </w:tbl>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五、评审专家名单：</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黄颖 付国勇 华刚 吕晓雯 赵雯雯</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六、代理服务收费标准及金额：</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b w:val="0"/>
                <w:i w:val="0"/>
                <w:caps w:val="0"/>
                <w:color w:val="000000"/>
                <w:spacing w:val="0"/>
                <w:sz w:val="32"/>
                <w:szCs w:val="32"/>
              </w:rPr>
              <w:t>无</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七、公告期限</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自本公告发布之日起1个工作日。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八、其他补充事宜</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无</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九、凡对本次公告内容提出询问，请按以下方式联系。</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1.采购人信息</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名称：重庆市荣昌区政务服务管理办公室</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地址：荣昌区行政服务中心三楼</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联系方式：赵雯雯 023-46779582</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2.采购代理机构信息</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名称：重庆市荣昌区公共资源交易中心</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地址：重庆市荣昌区昌元街道海棠社区迎宾大道20号附1号</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联系方式：仲先生  陈女士  023-46789725  46789725</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3.项目联系方式</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项目联系人：赵雯雯</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电话：023-46779582</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十、附件</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1.采购文件：</w:t>
            </w:r>
            <w:r>
              <w:rPr>
                <w:rFonts w:hint="eastAsia" w:ascii="方正仿宋_GBK" w:hAnsi="方正仿宋_GBK" w:eastAsia="方正仿宋_GBK" w:cs="方正仿宋_GBK"/>
                <w:b w:val="0"/>
                <w:i w:val="0"/>
                <w:caps w:val="0"/>
                <w:color w:val="0000FF"/>
                <w:spacing w:val="0"/>
                <w:sz w:val="32"/>
                <w:szCs w:val="32"/>
                <w:u w:val="none"/>
              </w:rPr>
              <w:fldChar w:fldCharType="begin"/>
            </w:r>
            <w:r>
              <w:rPr>
                <w:rFonts w:hint="eastAsia" w:ascii="方正仿宋_GBK" w:hAnsi="方正仿宋_GBK" w:eastAsia="方正仿宋_GBK" w:cs="方正仿宋_GBK"/>
                <w:b w:val="0"/>
                <w:i w:val="0"/>
                <w:caps w:val="0"/>
                <w:color w:val="0000FF"/>
                <w:spacing w:val="0"/>
                <w:sz w:val="32"/>
                <w:szCs w:val="32"/>
                <w:u w:val="none"/>
              </w:rPr>
              <w:instrText xml:space="preserve"> HYPERLINK "http://119.84.149.45:2626/fileD/3963/202102231056230233.doc" </w:instrText>
            </w:r>
            <w:r>
              <w:rPr>
                <w:rFonts w:hint="eastAsia" w:ascii="方正仿宋_GBK" w:hAnsi="方正仿宋_GBK" w:eastAsia="方正仿宋_GBK" w:cs="方正仿宋_GBK"/>
                <w:b w:val="0"/>
                <w:i w:val="0"/>
                <w:caps w:val="0"/>
                <w:color w:val="0000FF"/>
                <w:spacing w:val="0"/>
                <w:sz w:val="32"/>
                <w:szCs w:val="32"/>
                <w:u w:val="none"/>
              </w:rPr>
              <w:fldChar w:fldCharType="separate"/>
            </w:r>
            <w:r>
              <w:rPr>
                <w:rStyle w:val="6"/>
                <w:rFonts w:hint="eastAsia" w:ascii="方正仿宋_GBK" w:hAnsi="方正仿宋_GBK" w:eastAsia="方正仿宋_GBK" w:cs="方正仿宋_GBK"/>
                <w:b w:val="0"/>
                <w:i w:val="0"/>
                <w:caps w:val="0"/>
                <w:color w:val="0000FF"/>
                <w:spacing w:val="0"/>
                <w:sz w:val="32"/>
                <w:szCs w:val="32"/>
                <w:u w:val="none"/>
              </w:rPr>
              <w:t>21C00019智慧政务管理信息（0223定发稿）</w:t>
            </w:r>
            <w:r>
              <w:rPr>
                <w:rFonts w:hint="eastAsia" w:ascii="方正仿宋_GBK" w:hAnsi="方正仿宋_GBK" w:eastAsia="方正仿宋_GBK" w:cs="方正仿宋_GBK"/>
                <w:b w:val="0"/>
                <w:i w:val="0"/>
                <w:caps w:val="0"/>
                <w:color w:val="0000FF"/>
                <w:spacing w:val="0"/>
                <w:sz w:val="32"/>
                <w:szCs w:val="32"/>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2.被推荐供应商名单和推荐理由（适用于邀请招标、竞争性谈判、询价、竞争性磋商采用书面推荐方式产生符合资格条件的潜在供应商的）</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3.中标、成交供应商为中小企业的，应公告其《中小企业声明函》</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4.中标、成交供应商为残疾人福利性单位的，应公告其《残疾人福利性单位声明函》</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5.中标、成交供应商为注册地在国家级贫困县域内物业公司的，应公告注册所在县扶贫部门出具的聘用建档立卡贫困人员具体数量的证明。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37C88"/>
    <w:rsid w:val="193F1F71"/>
    <w:rsid w:val="4E537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2021-03-16T09:07:00Z</dcterms:created>
  <dc:creator>朴玥</dc:creator>
  <cp:lastModifiedBy>Administrator</cp:lastModifiedBy>
  <dcterms:modified xsi:type="dcterms:W3CDTF">2021-04-09T11:10:44Z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