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line="594" w:lineRule="exact"/>
        <w:jc w:val="center"/>
        <w:textAlignment w:val="auto"/>
        <w:outlineLvl w:val="0"/>
        <w:rPr>
          <w:rFonts w:ascii="方正小标宋_GBK" w:hAnsi="方正小标宋_GBK" w:eastAsia="方正小标宋_GBK" w:cs="方正小标宋_GBK"/>
          <w:spacing w:val="-28"/>
          <w:sz w:val="44"/>
          <w:szCs w:val="44"/>
        </w:rPr>
      </w:pPr>
      <w:r>
        <w:rPr>
          <w:rFonts w:ascii="方正小标宋_GBK" w:hAnsi="方正小标宋_GBK" w:eastAsia="方正小标宋_GBK" w:cs="方正小标宋_GBK"/>
          <w:spacing w:val="-28"/>
          <w:sz w:val="44"/>
          <w:szCs w:val="44"/>
        </w:rPr>
        <w:t>重庆市荣昌区昌元街道劳动就业和社会保障服务所</w:t>
      </w:r>
    </w:p>
    <w:p>
      <w:pPr>
        <w:pStyle w:val="8"/>
        <w:keepNext w:val="0"/>
        <w:keepLines w:val="0"/>
        <w:pageBreakBefore w:val="0"/>
        <w:widowControl/>
        <w:kinsoku/>
        <w:wordWrap/>
        <w:overflowPunct/>
        <w:topLinePunct w:val="0"/>
        <w:autoSpaceDE/>
        <w:autoSpaceDN/>
        <w:bidi w:val="0"/>
        <w:adjustRightInd/>
        <w:snapToGrid/>
        <w:spacing w:before="0" w:beforeAutospacing="0" w:line="594" w:lineRule="exact"/>
        <w:jc w:val="center"/>
        <w:textAlignment w:val="auto"/>
        <w:outlineLvl w:val="0"/>
        <w:rPr>
          <w:rFonts w:hint="default"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2023年度单位决算公开报告</w:t>
      </w:r>
    </w:p>
    <w:p>
      <w:pPr>
        <w:pStyle w:val="2"/>
        <w:pageBreakBefore w:val="0"/>
        <w:widowControl/>
        <w:kinsoku/>
        <w:wordWrap/>
        <w:overflowPunct/>
        <w:topLinePunct w:val="0"/>
        <w:autoSpaceDN/>
        <w:bidi w:val="0"/>
        <w:adjustRightInd/>
        <w:spacing w:line="560" w:lineRule="exact"/>
        <w:rPr>
          <w:rFonts w:hint="default" w:ascii="黑体" w:hAnsi="黑体" w:eastAsia="黑体" w:cs="黑体"/>
          <w:color w:val="auto"/>
          <w:sz w:val="32"/>
          <w:szCs w:val="32"/>
        </w:rPr>
      </w:pPr>
      <w:r>
        <w:rPr>
          <w:rStyle w:val="12"/>
          <w:rFonts w:ascii="黑体" w:hAnsi="黑体" w:eastAsia="黑体" w:cs="黑体"/>
          <w:b/>
          <w:color w:val="auto"/>
          <w:sz w:val="32"/>
          <w:szCs w:val="32"/>
          <w:shd w:val="clear" w:color="auto" w:fill="FFFFFF"/>
        </w:rPr>
        <w:t>一、单位基本情况</w:t>
      </w:r>
    </w:p>
    <w:p>
      <w:pPr>
        <w:pStyle w:val="3"/>
        <w:bidi w:val="0"/>
        <w:rPr>
          <w:rFonts w:hint="default"/>
        </w:rPr>
      </w:pPr>
      <w:r>
        <w:t>（一）职能职责</w:t>
      </w:r>
    </w:p>
    <w:p>
      <w:pPr>
        <w:pStyle w:val="8"/>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rPr>
        <w:t>昌元街道</w:t>
      </w:r>
      <w:r>
        <w:rPr>
          <w:rFonts w:hint="eastAsia" w:ascii="方正仿宋_GBK" w:hAnsi="方正仿宋_GBK" w:eastAsia="方正仿宋_GBK" w:cs="方正仿宋_GBK"/>
          <w:color w:val="auto"/>
          <w:sz w:val="32"/>
          <w:szCs w:val="32"/>
          <w:shd w:val="clear" w:color="auto" w:fill="FFFFFF"/>
        </w:rPr>
        <w:t>劳动就业和社会保障服务所作为重庆市荣昌区人民政府昌元街道办事处二级预算单位进行预算</w:t>
      </w:r>
      <w:bookmarkStart w:id="0" w:name="_GoBack"/>
      <w:bookmarkEnd w:id="0"/>
      <w:r>
        <w:rPr>
          <w:rFonts w:hint="eastAsia" w:ascii="方正仿宋_GBK" w:hAnsi="方正仿宋_GBK" w:eastAsia="方正仿宋_GBK" w:cs="方正仿宋_GBK"/>
          <w:color w:val="auto"/>
          <w:sz w:val="32"/>
          <w:szCs w:val="32"/>
          <w:shd w:val="clear" w:color="auto" w:fill="FFFFFF"/>
        </w:rPr>
        <w:t>编制。主要负责承担就业、再就业、农村富余劳动力转移、劳动和社会保障、社会救助等方面的事务性服务工作。</w:t>
      </w:r>
    </w:p>
    <w:p>
      <w:pPr>
        <w:pStyle w:val="3"/>
        <w:pageBreakBefore w:val="0"/>
        <w:widowControl/>
        <w:kinsoku/>
        <w:wordWrap/>
        <w:overflowPunct/>
        <w:topLinePunct w:val="0"/>
        <w:autoSpaceDN/>
        <w:bidi w:val="0"/>
        <w:adjustRightInd/>
        <w:spacing w:line="560" w:lineRule="exact"/>
        <w:rPr>
          <w:rFonts w:hint="default"/>
          <w:color w:val="auto"/>
        </w:rPr>
      </w:pPr>
      <w:r>
        <w:rPr>
          <w:color w:val="auto"/>
        </w:rPr>
        <w:t>（二）机构设置</w:t>
      </w:r>
    </w:p>
    <w:p>
      <w:pPr>
        <w:pStyle w:val="8"/>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2023年，昌元街道</w:t>
      </w:r>
      <w:r>
        <w:rPr>
          <w:rFonts w:hint="eastAsia" w:ascii="方正仿宋_GBK" w:hAnsi="方正仿宋_GBK" w:eastAsia="方正仿宋_GBK" w:cs="方正仿宋_GBK"/>
          <w:color w:val="auto"/>
          <w:sz w:val="32"/>
          <w:szCs w:val="32"/>
          <w:shd w:val="clear" w:color="auto" w:fill="FFFFFF"/>
        </w:rPr>
        <w:t>劳动就业和社会保障服务所</w:t>
      </w:r>
      <w:r>
        <w:rPr>
          <w:rFonts w:hint="eastAsia" w:ascii="方正仿宋_GBK" w:hAnsi="方正仿宋_GBK" w:eastAsia="方正仿宋_GBK" w:cs="方正仿宋_GBK"/>
          <w:color w:val="auto"/>
          <w:sz w:val="32"/>
          <w:szCs w:val="32"/>
          <w:shd w:val="clear" w:color="auto" w:fill="FFFFFF"/>
          <w:lang w:val="en-US" w:eastAsia="zh-CN"/>
        </w:rPr>
        <w:t>未设置内设机构。</w:t>
      </w:r>
    </w:p>
    <w:p>
      <w:pPr>
        <w:pStyle w:val="2"/>
        <w:pageBreakBefore w:val="0"/>
        <w:widowControl/>
        <w:kinsoku/>
        <w:wordWrap/>
        <w:overflowPunct/>
        <w:topLinePunct w:val="0"/>
        <w:autoSpaceDN/>
        <w:bidi w:val="0"/>
        <w:adjustRightInd/>
        <w:spacing w:line="560" w:lineRule="exact"/>
        <w:rPr>
          <w:rFonts w:hint="default"/>
          <w:color w:val="auto"/>
        </w:rPr>
      </w:pPr>
      <w:r>
        <w:rPr>
          <w:color w:val="auto"/>
        </w:rPr>
        <w:t>二、单位决算情况说明</w:t>
      </w:r>
    </w:p>
    <w:p>
      <w:pPr>
        <w:pStyle w:val="3"/>
        <w:pageBreakBefore w:val="0"/>
        <w:widowControl/>
        <w:kinsoku/>
        <w:wordWrap/>
        <w:overflowPunct/>
        <w:topLinePunct w:val="0"/>
        <w:autoSpaceDN/>
        <w:bidi w:val="0"/>
        <w:adjustRightInd/>
        <w:spacing w:line="560" w:lineRule="exact"/>
        <w:rPr>
          <w:color w:val="auto"/>
        </w:rPr>
      </w:pPr>
      <w:r>
        <w:rPr>
          <w:rFonts w:hint="eastAsia"/>
          <w:color w:val="auto"/>
        </w:rPr>
        <w:t>（一）收入支出决算总体情况说明。</w:t>
      </w:r>
    </w:p>
    <w:p>
      <w:pPr>
        <w:pStyle w:val="8"/>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1</w:t>
      </w:r>
      <w:r>
        <w:rPr>
          <w:rStyle w:val="12"/>
          <w:rFonts w:hint="eastAsia" w:ascii="方正仿宋_GBK" w:hAnsi="方正仿宋_GBK" w:eastAsia="方正仿宋_GBK" w:cs="方正仿宋_GBK"/>
          <w:color w:val="auto"/>
          <w:sz w:val="32"/>
          <w:szCs w:val="32"/>
          <w:shd w:val="clear" w:color="auto" w:fill="FFFFFF"/>
          <w:lang w:val="en-US" w:eastAsia="zh-CN"/>
        </w:rPr>
        <w:t xml:space="preserve"> </w:t>
      </w:r>
      <w:r>
        <w:rPr>
          <w:rStyle w:val="12"/>
          <w:rFonts w:ascii="方正仿宋_GBK" w:hAnsi="方正仿宋_GBK" w:eastAsia="方正仿宋_GBK" w:cs="方正仿宋_GBK"/>
          <w:color w:val="auto"/>
          <w:sz w:val="32"/>
          <w:szCs w:val="32"/>
          <w:shd w:val="clear" w:color="auto" w:fill="FFFFFF"/>
        </w:rPr>
        <w:t>.总体情况。</w:t>
      </w:r>
      <w:r>
        <w:rPr>
          <w:rFonts w:ascii="方正仿宋_GBK" w:hAnsi="方正仿宋_GBK" w:eastAsia="方正仿宋_GBK" w:cs="方正仿宋_GBK"/>
          <w:color w:val="auto"/>
          <w:sz w:val="32"/>
          <w:szCs w:val="32"/>
          <w:shd w:val="clear" w:color="auto" w:fill="FFFFFF"/>
        </w:rPr>
        <w:t>2023年度收入总计161.39万元，支出总计</w:t>
      </w:r>
      <w:r>
        <w:rPr>
          <w:rFonts w:ascii="方正仿宋_GBK" w:hAnsi="方正仿宋_GBK" w:eastAsia="方正仿宋_GBK" w:cs="方正仿宋_GBK"/>
          <w:color w:val="auto"/>
          <w:sz w:val="32"/>
          <w:szCs w:val="32"/>
        </w:rPr>
        <w:t>161.39</w:t>
      </w:r>
      <w:r>
        <w:rPr>
          <w:rFonts w:ascii="方正仿宋_GBK" w:hAnsi="方正仿宋_GBK" w:eastAsia="方正仿宋_GBK" w:cs="方正仿宋_GBK"/>
          <w:color w:val="auto"/>
          <w:sz w:val="32"/>
          <w:szCs w:val="32"/>
          <w:shd w:val="clear" w:color="auto" w:fill="FFFFFF"/>
        </w:rPr>
        <w:t>万元。收支较上年决算数增加36.01万元，增长28.72%，主要原因是</w:t>
      </w:r>
      <w:r>
        <w:rPr>
          <w:rFonts w:hint="eastAsia" w:ascii="方正仿宋_GBK" w:hAnsi="方正仿宋_GBK" w:eastAsia="方正仿宋_GBK" w:cs="方正仿宋_GBK"/>
          <w:color w:val="auto"/>
          <w:sz w:val="32"/>
          <w:szCs w:val="32"/>
          <w:shd w:val="clear" w:color="auto" w:fill="FFFFFF"/>
          <w:lang w:val="en-US" w:eastAsia="zh-CN"/>
        </w:rPr>
        <w:t>2023年人员晋升工资调标、社保基数调整导致人员经费增加，新增国有企业退休人员社会化管理（市属）项目支出。</w:t>
      </w:r>
    </w:p>
    <w:p>
      <w:pPr>
        <w:pStyle w:val="8"/>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rPr>
          <w:rFonts w:hint="default" w:ascii="方正仿宋_GBK" w:hAnsi="方正仿宋_GBK" w:eastAsia="方正仿宋_GBK" w:cs="方正仿宋_GBK"/>
          <w:color w:val="auto"/>
          <w:sz w:val="32"/>
          <w:szCs w:val="32"/>
          <w:shd w:val="clear" w:color="auto" w:fill="FFFFFF"/>
        </w:rPr>
      </w:pPr>
      <w:r>
        <w:rPr>
          <w:rStyle w:val="12"/>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2023年度收入合计161.39万元，较上年决算数增加36.01万元，增长28.72%，主要原因是</w:t>
      </w:r>
      <w:r>
        <w:rPr>
          <w:rFonts w:hint="eastAsia" w:ascii="方正仿宋_GBK" w:hAnsi="方正仿宋_GBK" w:eastAsia="方正仿宋_GBK" w:cs="方正仿宋_GBK"/>
          <w:color w:val="auto"/>
          <w:sz w:val="32"/>
          <w:szCs w:val="32"/>
          <w:shd w:val="clear" w:color="auto" w:fill="FFFFFF"/>
          <w:lang w:val="en-US" w:eastAsia="zh-CN"/>
        </w:rPr>
        <w:t>2023年人员晋升工资调标、社保基数调整导致人员经费增加，新增国有企业退休人员社会化管理（市属）项目支出。</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161.39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8"/>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rPr>
          <w:rFonts w:hint="default" w:ascii="方正仿宋_GBK" w:hAnsi="方正仿宋_GBK" w:eastAsia="方正仿宋_GBK" w:cs="方正仿宋_GBK"/>
          <w:color w:val="auto"/>
          <w:sz w:val="32"/>
          <w:szCs w:val="32"/>
          <w:shd w:val="clear" w:color="auto" w:fill="FFFFFF"/>
        </w:rPr>
      </w:pPr>
      <w:r>
        <w:rPr>
          <w:rStyle w:val="12"/>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2023年度支出合计</w:t>
      </w:r>
      <w:r>
        <w:rPr>
          <w:rFonts w:ascii="方正仿宋_GBK" w:hAnsi="方正仿宋_GBK" w:eastAsia="方正仿宋_GBK" w:cs="方正仿宋_GBK"/>
          <w:color w:val="auto"/>
          <w:sz w:val="32"/>
          <w:szCs w:val="32"/>
        </w:rPr>
        <w:t>161.39</w:t>
      </w:r>
      <w:r>
        <w:rPr>
          <w:rFonts w:ascii="方正仿宋_GBK" w:hAnsi="方正仿宋_GBK" w:eastAsia="方正仿宋_GBK" w:cs="方正仿宋_GBK"/>
          <w:color w:val="auto"/>
          <w:sz w:val="32"/>
          <w:szCs w:val="32"/>
          <w:shd w:val="clear" w:color="auto" w:fill="FFFFFF"/>
        </w:rPr>
        <w:t>万元，较上年决算数增加36.01万元，增长28.72%，主要原因是</w:t>
      </w:r>
      <w:r>
        <w:rPr>
          <w:rFonts w:hint="eastAsia" w:ascii="方正仿宋_GBK" w:hAnsi="方正仿宋_GBK" w:eastAsia="方正仿宋_GBK" w:cs="方正仿宋_GBK"/>
          <w:color w:val="auto"/>
          <w:sz w:val="32"/>
          <w:szCs w:val="32"/>
          <w:shd w:val="clear" w:color="auto" w:fill="FFFFFF"/>
          <w:lang w:val="en-US" w:eastAsia="zh-CN"/>
        </w:rPr>
        <w:t>2023年人员晋升工资调标、社保基数调整导致人员经费增加，新增国有企业退休人员社会化管理（市属）项目支出。</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153.39</w:t>
      </w:r>
      <w:r>
        <w:rPr>
          <w:rFonts w:ascii="方正仿宋_GBK" w:hAnsi="方正仿宋_GBK" w:eastAsia="方正仿宋_GBK" w:cs="方正仿宋_GBK"/>
          <w:color w:val="auto"/>
          <w:sz w:val="32"/>
          <w:szCs w:val="32"/>
          <w:shd w:val="clear" w:color="auto" w:fill="FFFFFF"/>
        </w:rPr>
        <w:t>万元，占95.04%；项目支出</w:t>
      </w:r>
      <w:r>
        <w:rPr>
          <w:rFonts w:ascii="方正仿宋_GBK" w:hAnsi="方正仿宋_GBK" w:eastAsia="方正仿宋_GBK" w:cs="方正仿宋_GBK"/>
          <w:color w:val="auto"/>
          <w:sz w:val="32"/>
          <w:szCs w:val="32"/>
        </w:rPr>
        <w:t>8.00</w:t>
      </w:r>
      <w:r>
        <w:rPr>
          <w:rFonts w:ascii="方正仿宋_GBK" w:hAnsi="方正仿宋_GBK" w:eastAsia="方正仿宋_GBK" w:cs="方正仿宋_GBK"/>
          <w:color w:val="auto"/>
          <w:sz w:val="32"/>
          <w:szCs w:val="32"/>
          <w:shd w:val="clear" w:color="auto" w:fill="FFFFFF"/>
        </w:rPr>
        <w:t>万元，占4.96%；经营支出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rPr>
          <w:rFonts w:hint="eastAsia" w:ascii="方正仿宋_GBK" w:hAnsi="方正仿宋_GBK" w:eastAsia="方正仿宋_GBK" w:cs="方正仿宋_GBK"/>
          <w:color w:val="auto"/>
          <w:sz w:val="32"/>
          <w:szCs w:val="32"/>
          <w:lang w:eastAsia="zh-CN"/>
        </w:rPr>
      </w:pPr>
      <w:r>
        <w:rPr>
          <w:rStyle w:val="12"/>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2023年度年末结转和结余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万元，较上年决算数无增减，主要原因是</w:t>
      </w:r>
      <w:r>
        <w:rPr>
          <w:rFonts w:hint="eastAsia" w:ascii="方正仿宋_GBK" w:hAnsi="方正仿宋_GBK" w:eastAsia="方正仿宋_GBK" w:cs="方正仿宋_GBK"/>
          <w:color w:val="auto"/>
          <w:sz w:val="32"/>
          <w:szCs w:val="32"/>
          <w:shd w:val="clear" w:color="auto" w:fill="FFFFFF"/>
          <w:lang w:eastAsia="zh-CN"/>
        </w:rPr>
        <w:t>财政已于年底收回剩余指标，无结转结余。</w:t>
      </w:r>
    </w:p>
    <w:p>
      <w:pPr>
        <w:pStyle w:val="3"/>
        <w:pageBreakBefore w:val="0"/>
        <w:widowControl/>
        <w:kinsoku/>
        <w:wordWrap/>
        <w:overflowPunct/>
        <w:topLinePunct w:val="0"/>
        <w:autoSpaceDN/>
        <w:bidi w:val="0"/>
        <w:adjustRightInd/>
        <w:spacing w:line="560" w:lineRule="exact"/>
        <w:rPr>
          <w:color w:val="auto"/>
        </w:rPr>
      </w:pPr>
      <w:r>
        <w:rPr>
          <w:rFonts w:hint="eastAsia"/>
          <w:color w:val="auto"/>
        </w:rPr>
        <w:t>（二）财政拨款收入支出决算总体情况说明</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2023年度财政拨款收、支总计161.39万元。与2022年相比，财政拨款收、支总计各增加36.01万元，增长28.72%。主要原因是</w:t>
      </w:r>
      <w:r>
        <w:rPr>
          <w:rFonts w:hint="eastAsia" w:ascii="方正仿宋_GBK" w:hAnsi="方正仿宋_GBK" w:eastAsia="方正仿宋_GBK" w:cs="方正仿宋_GBK"/>
          <w:color w:val="auto"/>
          <w:sz w:val="32"/>
          <w:szCs w:val="32"/>
          <w:shd w:val="clear" w:color="auto" w:fill="FFFFFF"/>
          <w:lang w:val="en-US" w:eastAsia="zh-CN"/>
        </w:rPr>
        <w:t>2023年人员晋升工资调标、社保基数调整导致人员经费增加，新增国有企业退休人员社会化管理（市属）项目支出。</w:t>
      </w:r>
    </w:p>
    <w:p>
      <w:pPr>
        <w:pStyle w:val="3"/>
        <w:pageBreakBefore w:val="0"/>
        <w:widowControl/>
        <w:kinsoku/>
        <w:wordWrap/>
        <w:overflowPunct/>
        <w:topLinePunct w:val="0"/>
        <w:autoSpaceDN/>
        <w:bidi w:val="0"/>
        <w:adjustRightInd/>
        <w:spacing w:line="560" w:lineRule="exact"/>
        <w:rPr>
          <w:color w:val="auto"/>
        </w:rPr>
      </w:pPr>
      <w:r>
        <w:rPr>
          <w:rFonts w:hint="eastAsia"/>
          <w:color w:val="auto"/>
        </w:rPr>
        <w:t>（三）一般公共预算财政拨款收入支出决算情况说明</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2023年度一般公共预算财政拨款收入</w:t>
      </w:r>
      <w:r>
        <w:rPr>
          <w:rFonts w:ascii="方正仿宋_GBK" w:hAnsi="方正仿宋_GBK" w:eastAsia="方正仿宋_GBK" w:cs="方正仿宋_GBK"/>
          <w:color w:val="auto"/>
          <w:sz w:val="32"/>
          <w:szCs w:val="32"/>
        </w:rPr>
        <w:t>161.39</w:t>
      </w:r>
      <w:r>
        <w:rPr>
          <w:rFonts w:ascii="方正仿宋_GBK" w:hAnsi="方正仿宋_GBK" w:eastAsia="方正仿宋_GBK" w:cs="方正仿宋_GBK"/>
          <w:color w:val="auto"/>
          <w:sz w:val="32"/>
          <w:szCs w:val="32"/>
          <w:shd w:val="clear" w:color="auto" w:fill="FFFFFF"/>
        </w:rPr>
        <w:t>万元，较上年决算数增加36.01万元，增长28.72%。主要原因是</w:t>
      </w:r>
      <w:r>
        <w:rPr>
          <w:rFonts w:hint="eastAsia" w:ascii="方正仿宋_GBK" w:hAnsi="方正仿宋_GBK" w:eastAsia="方正仿宋_GBK" w:cs="方正仿宋_GBK"/>
          <w:color w:val="auto"/>
          <w:sz w:val="32"/>
          <w:szCs w:val="32"/>
          <w:shd w:val="clear" w:color="auto" w:fill="FFFFFF"/>
          <w:lang w:val="en-US" w:eastAsia="zh-CN"/>
        </w:rPr>
        <w:t>2023年人员晋升工资调标、社保基数调整导致人员经费增加，新增国有企业退休人员社会化管理（市属）项目支出。</w:t>
      </w:r>
      <w:r>
        <w:rPr>
          <w:rFonts w:ascii="方正仿宋_GBK" w:hAnsi="方正仿宋_GBK" w:eastAsia="方正仿宋_GBK" w:cs="方正仿宋_GBK"/>
          <w:color w:val="auto"/>
          <w:sz w:val="32"/>
          <w:szCs w:val="32"/>
          <w:shd w:val="clear" w:color="auto" w:fill="FFFFFF"/>
        </w:rPr>
        <w:t>较年初预算数增加16.45万元，增长11.35%。主要原因是</w:t>
      </w:r>
      <w:r>
        <w:rPr>
          <w:rFonts w:hint="eastAsia" w:ascii="方正仿宋_GBK" w:hAnsi="方正仿宋_GBK" w:eastAsia="方正仿宋_GBK" w:cs="方正仿宋_GBK"/>
          <w:color w:val="auto"/>
          <w:sz w:val="32"/>
          <w:szCs w:val="32"/>
          <w:shd w:val="clear" w:color="auto" w:fill="FFFFFF"/>
          <w:lang w:val="en-US" w:eastAsia="zh-CN"/>
        </w:rPr>
        <w:t>2023年人员晋升工资调标导致人员经费增加，新增国有企业退休人员社会化管理（市属）项目支出。</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rPr>
          <w:rFonts w:hint="eastAsia" w:ascii="方正仿宋_GBK" w:hAnsi="方正仿宋_GBK" w:eastAsia="方正仿宋_GBK" w:cs="方正仿宋_GBK"/>
          <w:color w:val="auto"/>
          <w:sz w:val="32"/>
          <w:szCs w:val="32"/>
          <w:shd w:val="clear" w:color="auto" w:fill="FFFFFF"/>
          <w:lang w:val="en-US" w:eastAsia="zh-CN"/>
        </w:rPr>
      </w:pPr>
      <w:r>
        <w:rPr>
          <w:rStyle w:val="12"/>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2023年度一般公共预算财政拨款支出</w:t>
      </w:r>
      <w:r>
        <w:rPr>
          <w:rFonts w:ascii="方正仿宋_GBK" w:hAnsi="方正仿宋_GBK" w:eastAsia="方正仿宋_GBK" w:cs="方正仿宋_GBK"/>
          <w:color w:val="auto"/>
          <w:sz w:val="32"/>
          <w:szCs w:val="32"/>
        </w:rPr>
        <w:t>161.39</w:t>
      </w:r>
      <w:r>
        <w:rPr>
          <w:rFonts w:ascii="方正仿宋_GBK" w:hAnsi="方正仿宋_GBK" w:eastAsia="方正仿宋_GBK" w:cs="方正仿宋_GBK"/>
          <w:color w:val="auto"/>
          <w:sz w:val="32"/>
          <w:szCs w:val="32"/>
          <w:shd w:val="clear" w:color="auto" w:fill="FFFFFF"/>
        </w:rPr>
        <w:t>万元，较上年决算数增加36.01万元，增长28.72%。主要原因是</w:t>
      </w:r>
      <w:r>
        <w:rPr>
          <w:rFonts w:hint="eastAsia" w:ascii="方正仿宋_GBK" w:hAnsi="方正仿宋_GBK" w:eastAsia="方正仿宋_GBK" w:cs="方正仿宋_GBK"/>
          <w:color w:val="auto"/>
          <w:sz w:val="32"/>
          <w:szCs w:val="32"/>
          <w:shd w:val="clear" w:color="auto" w:fill="FFFFFF"/>
          <w:lang w:val="en-US" w:eastAsia="zh-CN"/>
        </w:rPr>
        <w:t>2023年人员晋升工资调标、社保基数调整导致人员经费增加，新增国有企业退休人员社会化管理（市属）项目支出。</w:t>
      </w:r>
      <w:r>
        <w:rPr>
          <w:rFonts w:ascii="方正仿宋_GBK" w:hAnsi="方正仿宋_GBK" w:eastAsia="方正仿宋_GBK" w:cs="方正仿宋_GBK"/>
          <w:color w:val="auto"/>
          <w:sz w:val="32"/>
          <w:szCs w:val="32"/>
          <w:shd w:val="clear" w:color="auto" w:fill="FFFFFF"/>
        </w:rPr>
        <w:t>较年初预算数增加16.45万元，增长11.35%。主要原因是</w:t>
      </w:r>
      <w:r>
        <w:rPr>
          <w:rFonts w:hint="eastAsia" w:ascii="方正仿宋_GBK" w:hAnsi="方正仿宋_GBK" w:eastAsia="方正仿宋_GBK" w:cs="方正仿宋_GBK"/>
          <w:color w:val="auto"/>
          <w:sz w:val="32"/>
          <w:szCs w:val="32"/>
          <w:shd w:val="clear" w:color="auto" w:fill="FFFFFF"/>
          <w:lang w:val="en-US" w:eastAsia="zh-CN"/>
        </w:rPr>
        <w:t>2023年人员晋升工资调标导致人员经费增加，新增国有企业退休人员社会化管理（市属）项目支出。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rPr>
          <w:rFonts w:hint="eastAsia" w:ascii="方正仿宋_GBK" w:hAnsi="方正仿宋_GBK" w:eastAsia="方正仿宋_GBK" w:cs="方正仿宋_GBK"/>
          <w:color w:val="auto"/>
          <w:sz w:val="32"/>
          <w:szCs w:val="32"/>
          <w:lang w:eastAsia="zh-CN"/>
        </w:rPr>
      </w:pPr>
      <w:r>
        <w:rPr>
          <w:rStyle w:val="12"/>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2023年度年末一般公共预算财政拨款结转和结余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万元，较上年决算数无增减，主要原因是</w:t>
      </w:r>
      <w:r>
        <w:rPr>
          <w:rFonts w:hint="eastAsia" w:ascii="方正仿宋_GBK" w:hAnsi="方正仿宋_GBK" w:eastAsia="方正仿宋_GBK" w:cs="方正仿宋_GBK"/>
          <w:color w:val="auto"/>
          <w:sz w:val="32"/>
          <w:szCs w:val="32"/>
          <w:shd w:val="clear" w:color="auto" w:fill="FFFFFF"/>
          <w:lang w:eastAsia="zh-CN"/>
        </w:rPr>
        <w:t>财政已于年底收回剩余指标，无结转结余。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color w:val="auto"/>
          <w:sz w:val="32"/>
          <w:szCs w:val="32"/>
          <w:highlight w:val="cyan"/>
          <w:shd w:val="clear" w:color="auto" w:fill="FFFFFF"/>
        </w:rPr>
      </w:pPr>
      <w:r>
        <w:rPr>
          <w:rStyle w:val="12"/>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本单位2023年度一般公共预算财政拨款支出主要用于以下几个方面：</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150.23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93.08</w:t>
      </w:r>
      <w:r>
        <w:rPr>
          <w:rFonts w:ascii="方正仿宋_GBK" w:hAnsi="方正仿宋_GBK" w:eastAsia="方正仿宋_GBK" w:cs="方正仿宋_GBK"/>
          <w:color w:val="auto"/>
          <w:sz w:val="32"/>
          <w:szCs w:val="32"/>
          <w:shd w:val="clear" w:color="auto" w:fill="FFFFFF"/>
        </w:rPr>
        <w:t>%，较年初预算数增加16.50万元，增长12.34%，主要原因是</w:t>
      </w:r>
      <w:r>
        <w:rPr>
          <w:rFonts w:hint="eastAsia" w:ascii="方正仿宋_GBK" w:hAnsi="方正仿宋_GBK" w:eastAsia="方正仿宋_GBK" w:cs="方正仿宋_GBK"/>
          <w:color w:val="auto"/>
          <w:sz w:val="32"/>
          <w:szCs w:val="32"/>
          <w:shd w:val="clear" w:color="auto" w:fill="FFFFFF"/>
          <w:lang w:val="en-US" w:eastAsia="zh-CN"/>
        </w:rPr>
        <w:t>2023年人员晋升工资调标导致人员经费增加，新增国有企业退休人员社会化管理（市属）项目支出。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5.62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3.48</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严格按照预算支出</w:t>
      </w:r>
      <w:r>
        <w:rPr>
          <w:rFonts w:ascii="方正仿宋_GBK" w:hAnsi="方正仿宋_GBK" w:eastAsia="方正仿宋_GBK" w:cs="方正仿宋_GBK"/>
          <w:color w:val="auto"/>
          <w:sz w:val="32"/>
          <w:szCs w:val="32"/>
          <w:shd w:val="clear" w:color="auto" w:fill="FFFFFF"/>
        </w:rPr>
        <w:t>。</w:t>
      </w:r>
    </w:p>
    <w:p>
      <w:pPr>
        <w:pageBreakBefore w:val="0"/>
        <w:widowControl/>
        <w:kinsoku/>
        <w:wordWrap/>
        <w:overflowPunct/>
        <w:topLinePunct w:val="0"/>
        <w:autoSpaceDN/>
        <w:bidi w:val="0"/>
        <w:adjustRightInd/>
        <w:spacing w:line="560"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住房保障支出5.55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3.44</w:t>
      </w:r>
      <w:r>
        <w:rPr>
          <w:rFonts w:ascii="方正仿宋_GBK" w:hAnsi="方正仿宋_GBK" w:eastAsia="方正仿宋_GBK" w:cs="方正仿宋_GBK"/>
          <w:color w:val="auto"/>
          <w:sz w:val="32"/>
          <w:szCs w:val="32"/>
          <w:shd w:val="clear" w:color="auto" w:fill="FFFFFF"/>
        </w:rPr>
        <w:t>%，较年初预算数减少0.04万元，下降0.72%，主要原因是</w:t>
      </w:r>
      <w:r>
        <w:rPr>
          <w:rFonts w:hint="eastAsia" w:ascii="方正仿宋_GBK" w:hAnsi="方正仿宋_GBK" w:eastAsia="方正仿宋_GBK" w:cs="方正仿宋_GBK"/>
          <w:color w:val="auto"/>
          <w:sz w:val="32"/>
          <w:szCs w:val="32"/>
          <w:shd w:val="clear" w:color="auto" w:fill="FFFFFF"/>
          <w:lang w:eastAsia="zh-CN"/>
        </w:rPr>
        <w:t>公积金基数调整</w:t>
      </w:r>
      <w:r>
        <w:rPr>
          <w:rFonts w:ascii="方正仿宋_GBK" w:hAnsi="方正仿宋_GBK" w:eastAsia="方正仿宋_GBK" w:cs="方正仿宋_GBK"/>
          <w:color w:val="auto"/>
          <w:sz w:val="32"/>
          <w:szCs w:val="32"/>
          <w:shd w:val="clear" w:color="auto" w:fill="FFFFFF"/>
        </w:rPr>
        <w:t>。</w:t>
      </w:r>
    </w:p>
    <w:p>
      <w:pPr>
        <w:pStyle w:val="3"/>
        <w:pageBreakBefore w:val="0"/>
        <w:widowControl/>
        <w:kinsoku/>
        <w:wordWrap/>
        <w:overflowPunct/>
        <w:topLinePunct w:val="0"/>
        <w:autoSpaceDN/>
        <w:bidi w:val="0"/>
        <w:adjustRightInd/>
        <w:spacing w:line="560" w:lineRule="exact"/>
        <w:rPr>
          <w:color w:val="auto"/>
        </w:rPr>
      </w:pPr>
      <w:r>
        <w:rPr>
          <w:rFonts w:hint="eastAsia"/>
          <w:color w:val="auto"/>
        </w:rPr>
        <w:t>（四）一般公共预算财政拨款基本支出决算情况说明</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2023年度一般公共财政拨款基本支出</w:t>
      </w:r>
      <w:r>
        <w:rPr>
          <w:rFonts w:ascii="方正仿宋_GBK" w:hAnsi="方正仿宋_GBK" w:eastAsia="方正仿宋_GBK" w:cs="方正仿宋_GBK"/>
          <w:color w:val="auto"/>
          <w:sz w:val="32"/>
          <w:szCs w:val="32"/>
        </w:rPr>
        <w:t>153.39</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126.54</w:t>
      </w:r>
      <w:r>
        <w:rPr>
          <w:rFonts w:ascii="方正仿宋_GBK" w:hAnsi="方正仿宋_GBK" w:eastAsia="方正仿宋_GBK" w:cs="方正仿宋_GBK"/>
          <w:color w:val="auto"/>
          <w:sz w:val="32"/>
          <w:szCs w:val="32"/>
          <w:shd w:val="clear" w:color="auto" w:fill="FFFFFF"/>
        </w:rPr>
        <w:t>万元，较上年决算数增加25.68万元，增长25.46%，主要原因是</w:t>
      </w:r>
      <w:r>
        <w:rPr>
          <w:rFonts w:hint="eastAsia" w:ascii="方正仿宋_GBK" w:hAnsi="方正仿宋_GBK" w:eastAsia="方正仿宋_GBK" w:cs="方正仿宋_GBK"/>
          <w:color w:val="auto"/>
          <w:sz w:val="32"/>
          <w:szCs w:val="32"/>
          <w:shd w:val="clear" w:color="auto" w:fill="FFFFFF"/>
          <w:lang w:val="en-US" w:eastAsia="zh-CN"/>
        </w:rPr>
        <w:t>2023年人员晋升工资调标、社保基数调整导致人员经费增加</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在编人员工资、绩效、津补贴、各项保险、公积金、未休假补贴支出，退休人员健康休养费</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26.85</w:t>
      </w:r>
      <w:r>
        <w:rPr>
          <w:rFonts w:ascii="方正仿宋_GBK" w:hAnsi="方正仿宋_GBK" w:eastAsia="方正仿宋_GBK" w:cs="方正仿宋_GBK"/>
          <w:color w:val="auto"/>
          <w:sz w:val="32"/>
          <w:szCs w:val="32"/>
          <w:shd w:val="clear" w:color="auto" w:fill="FFFFFF"/>
        </w:rPr>
        <w:t>万元，较上年决算数增加2.33万元，增长9.50%，主要原因是</w:t>
      </w:r>
      <w:r>
        <w:rPr>
          <w:rFonts w:hint="eastAsia" w:ascii="方正仿宋_GBK" w:hAnsi="方正仿宋_GBK" w:eastAsia="方正仿宋_GBK" w:cs="方正仿宋_GBK"/>
          <w:color w:val="auto"/>
          <w:sz w:val="32"/>
          <w:szCs w:val="32"/>
          <w:shd w:val="clear" w:color="auto" w:fill="FFFFFF"/>
          <w:lang w:val="en-US" w:eastAsia="zh-CN"/>
        </w:rPr>
        <w:t>2023年办公费、福利费开支增加。</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工会经费、日常办公费、食堂餐费等</w:t>
      </w:r>
      <w:r>
        <w:rPr>
          <w:rFonts w:ascii="方正仿宋_GBK" w:hAnsi="方正仿宋_GBK" w:eastAsia="方正仿宋_GBK" w:cs="方正仿宋_GBK"/>
          <w:color w:val="auto"/>
          <w:sz w:val="32"/>
          <w:szCs w:val="32"/>
          <w:shd w:val="clear" w:color="auto" w:fill="FFFFFF"/>
        </w:rPr>
        <w:t>。</w:t>
      </w:r>
    </w:p>
    <w:p>
      <w:pPr>
        <w:pStyle w:val="3"/>
        <w:pageBreakBefore w:val="0"/>
        <w:widowControl/>
        <w:kinsoku/>
        <w:wordWrap/>
        <w:overflowPunct/>
        <w:topLinePunct w:val="0"/>
        <w:autoSpaceDN/>
        <w:bidi w:val="0"/>
        <w:adjustRightInd/>
        <w:spacing w:line="560" w:lineRule="exact"/>
        <w:rPr>
          <w:color w:val="auto"/>
        </w:rPr>
      </w:pPr>
      <w:r>
        <w:rPr>
          <w:rFonts w:hint="eastAsia"/>
          <w:color w:val="auto"/>
        </w:rPr>
        <w:t>（五）政府性基金预算收支决算情况说明</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本单位2023年度无政府性基金预算财政拨款收支。</w:t>
      </w:r>
    </w:p>
    <w:p>
      <w:pPr>
        <w:pStyle w:val="3"/>
        <w:pageBreakBefore w:val="0"/>
        <w:widowControl/>
        <w:kinsoku/>
        <w:wordWrap/>
        <w:overflowPunct/>
        <w:topLinePunct w:val="0"/>
        <w:autoSpaceDN/>
        <w:bidi w:val="0"/>
        <w:adjustRightInd/>
        <w:spacing w:line="560" w:lineRule="exact"/>
        <w:rPr>
          <w:color w:val="auto"/>
        </w:rPr>
      </w:pPr>
      <w:r>
        <w:rPr>
          <w:rFonts w:hint="eastAsia"/>
          <w:color w:val="auto"/>
        </w:rPr>
        <w:t>（六）国有资本经营预算财政拨款支出决算情况说明</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本单位2023年度无国有资本经营预算财政拨款支出。</w:t>
      </w:r>
    </w:p>
    <w:p>
      <w:pPr>
        <w:pStyle w:val="2"/>
        <w:pageBreakBefore w:val="0"/>
        <w:widowControl/>
        <w:kinsoku/>
        <w:wordWrap/>
        <w:overflowPunct/>
        <w:topLinePunct w:val="0"/>
        <w:autoSpaceDN/>
        <w:bidi w:val="0"/>
        <w:adjustRightInd/>
        <w:spacing w:line="560" w:lineRule="exact"/>
        <w:rPr>
          <w:rFonts w:hint="default"/>
          <w:color w:val="auto"/>
        </w:rPr>
      </w:pPr>
      <w:r>
        <w:rPr>
          <w:color w:val="auto"/>
        </w:rPr>
        <w:t>三、“三公”经费情况说明</w:t>
      </w:r>
    </w:p>
    <w:p>
      <w:pPr>
        <w:pStyle w:val="3"/>
        <w:pageBreakBefore w:val="0"/>
        <w:widowControl/>
        <w:kinsoku/>
        <w:wordWrap/>
        <w:overflowPunct/>
        <w:topLinePunct w:val="0"/>
        <w:autoSpaceDN/>
        <w:bidi w:val="0"/>
        <w:adjustRightInd/>
        <w:spacing w:line="560" w:lineRule="exact"/>
        <w:rPr>
          <w:color w:val="auto"/>
        </w:rPr>
      </w:pPr>
      <w:r>
        <w:rPr>
          <w:rFonts w:hint="eastAsia"/>
          <w:color w:val="auto"/>
        </w:rPr>
        <w:t>（一）“三公”经费支出总体情况说明</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2023年度本单位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“三公”经费支出</w:t>
      </w:r>
      <w:r>
        <w:rPr>
          <w:rFonts w:hint="eastAsia" w:ascii="方正仿宋_GBK" w:hAnsi="方正仿宋_GBK" w:eastAsia="方正仿宋_GBK" w:cs="方正仿宋_GBK"/>
          <w:color w:val="auto"/>
          <w:sz w:val="32"/>
          <w:szCs w:val="32"/>
          <w:shd w:val="clear" w:color="auto" w:fill="FFFFFF"/>
          <w:lang w:eastAsia="zh-CN"/>
        </w:rPr>
        <w:t>。</w:t>
      </w:r>
    </w:p>
    <w:p>
      <w:pPr>
        <w:pStyle w:val="3"/>
        <w:pageBreakBefore w:val="0"/>
        <w:widowControl/>
        <w:kinsoku/>
        <w:wordWrap/>
        <w:overflowPunct/>
        <w:topLinePunct w:val="0"/>
        <w:autoSpaceDN/>
        <w:bidi w:val="0"/>
        <w:adjustRightInd/>
        <w:spacing w:line="560" w:lineRule="exact"/>
        <w:rPr>
          <w:color w:val="auto"/>
        </w:rPr>
      </w:pPr>
      <w:r>
        <w:rPr>
          <w:rFonts w:hint="eastAsia"/>
          <w:color w:val="auto"/>
        </w:rPr>
        <w:t>（二）“三公”经费分项支出情况</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2023年度本单位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val="en-US" w:eastAsia="zh-CN"/>
        </w:rPr>
        <w:t>支出</w:t>
      </w:r>
      <w:r>
        <w:rPr>
          <w:rFonts w:hint="eastAsia" w:ascii="方正仿宋_GBK" w:hAnsi="方正仿宋_GBK" w:eastAsia="方正仿宋_GBK" w:cs="方正仿宋_GBK"/>
          <w:color w:val="auto"/>
          <w:sz w:val="32"/>
          <w:szCs w:val="32"/>
          <w:shd w:val="clear" w:color="auto" w:fill="FFFFFF"/>
          <w:lang w:eastAsia="zh-CN"/>
        </w:rPr>
        <w:t>。</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公务车购置费</w:t>
      </w:r>
      <w:r>
        <w:rPr>
          <w:rFonts w:hint="eastAsia" w:ascii="方正仿宋_GBK" w:hAnsi="方正仿宋_GBK" w:eastAsia="方正仿宋_GBK" w:cs="方正仿宋_GBK"/>
          <w:color w:val="auto"/>
          <w:sz w:val="32"/>
          <w:szCs w:val="32"/>
          <w:lang w:val="en-US" w:eastAsia="zh-CN"/>
        </w:rPr>
        <w:t>支出</w:t>
      </w:r>
      <w:r>
        <w:rPr>
          <w:rFonts w:ascii="方正仿宋_GBK" w:hAnsi="方正仿宋_GBK" w:eastAsia="方正仿宋_GBK" w:cs="方正仿宋_GBK"/>
          <w:color w:val="auto"/>
          <w:sz w:val="32"/>
          <w:szCs w:val="32"/>
          <w:shd w:val="clear" w:color="auto" w:fill="FFFFFF"/>
        </w:rPr>
        <w:t>。</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2023年度本单位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公务车运行维护费</w:t>
      </w:r>
      <w:r>
        <w:rPr>
          <w:rFonts w:hint="eastAsia" w:ascii="方正仿宋_GBK" w:hAnsi="方正仿宋_GBK" w:eastAsia="方正仿宋_GBK" w:cs="方正仿宋_GBK"/>
          <w:color w:val="auto"/>
          <w:sz w:val="32"/>
          <w:szCs w:val="32"/>
          <w:lang w:val="en-US" w:eastAsia="zh-CN"/>
        </w:rPr>
        <w:t>支出</w:t>
      </w:r>
      <w:r>
        <w:rPr>
          <w:rFonts w:hint="eastAsia" w:ascii="方正仿宋_GBK" w:hAnsi="方正仿宋_GBK" w:eastAsia="方正仿宋_GBK" w:cs="方正仿宋_GBK"/>
          <w:color w:val="auto"/>
          <w:sz w:val="32"/>
          <w:szCs w:val="32"/>
          <w:shd w:val="clear" w:color="auto" w:fill="FFFFFF"/>
          <w:lang w:eastAsia="zh-CN"/>
        </w:rPr>
        <w:t>。</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2023年度本单位</w:t>
      </w:r>
      <w:r>
        <w:rPr>
          <w:rFonts w:hint="eastAsia" w:ascii="方正仿宋_GBK" w:hAnsi="方正仿宋_GBK" w:eastAsia="方正仿宋_GBK" w:cs="方正仿宋_GBK"/>
          <w:color w:val="auto"/>
          <w:sz w:val="32"/>
          <w:szCs w:val="32"/>
          <w:shd w:val="clear" w:color="auto" w:fill="FFFFFF"/>
          <w:lang w:val="en-US" w:eastAsia="zh-CN"/>
        </w:rPr>
        <w:t>未发生</w:t>
      </w:r>
      <w:r>
        <w:rPr>
          <w:rFonts w:ascii="方正仿宋_GBK" w:hAnsi="方正仿宋_GBK" w:eastAsia="方正仿宋_GBK" w:cs="方正仿宋_GBK"/>
          <w:color w:val="auto"/>
          <w:sz w:val="32"/>
          <w:szCs w:val="32"/>
          <w:shd w:val="clear" w:color="auto" w:fill="FFFFFF"/>
        </w:rPr>
        <w:t>公务接待费</w:t>
      </w:r>
      <w:r>
        <w:rPr>
          <w:rFonts w:hint="eastAsia" w:ascii="方正仿宋_GBK" w:hAnsi="方正仿宋_GBK" w:eastAsia="方正仿宋_GBK" w:cs="方正仿宋_GBK"/>
          <w:color w:val="auto"/>
          <w:sz w:val="32"/>
          <w:szCs w:val="32"/>
          <w:lang w:val="en-US" w:eastAsia="zh-CN"/>
        </w:rPr>
        <w:t>支出。</w:t>
      </w:r>
    </w:p>
    <w:p>
      <w:pPr>
        <w:pStyle w:val="3"/>
        <w:pageBreakBefore w:val="0"/>
        <w:widowControl/>
        <w:kinsoku/>
        <w:wordWrap/>
        <w:overflowPunct/>
        <w:topLinePunct w:val="0"/>
        <w:autoSpaceDN/>
        <w:bidi w:val="0"/>
        <w:adjustRightInd/>
        <w:spacing w:line="560" w:lineRule="exact"/>
        <w:rPr>
          <w:color w:val="auto"/>
        </w:rPr>
      </w:pPr>
      <w:r>
        <w:rPr>
          <w:rFonts w:hint="eastAsia"/>
          <w:color w:val="auto"/>
        </w:rPr>
        <w:t>（三）“三公”经费实物量情况</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人。2023年本单位人均接待费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2"/>
        <w:pageBreakBefore w:val="0"/>
        <w:widowControl/>
        <w:kinsoku/>
        <w:wordWrap/>
        <w:overflowPunct/>
        <w:topLinePunct w:val="0"/>
        <w:autoSpaceDN/>
        <w:bidi w:val="0"/>
        <w:adjustRightInd/>
        <w:spacing w:line="560" w:lineRule="exact"/>
        <w:rPr>
          <w:rFonts w:hint="default"/>
          <w:color w:val="auto"/>
        </w:rPr>
      </w:pPr>
      <w:r>
        <w:rPr>
          <w:color w:val="auto"/>
        </w:rPr>
        <w:t>四、其他需要说明的事项</w:t>
      </w:r>
    </w:p>
    <w:p>
      <w:pPr>
        <w:pStyle w:val="3"/>
        <w:pageBreakBefore w:val="0"/>
        <w:widowControl/>
        <w:kinsoku/>
        <w:wordWrap/>
        <w:overflowPunct/>
        <w:topLinePunct w:val="0"/>
        <w:autoSpaceDN/>
        <w:bidi w:val="0"/>
        <w:adjustRightInd/>
        <w:spacing w:line="560" w:lineRule="exact"/>
        <w:rPr>
          <w:color w:val="auto"/>
        </w:rPr>
      </w:pPr>
      <w:r>
        <w:rPr>
          <w:rFonts w:hint="eastAsia"/>
          <w:color w:val="auto"/>
        </w:rPr>
        <w:t>（一）财政拨款会议费和培训费情况说明</w:t>
      </w:r>
    </w:p>
    <w:p>
      <w:pPr>
        <w:pStyle w:val="13"/>
        <w:pageBreakBefore w:val="0"/>
        <w:widowControl/>
        <w:kinsoku/>
        <w:wordWrap/>
        <w:overflowPunct/>
        <w:topLinePunct w:val="0"/>
        <w:autoSpaceDE w:val="0"/>
        <w:autoSpaceDN/>
        <w:bidi w:val="0"/>
        <w:adjustRightInd/>
        <w:spacing w:line="560" w:lineRule="exact"/>
        <w:ind w:firstLine="643"/>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0.07</w:t>
      </w:r>
      <w:r>
        <w:rPr>
          <w:rFonts w:ascii="方正仿宋_GBK" w:hAnsi="方正仿宋_GBK" w:eastAsia="方正仿宋_GBK" w:cs="方正仿宋_GBK"/>
          <w:color w:val="auto"/>
          <w:sz w:val="32"/>
          <w:szCs w:val="32"/>
          <w:shd w:val="clear" w:color="auto" w:fill="FFFFFF"/>
        </w:rPr>
        <w:t>万元，较上年决算数增加0.07万元，增长100.00%，主要原因是</w:t>
      </w:r>
      <w:r>
        <w:rPr>
          <w:rFonts w:hint="eastAsia" w:ascii="方正仿宋_GBK" w:hAnsi="方正仿宋_GBK" w:eastAsia="方正仿宋_GBK" w:cs="方正仿宋_GBK"/>
          <w:color w:val="auto"/>
          <w:sz w:val="32"/>
          <w:szCs w:val="32"/>
          <w:shd w:val="clear" w:color="auto" w:fill="FFFFFF"/>
          <w:lang w:val="en-US" w:eastAsia="zh-CN"/>
        </w:rPr>
        <w:t>2023年线下会议增多，导致培训费增加。</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0.70</w:t>
      </w:r>
      <w:r>
        <w:rPr>
          <w:rFonts w:ascii="方正仿宋_GBK" w:hAnsi="方正仿宋_GBK" w:eastAsia="方正仿宋_GBK" w:cs="方正仿宋_GBK"/>
          <w:color w:val="auto"/>
          <w:sz w:val="32"/>
          <w:szCs w:val="32"/>
          <w:shd w:val="clear" w:color="auto" w:fill="FFFFFF"/>
        </w:rPr>
        <w:t>万元，较上年决算数增加0.70万元，增长100.00%，主要原因是</w:t>
      </w:r>
      <w:r>
        <w:rPr>
          <w:rFonts w:hint="eastAsia" w:ascii="方正仿宋_GBK" w:hAnsi="方正仿宋_GBK" w:eastAsia="方正仿宋_GBK" w:cs="方正仿宋_GBK"/>
          <w:color w:val="auto"/>
          <w:sz w:val="32"/>
          <w:szCs w:val="32"/>
          <w:shd w:val="clear" w:color="auto" w:fill="FFFFFF"/>
          <w:lang w:val="en-US" w:eastAsia="zh-CN"/>
        </w:rPr>
        <w:t>2023年线下培训增多，导致培训费增加。</w:t>
      </w:r>
    </w:p>
    <w:p>
      <w:pPr>
        <w:pStyle w:val="3"/>
        <w:pageBreakBefore w:val="0"/>
        <w:widowControl/>
        <w:kinsoku/>
        <w:wordWrap/>
        <w:overflowPunct/>
        <w:topLinePunct w:val="0"/>
        <w:autoSpaceDN/>
        <w:bidi w:val="0"/>
        <w:adjustRightInd/>
        <w:spacing w:line="560" w:lineRule="exact"/>
        <w:rPr>
          <w:color w:val="auto"/>
        </w:rPr>
      </w:pPr>
      <w:r>
        <w:rPr>
          <w:rFonts w:hint="eastAsia"/>
          <w:color w:val="auto"/>
        </w:rPr>
        <w:t>（二）机关运行经费情况说明</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按照部门决算列报口径，我单位不在机关运行经费统计范围之内。</w:t>
      </w:r>
    </w:p>
    <w:p>
      <w:pPr>
        <w:pStyle w:val="3"/>
        <w:pageBreakBefore w:val="0"/>
        <w:widowControl/>
        <w:kinsoku/>
        <w:wordWrap/>
        <w:overflowPunct/>
        <w:topLinePunct w:val="0"/>
        <w:autoSpaceDN/>
        <w:bidi w:val="0"/>
        <w:adjustRightInd/>
        <w:spacing w:line="560" w:lineRule="exact"/>
        <w:rPr>
          <w:color w:val="auto"/>
        </w:rPr>
      </w:pPr>
      <w:r>
        <w:rPr>
          <w:rFonts w:hint="eastAsia"/>
          <w:color w:val="auto"/>
        </w:rPr>
        <w:t>（三）国有资产占用情况说明</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截至2023年12月31日，本单位共有车辆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3"/>
        <w:pageBreakBefore w:val="0"/>
        <w:widowControl/>
        <w:kinsoku/>
        <w:wordWrap/>
        <w:overflowPunct/>
        <w:topLinePunct w:val="0"/>
        <w:autoSpaceDN/>
        <w:bidi w:val="0"/>
        <w:adjustRightInd/>
        <w:spacing w:line="560" w:lineRule="exact"/>
        <w:rPr>
          <w:color w:val="auto"/>
        </w:rPr>
      </w:pPr>
      <w:r>
        <w:rPr>
          <w:rFonts w:hint="eastAsia"/>
          <w:color w:val="auto"/>
        </w:rPr>
        <w:t>（四）政府采购支出情况说明</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2023年度我单位未发生政府采购事项，无相关经费支出。</w:t>
      </w:r>
    </w:p>
    <w:p>
      <w:pPr>
        <w:pStyle w:val="2"/>
        <w:pageBreakBefore w:val="0"/>
        <w:widowControl/>
        <w:kinsoku/>
        <w:wordWrap/>
        <w:overflowPunct/>
        <w:topLinePunct w:val="0"/>
        <w:autoSpaceDN/>
        <w:bidi w:val="0"/>
        <w:adjustRightInd/>
        <w:spacing w:line="560" w:lineRule="exact"/>
        <w:rPr>
          <w:color w:val="auto"/>
        </w:rPr>
      </w:pPr>
      <w:r>
        <w:rPr>
          <w:rFonts w:hint="eastAsia"/>
          <w:color w:val="auto"/>
          <w:lang w:eastAsia="zh-CN"/>
        </w:rPr>
        <w:t>五、</w:t>
      </w:r>
      <w:r>
        <w:rPr>
          <w:color w:val="auto"/>
        </w:rPr>
        <w:t>预算绩效管理情况说明</w:t>
      </w:r>
    </w:p>
    <w:p>
      <w:pPr>
        <w:pStyle w:val="3"/>
        <w:pageBreakBefore w:val="0"/>
        <w:widowControl/>
        <w:kinsoku/>
        <w:wordWrap/>
        <w:overflowPunct/>
        <w:topLinePunct w:val="0"/>
        <w:autoSpaceDN/>
        <w:bidi w:val="0"/>
        <w:adjustRightInd/>
        <w:spacing w:line="560" w:lineRule="exact"/>
        <w:rPr>
          <w:color w:val="auto"/>
        </w:rPr>
      </w:pPr>
      <w:r>
        <w:rPr>
          <w:rFonts w:hint="eastAsia"/>
          <w:color w:val="auto"/>
        </w:rPr>
        <w:t>（一）单位自评情况</w:t>
      </w:r>
    </w:p>
    <w:p>
      <w:pPr>
        <w:pStyle w:val="14"/>
        <w:pageBreakBefore w:val="0"/>
        <w:widowControl/>
        <w:kinsoku/>
        <w:wordWrap/>
        <w:overflowPunct/>
        <w:topLinePunct w:val="0"/>
        <w:autoSpaceDE w:val="0"/>
        <w:autoSpaceDN/>
        <w:bidi w:val="0"/>
        <w:adjustRightInd/>
        <w:spacing w:before="0" w:beforeAutospacing="0" w:line="560" w:lineRule="exact"/>
        <w:ind w:firstLine="640" w:firstLineChars="200"/>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根据预算绩效管理要求，我单位对</w:t>
      </w:r>
      <w:r>
        <w:rPr>
          <w:rFonts w:hint="eastAsia" w:ascii="方正仿宋_GBK" w:hAnsi="方正仿宋_GBK" w:eastAsia="方正仿宋_GBK" w:cs="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rPr>
        <w:t>个二级项目开展了绩效自评，涉及财政拨款项目支出资金</w:t>
      </w:r>
      <w:r>
        <w:rPr>
          <w:rFonts w:hint="eastAsia" w:ascii="方正仿宋_GBK" w:hAnsi="方正仿宋_GBK" w:eastAsia="方正仿宋_GBK" w:cs="方正仿宋_GBK"/>
          <w:color w:val="auto"/>
          <w:sz w:val="32"/>
          <w:szCs w:val="32"/>
          <w:shd w:val="clear" w:color="auto" w:fill="FFFFFF"/>
          <w:lang w:val="en-US" w:eastAsia="zh-CN"/>
        </w:rPr>
        <w:t>8</w:t>
      </w:r>
      <w:r>
        <w:rPr>
          <w:rFonts w:hint="eastAsia"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306"/>
        <w:gridCol w:w="767"/>
        <w:gridCol w:w="791"/>
        <w:gridCol w:w="695"/>
        <w:gridCol w:w="887"/>
        <w:gridCol w:w="681"/>
        <w:gridCol w:w="819"/>
        <w:gridCol w:w="559"/>
        <w:gridCol w:w="700"/>
        <w:gridCol w:w="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ascii="微软雅黑" w:hAnsi="微软雅黑" w:eastAsia="微软雅黑" w:cs="微软雅黑"/>
                <w:b/>
                <w:bCs/>
                <w:i w:val="0"/>
                <w:iCs w:val="0"/>
                <w:color w:val="auto"/>
                <w:sz w:val="40"/>
                <w:szCs w:val="40"/>
                <w:u w:val="none"/>
              </w:rPr>
            </w:pPr>
            <w:r>
              <w:rPr>
                <w:rFonts w:hint="eastAsia" w:ascii="微软雅黑" w:hAnsi="微软雅黑" w:eastAsia="微软雅黑" w:cs="微软雅黑"/>
                <w:b/>
                <w:bCs/>
                <w:i w:val="0"/>
                <w:iCs w:val="0"/>
                <w:color w:val="auto"/>
                <w:kern w:val="0"/>
                <w:sz w:val="40"/>
                <w:szCs w:val="40"/>
                <w:u w:val="none"/>
                <w:lang w:val="en-US" w:eastAsia="zh-CN" w:bidi="ar"/>
              </w:rPr>
              <w:t>2023年度项目绩效自评表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项目名称：</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国有企业退休人员社会化管理（市属）（下达镇街）</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项目编码：</w:t>
            </w:r>
          </w:p>
        </w:tc>
        <w:tc>
          <w:tcPr>
            <w:tcW w:w="9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50015323T000003795740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自评总分：</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right"/>
              <w:rPr>
                <w:rFonts w:hint="eastAsia" w:ascii="宋体" w:hAnsi="宋体" w:eastAsia="宋体" w:cs="宋体"/>
                <w:b/>
                <w:bCs/>
                <w:i w:val="0"/>
                <w:iCs w:val="0"/>
                <w:color w:val="auto"/>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项目主管部门：</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901-重庆市荣昌区人民政府昌元街道办事处</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财政归口处室：</w:t>
            </w:r>
          </w:p>
        </w:tc>
        <w:tc>
          <w:tcPr>
            <w:tcW w:w="9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002-预算科</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部门联系人：</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唐菊</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联系电话：</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15023036605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auto"/>
                <w:sz w:val="28"/>
                <w:szCs w:val="28"/>
                <w:u w:val="none"/>
              </w:rPr>
            </w:pPr>
            <w:r>
              <w:rPr>
                <w:rFonts w:hint="eastAsia" w:ascii="微软雅黑" w:hAnsi="微软雅黑" w:eastAsia="微软雅黑" w:cs="微软雅黑"/>
                <w:b/>
                <w:bCs/>
                <w:i w:val="0"/>
                <w:iCs w:val="0"/>
                <w:color w:val="auto"/>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宋体" w:hAnsi="宋体" w:eastAsia="宋体" w:cs="宋体"/>
                <w:i w:val="0"/>
                <w:iCs w:val="0"/>
                <w:color w:val="auto"/>
                <w:sz w:val="16"/>
                <w:szCs w:val="16"/>
                <w:u w:val="none"/>
              </w:rPr>
            </w:pP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年初预算数</w:t>
            </w:r>
          </w:p>
        </w:tc>
        <w:tc>
          <w:tcPr>
            <w:tcW w:w="9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全年（调整）预算数</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全年执行数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执行率</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执行率权重</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年度总金额</w:t>
            </w:r>
          </w:p>
        </w:tc>
        <w:tc>
          <w:tcPr>
            <w:tcW w:w="7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43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45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0.00 </w:t>
            </w:r>
          </w:p>
        </w:tc>
        <w:tc>
          <w:tcPr>
            <w:tcW w:w="3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50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80,020.00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46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80,020.00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right"/>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其中：财政拨款</w:t>
            </w:r>
          </w:p>
        </w:tc>
        <w:tc>
          <w:tcPr>
            <w:tcW w:w="7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43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45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0.00 </w:t>
            </w:r>
          </w:p>
        </w:tc>
        <w:tc>
          <w:tcPr>
            <w:tcW w:w="3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50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80,020.00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46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80,020.00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10.00</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一般公共预算</w:t>
            </w:r>
          </w:p>
        </w:tc>
        <w:tc>
          <w:tcPr>
            <w:tcW w:w="74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43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45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0.00 </w:t>
            </w:r>
          </w:p>
        </w:tc>
        <w:tc>
          <w:tcPr>
            <w:tcW w:w="39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50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80,020.00 </w:t>
            </w:r>
          </w:p>
        </w:tc>
        <w:tc>
          <w:tcPr>
            <w:tcW w:w="38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46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80,020.00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rPr>
                <w:rFonts w:hint="eastAsia" w:ascii="宋体" w:hAnsi="宋体" w:eastAsia="宋体" w:cs="宋体"/>
                <w:i w:val="0"/>
                <w:iCs w:val="0"/>
                <w:color w:val="auto"/>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right"/>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auto"/>
                <w:sz w:val="28"/>
                <w:szCs w:val="28"/>
                <w:u w:val="none"/>
              </w:rPr>
            </w:pPr>
            <w:r>
              <w:rPr>
                <w:rFonts w:hint="eastAsia" w:ascii="微软雅黑" w:hAnsi="微软雅黑" w:eastAsia="微软雅黑" w:cs="微软雅黑"/>
                <w:b/>
                <w:bCs/>
                <w:i w:val="0"/>
                <w:iCs w:val="0"/>
                <w:color w:val="auto"/>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年初绩效目标</w:t>
            </w:r>
          </w:p>
        </w:tc>
        <w:tc>
          <w:tcPr>
            <w:tcW w:w="1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全年（调整）绩效目标</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3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确保国企退休人员社会化管理工作的顺利开展。</w:t>
            </w:r>
          </w:p>
        </w:tc>
        <w:tc>
          <w:tcPr>
            <w:tcW w:w="176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确保国企退休人员社会化管理工作的顺利开展。</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国企退休人员社会化管理工作已顺利开展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
                <w:bCs/>
                <w:i w:val="0"/>
                <w:iCs w:val="0"/>
                <w:color w:val="auto"/>
                <w:sz w:val="28"/>
                <w:szCs w:val="28"/>
                <w:u w:val="none"/>
              </w:rPr>
            </w:pPr>
            <w:r>
              <w:rPr>
                <w:rFonts w:hint="eastAsia" w:ascii="微软雅黑" w:hAnsi="微软雅黑" w:eastAsia="微软雅黑" w:cs="微软雅黑"/>
                <w:b/>
                <w:bCs/>
                <w:i w:val="0"/>
                <w:iCs w:val="0"/>
                <w:color w:val="auto"/>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指标名称</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计量单位</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指标性质</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指标值</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全年完成值</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偏离度（%）</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得分系数（%）</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指标权重</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指标得分</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是否核心指标</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补助标准</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元/月</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hint="eastAsia" w:ascii="宋体" w:hAnsi="宋体" w:eastAsia="宋体" w:cs="宋体"/>
                <w:i w:val="0"/>
                <w:iCs w:val="0"/>
                <w:color w:val="auto"/>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接收退休人员数量</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1427</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1427</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hint="eastAsia" w:ascii="宋体" w:hAnsi="宋体" w:eastAsia="宋体" w:cs="宋体"/>
                <w:i w:val="0"/>
                <w:iCs w:val="0"/>
                <w:color w:val="auto"/>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群众知晓率</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hint="eastAsia" w:ascii="宋体" w:hAnsi="宋体" w:eastAsia="宋体" w:cs="宋体"/>
                <w:i w:val="0"/>
                <w:iCs w:val="0"/>
                <w:color w:val="auto"/>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受益群众满意度</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5.56</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Chars="100"/>
              <w:jc w:val="righ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hint="eastAsia" w:ascii="宋体" w:hAnsi="宋体" w:eastAsia="宋体" w:cs="宋体"/>
                <w:i w:val="0"/>
                <w:iCs w:val="0"/>
                <w:color w:val="auto"/>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hint="eastAsia" w:ascii="宋体" w:hAnsi="宋体" w:eastAsia="宋体" w:cs="宋体"/>
                <w:i w:val="0"/>
                <w:iCs w:val="0"/>
                <w:color w:val="auto"/>
                <w:sz w:val="16"/>
                <w:szCs w:val="16"/>
                <w:u w:val="none"/>
              </w:rPr>
            </w:pPr>
          </w:p>
        </w:tc>
      </w:tr>
    </w:tbl>
    <w:p>
      <w:pPr>
        <w:pStyle w:val="3"/>
        <w:pageBreakBefore w:val="0"/>
        <w:widowControl/>
        <w:kinsoku/>
        <w:wordWrap/>
        <w:overflowPunct/>
        <w:topLinePunct w:val="0"/>
        <w:autoSpaceDN/>
        <w:bidi w:val="0"/>
        <w:adjustRightInd/>
        <w:spacing w:line="560" w:lineRule="exact"/>
        <w:rPr>
          <w:color w:val="auto"/>
        </w:rPr>
      </w:pPr>
      <w:r>
        <w:rPr>
          <w:rFonts w:hint="eastAsia"/>
          <w:color w:val="auto"/>
        </w:rPr>
        <w:t>（二）单位绩效评价情况</w:t>
      </w:r>
    </w:p>
    <w:p>
      <w:pPr>
        <w:pStyle w:val="13"/>
        <w:pageBreakBefore w:val="0"/>
        <w:widowControl/>
        <w:numPr>
          <w:ilvl w:val="0"/>
          <w:numId w:val="0"/>
        </w:numPr>
        <w:kinsoku/>
        <w:wordWrap/>
        <w:overflowPunct/>
        <w:topLinePunct w:val="0"/>
        <w:autoSpaceDE w:val="0"/>
        <w:autoSpaceDN/>
        <w:bidi w:val="0"/>
        <w:adjustRightInd/>
        <w:spacing w:line="560" w:lineRule="exact"/>
        <w:ind w:firstLine="640" w:firstLineChars="200"/>
        <w:outlineLvl w:val="1"/>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我单位未组织开展绩效评价。</w:t>
      </w:r>
    </w:p>
    <w:p>
      <w:pPr>
        <w:pStyle w:val="2"/>
        <w:pageBreakBefore w:val="0"/>
        <w:widowControl/>
        <w:kinsoku/>
        <w:wordWrap/>
        <w:overflowPunct/>
        <w:topLinePunct w:val="0"/>
        <w:autoSpaceDN/>
        <w:bidi w:val="0"/>
        <w:adjustRightInd/>
        <w:spacing w:line="560" w:lineRule="exact"/>
        <w:rPr>
          <w:rFonts w:hint="default"/>
          <w:color w:val="auto"/>
        </w:rPr>
      </w:pPr>
      <w:r>
        <w:rPr>
          <w:color w:val="auto"/>
        </w:rPr>
        <w:t>六、专业名词解释</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（二）事业收入：</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（三）经营收入：</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（四）其他收入：</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（五）使用非财政拨款结余：</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（六）年初结转和结余：</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（七）结余分配：</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（九）基本支出：</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（十）项目支出：</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（十一）经营支出：</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（十二）“三公”经费：</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（十三）机关运行经费：</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（十四）工资福利支出（支出经济分类科目类级）：</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（十五）商品和服务支出（支出经济分类科目类级）：</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（十六）对个人和家庭的补助（支出经济分类科目类级）：</w:t>
      </w:r>
      <w:r>
        <w:rPr>
          <w:rFonts w:ascii="方正仿宋_GBK" w:hAnsi="方正仿宋_GBK" w:eastAsia="方正仿宋_GBK" w:cs="方正仿宋_GBK"/>
          <w:color w:val="auto"/>
          <w:sz w:val="32"/>
          <w:szCs w:val="32"/>
          <w:shd w:val="clear" w:color="auto" w:fill="FFFFFF"/>
        </w:rPr>
        <w:t>反映用于对个人和家庭的补助支出。</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rPr>
      </w:pPr>
      <w:r>
        <w:rPr>
          <w:rStyle w:val="18"/>
          <w:color w:val="auto"/>
        </w:rPr>
        <w:t>（十七）其他资本性支出（支出经济分类科目类级）：</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pageBreakBefore w:val="0"/>
        <w:widowControl/>
        <w:kinsoku/>
        <w:wordWrap/>
        <w:overflowPunct/>
        <w:topLinePunct w:val="0"/>
        <w:autoSpaceDN/>
        <w:bidi w:val="0"/>
        <w:adjustRightInd/>
        <w:spacing w:line="560" w:lineRule="exact"/>
        <w:rPr>
          <w:rFonts w:hint="default"/>
          <w:color w:val="auto"/>
        </w:rPr>
      </w:pPr>
      <w:r>
        <w:rPr>
          <w:color w:val="auto"/>
        </w:rPr>
        <w:t>七、决算公开联系方式及信息反馈渠道</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本单位决算公开信息反馈和联系方式：</w:t>
      </w:r>
    </w:p>
    <w:p>
      <w:pPr>
        <w:pStyle w:val="8"/>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王俊美，联系电话：023-61478264</w:t>
      </w:r>
    </w:p>
    <w:p>
      <w:pPr>
        <w:pStyle w:val="13"/>
        <w:pageBreakBefore w:val="0"/>
        <w:widowControl/>
        <w:kinsoku/>
        <w:wordWrap/>
        <w:overflowPunct/>
        <w:topLinePunct w:val="0"/>
        <w:autoSpaceDE w:val="0"/>
        <w:autoSpaceDN/>
        <w:bidi w:val="0"/>
        <w:adjustRightInd/>
        <w:spacing w:line="560" w:lineRule="exact"/>
        <w:ind w:firstLine="0" w:firstLineChars="0"/>
        <w:rPr>
          <w:rFonts w:hint="eastAsia"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9"/>
        <w:tblW w:w="5043" w:type="pct"/>
        <w:tblInd w:w="0" w:type="dxa"/>
        <w:shd w:val="clear" w:color="auto" w:fill="auto"/>
        <w:tblLayout w:type="fixed"/>
        <w:tblCellMar>
          <w:top w:w="0" w:type="dxa"/>
          <w:left w:w="0" w:type="dxa"/>
          <w:bottom w:w="0" w:type="dxa"/>
          <w:right w:w="0" w:type="dxa"/>
        </w:tblCellMar>
      </w:tblPr>
      <w:tblGrid>
        <w:gridCol w:w="3946"/>
        <w:gridCol w:w="1132"/>
        <w:gridCol w:w="2400"/>
        <w:gridCol w:w="1146"/>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22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rPr>
                <w:rFonts w:hint="default" w:ascii="Arial" w:hAnsi="Arial" w:cs="Arial"/>
                <w:color w:val="000000"/>
                <w:sz w:val="20"/>
                <w:szCs w:val="20"/>
              </w:rPr>
            </w:pPr>
          </w:p>
        </w:tc>
        <w:tc>
          <w:tcPr>
            <w:tcW w:w="139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ascii="Arial" w:hAnsi="Arial" w:cs="Arial"/>
                <w:color w:val="000000"/>
                <w:sz w:val="20"/>
                <w:szCs w:val="20"/>
              </w:rPr>
            </w:pPr>
          </w:p>
        </w:tc>
        <w:tc>
          <w:tcPr>
            <w:tcW w:w="66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公开01表</w:t>
            </w:r>
          </w:p>
        </w:tc>
      </w:tr>
      <w:tr>
        <w:tblPrEx>
          <w:shd w:val="clear" w:color="auto" w:fill="auto"/>
          <w:tblCellMar>
            <w:top w:w="0" w:type="dxa"/>
            <w:left w:w="0" w:type="dxa"/>
            <w:bottom w:w="0" w:type="dxa"/>
            <w:right w:w="0" w:type="dxa"/>
          </w:tblCellMar>
        </w:tblPrEx>
        <w:trPr>
          <w:trHeight w:val="232" w:hRule="atLeast"/>
        </w:trPr>
        <w:tc>
          <w:tcPr>
            <w:tcW w:w="22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textAlignment w:val="bottom"/>
              <w:rPr>
                <w:rFonts w:hint="default" w:cs="宋体"/>
                <w:color w:val="000000"/>
                <w:sz w:val="20"/>
                <w:szCs w:val="20"/>
              </w:rPr>
            </w:pPr>
            <w:r>
              <w:rPr>
                <w:rFonts w:cs="宋体"/>
                <w:sz w:val="20"/>
                <w:szCs w:val="20"/>
              </w:rPr>
              <w:t>公开单位：</w:t>
            </w:r>
            <w:r>
              <w:rPr>
                <w:sz w:val="20"/>
                <w:u w:color="auto"/>
              </w:rPr>
              <w:t>重庆市荣昌区昌元街道劳动就业和社会保障服务所</w:t>
            </w:r>
          </w:p>
        </w:tc>
        <w:tc>
          <w:tcPr>
            <w:tcW w:w="65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rPr>
                <w:rFonts w:hint="default" w:ascii="Arial" w:hAnsi="Arial" w:cs="Arial"/>
                <w:color w:val="000000"/>
                <w:sz w:val="22"/>
                <w:szCs w:val="22"/>
              </w:rPr>
            </w:pPr>
          </w:p>
        </w:tc>
        <w:tc>
          <w:tcPr>
            <w:tcW w:w="139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ascii="Arial" w:hAnsi="Arial" w:cs="Arial"/>
                <w:color w:val="000000"/>
                <w:sz w:val="22"/>
                <w:szCs w:val="22"/>
              </w:rPr>
            </w:pPr>
          </w:p>
        </w:tc>
        <w:tc>
          <w:tcPr>
            <w:tcW w:w="66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243" w:hRule="atLeast"/>
        </w:trPr>
        <w:tc>
          <w:tcPr>
            <w:tcW w:w="29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收入</w:t>
            </w:r>
          </w:p>
        </w:tc>
        <w:tc>
          <w:tcPr>
            <w:tcW w:w="205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支出</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决算数</w:t>
            </w: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功能分类科目</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决算数</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161.39</w:t>
            </w:r>
            <w:r>
              <w:rPr>
                <w:color w:val="000000"/>
                <w:sz w:val="20"/>
                <w:u w:color="auto"/>
              </w:rPr>
              <w:t xml:space="preserve"> </w:t>
            </w: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一、一般公共服务支出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二、外交支出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三、国防支出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四、公共安全支出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五、教育支出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六、科学技术支出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七、文化旅游体育与传媒支出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八、社会保障和就业支出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150.23</w:t>
            </w: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rPr>
                <w:rFonts w:hint="default" w:ascii="Arial" w:hAnsi="Arial" w:cs="Arial"/>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九、卫生健康支出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5.62</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rPr>
                <w:rFonts w:hint="default" w:ascii="Arial" w:hAnsi="Arial" w:cs="Arial"/>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十、节能环保支出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rPr>
                <w:rFonts w:hint="default" w:ascii="Arial" w:hAnsi="Arial" w:cs="Arial"/>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十一、城乡社区支出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rPr>
                <w:rFonts w:hint="default" w:ascii="Arial" w:hAnsi="Arial" w:cs="Arial"/>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十二、农林水支出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十三、交通运输支出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十四、资源勘探工业信息等支出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十五、商业服务业等支出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十六、金融支出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十七、援助其他地区支出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十八、自然资源海洋气象等支出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十九、住房保障支出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5.55</w:t>
            </w: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二十、粮油物资储备支出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二十一、国有资本经营预算支出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二十二、灾害防治及应急管理支出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二十三、其他支出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二十四、债务还本支出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二十五、债务付息支出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20"/>
                <w:szCs w:val="20"/>
              </w:rPr>
            </w:pP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二十六、抗疫特别国债安排的支出</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161.39</w:t>
            </w:r>
            <w:r>
              <w:rPr>
                <w:color w:val="000000"/>
                <w:sz w:val="20"/>
                <w:u w:color="auto"/>
              </w:rPr>
              <w:t xml:space="preserve"> </w:t>
            </w: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本年支出合计</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161.39</w:t>
            </w: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结余分配</w:t>
            </w:r>
          </w:p>
        </w:tc>
        <w:tc>
          <w:tcPr>
            <w:tcW w:w="6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13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年末结转和结余</w:t>
            </w:r>
          </w:p>
        </w:tc>
        <w:tc>
          <w:tcPr>
            <w:tcW w:w="66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53" w:hRule="atLeast"/>
        </w:trPr>
        <w:tc>
          <w:tcPr>
            <w:tcW w:w="2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161.39</w:t>
            </w:r>
            <w:r>
              <w:rPr>
                <w:color w:val="000000"/>
                <w:sz w:val="20"/>
                <w:u w:color="auto"/>
              </w:rPr>
              <w:t xml:space="preserve"> </w:t>
            </w:r>
          </w:p>
        </w:tc>
        <w:tc>
          <w:tcPr>
            <w:tcW w:w="1391"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总计</w:t>
            </w:r>
          </w:p>
        </w:tc>
        <w:tc>
          <w:tcPr>
            <w:tcW w:w="6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161.39</w:t>
            </w:r>
            <w:r>
              <w:rPr>
                <w:color w:val="000000"/>
                <w:sz w:val="20"/>
                <w:u w:color="auto"/>
              </w:rPr>
              <w:t xml:space="preserve"> </w:t>
            </w:r>
          </w:p>
        </w:tc>
      </w:tr>
    </w:tbl>
    <w:p>
      <w:pPr>
        <w:keepNext w:val="0"/>
        <w:keepLines w:val="0"/>
        <w:pageBreakBefore w:val="0"/>
        <w:widowControl/>
        <w:kinsoku/>
        <w:overflowPunct/>
        <w:topLinePunct w:val="0"/>
        <w:autoSpaceDE/>
        <w:autoSpaceDN/>
        <w:bidi w:val="0"/>
        <w:adjustRightInd/>
        <w:snapToGrid/>
        <w:spacing w:line="400" w:lineRule="exact"/>
        <w:rPr>
          <w:rFonts w:cs="宋体"/>
          <w:sz w:val="20"/>
          <w:szCs w:val="20"/>
        </w:rPr>
        <w:sectPr>
          <w:headerReference r:id="rId4" w:type="default"/>
          <w:footerReference r:id="rId5" w:type="default"/>
          <w:pgSz w:w="11907" w:h="16839"/>
          <w:pgMar w:top="590" w:right="1800" w:bottom="1440" w:left="1587" w:header="0" w:footer="283" w:gutter="0"/>
          <w:pgBorders>
            <w:top w:val="none" w:sz="0" w:space="0"/>
            <w:left w:val="none" w:sz="0" w:space="0"/>
            <w:bottom w:val="none" w:sz="0" w:space="0"/>
            <w:right w:val="none" w:sz="0" w:space="0"/>
          </w:pgBorders>
          <w:pgNumType w:fmt="numberInDash"/>
          <w:cols w:space="720" w:num="1"/>
          <w:docGrid w:type="lines" w:linePitch="326" w:charSpace="0"/>
        </w:sect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4999" w:type="pct"/>
        <w:tblInd w:w="0" w:type="dxa"/>
        <w:shd w:val="clear" w:color="auto" w:fill="auto"/>
        <w:tblLayout w:type="fixed"/>
        <w:tblCellMar>
          <w:top w:w="0" w:type="dxa"/>
          <w:left w:w="0" w:type="dxa"/>
          <w:bottom w:w="0" w:type="dxa"/>
          <w:right w:w="0" w:type="dxa"/>
        </w:tblCellMar>
      </w:tblPr>
      <w:tblGrid>
        <w:gridCol w:w="947"/>
        <w:gridCol w:w="1763"/>
        <w:gridCol w:w="685"/>
        <w:gridCol w:w="685"/>
        <w:gridCol w:w="685"/>
        <w:gridCol w:w="685"/>
        <w:gridCol w:w="760"/>
        <w:gridCol w:w="727"/>
        <w:gridCol w:w="800"/>
        <w:gridCol w:w="812"/>
      </w:tblGrid>
      <w:tr>
        <w:tblPrEx>
          <w:shd w:val="clear" w:color="auto" w:fill="auto"/>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3187" w:type="pct"/>
            <w:gridSpan w:val="6"/>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r>
              <w:rPr>
                <w:rFonts w:cs="宋体"/>
                <w:sz w:val="20"/>
                <w:szCs w:val="20"/>
              </w:rPr>
              <w:t>公开单位：</w:t>
            </w:r>
            <w:r>
              <w:rPr>
                <w:sz w:val="20"/>
                <w:u w:color="auto"/>
              </w:rPr>
              <w:t>重庆市荣昌区昌元街道劳动就业和社会保障服务所</w:t>
            </w:r>
          </w:p>
        </w:tc>
        <w:tc>
          <w:tcPr>
            <w:tcW w:w="44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1367"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公开02表</w:t>
            </w:r>
          </w:p>
        </w:tc>
      </w:tr>
      <w:tr>
        <w:tblPrEx>
          <w:shd w:val="clear" w:color="auto" w:fill="auto"/>
          <w:tblCellMar>
            <w:top w:w="0" w:type="dxa"/>
            <w:left w:w="0" w:type="dxa"/>
            <w:bottom w:w="0" w:type="dxa"/>
            <w:right w:w="0" w:type="dxa"/>
          </w:tblCellMar>
        </w:tblPrEx>
        <w:trPr>
          <w:trHeight w:val="328" w:hRule="atLeast"/>
        </w:trPr>
        <w:tc>
          <w:tcPr>
            <w:tcW w:w="3187" w:type="pct"/>
            <w:gridSpan w:val="6"/>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1367"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center"/>
              <w:textAlignment w:val="bottom"/>
              <w:rPr>
                <w:rFonts w:hint="default" w:cs="宋体"/>
                <w:b/>
                <w:color w:val="000000"/>
                <w:sz w:val="20"/>
                <w:szCs w:val="20"/>
              </w:rPr>
            </w:pPr>
            <w:r>
              <w:rPr>
                <w:rFonts w:cs="宋体"/>
                <w:b/>
                <w:color w:val="000000"/>
                <w:sz w:val="20"/>
                <w:szCs w:val="20"/>
              </w:rPr>
              <w:t>项目</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本年收入合计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财政拨款收入</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经营收入</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其他收入</w:t>
            </w:r>
          </w:p>
        </w:tc>
      </w:tr>
      <w:tr>
        <w:tblPrEx>
          <w:shd w:val="clear" w:color="auto" w:fill="auto"/>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合计</w:t>
            </w:r>
          </w:p>
        </w:tc>
        <w:tc>
          <w:tcPr>
            <w:tcW w:w="4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bCs/>
                <w:color w:val="000000"/>
                <w:sz w:val="20"/>
                <w:szCs w:val="20"/>
              </w:rPr>
              <w:t>161.39</w:t>
            </w:r>
            <w:r>
              <w:rPr>
                <w:b/>
                <w:color w:val="000000"/>
                <w:sz w:val="20"/>
                <w:u w:color="auto"/>
              </w:rPr>
              <w:t xml:space="preserve"> </w:t>
            </w:r>
          </w:p>
        </w:tc>
        <w:tc>
          <w:tcPr>
            <w:tcW w:w="4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bCs/>
                <w:color w:val="000000"/>
                <w:sz w:val="20"/>
                <w:szCs w:val="20"/>
              </w:rPr>
              <w:t>161.39</w:t>
            </w:r>
            <w:r>
              <w:rPr>
                <w:b/>
                <w:color w:val="000000"/>
                <w:sz w:val="20"/>
                <w:u w:color="auto"/>
              </w:rPr>
              <w:t xml:space="preserve"> </w:t>
            </w:r>
          </w:p>
        </w:tc>
        <w:tc>
          <w:tcPr>
            <w:tcW w:w="4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c>
          <w:tcPr>
            <w:tcW w:w="4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c>
          <w:tcPr>
            <w:tcW w:w="4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社会保障和就业支出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150.23</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150.23</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20801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人力资源和社会保障管理事务</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126.75</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126.75</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2080150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事业运行</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118.75</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118.75</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其他人力资源和社会保障管理事务支出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行政事业单位养老支出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23.47</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23.47</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7.46</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7.46</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机关事业单位职业年金缴费支出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12.96</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12.96</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其他行政事业单位养老支出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3.05</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3.05</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卫生健康支出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5.62</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5.62</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行政事业单位医疗</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5.62</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5.62</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事业单位医疗</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3.96</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3.96</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其他行政事业单位医疗支出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1.66</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1.66</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住房保障支出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5.55</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5.55</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住房改革支出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5.55</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5.55</w:t>
            </w:r>
            <w:r>
              <w:rPr>
                <w:b/>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住房公积金</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5.55</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5.55</w:t>
            </w: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bl>
    <w:p>
      <w:pPr>
        <w:keepNext w:val="0"/>
        <w:keepLines w:val="0"/>
        <w:pageBreakBefore w:val="0"/>
        <w:widowControl/>
        <w:kinsoku/>
        <w:overflowPunct/>
        <w:topLinePunct w:val="0"/>
        <w:autoSpaceDE/>
        <w:autoSpaceDN/>
        <w:bidi w:val="0"/>
        <w:adjustRightInd/>
        <w:snapToGrid/>
        <w:spacing w:line="400" w:lineRule="exact"/>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E/>
        <w:autoSpaceDN/>
        <w:bidi w:val="0"/>
        <w:adjustRightInd/>
        <w:snapToGrid/>
        <w:spacing w:line="400" w:lineRule="exact"/>
        <w:rPr>
          <w:rFonts w:hint="default" w:cs="宋体"/>
          <w:sz w:val="20"/>
          <w:szCs w:val="20"/>
        </w:rPr>
      </w:pPr>
      <w:r>
        <w:rPr>
          <w:rFonts w:cs="宋体"/>
          <w:sz w:val="20"/>
          <w:szCs w:val="20"/>
        </w:rPr>
        <w:br w:type="page"/>
      </w:r>
    </w:p>
    <w:tbl>
      <w:tblPr>
        <w:tblStyle w:val="9"/>
        <w:tblW w:w="5000" w:type="pct"/>
        <w:tblInd w:w="0" w:type="dxa"/>
        <w:shd w:val="clear" w:color="auto" w:fill="auto"/>
        <w:tblLayout w:type="fixed"/>
        <w:tblCellMar>
          <w:top w:w="0" w:type="dxa"/>
          <w:left w:w="0" w:type="dxa"/>
          <w:bottom w:w="0" w:type="dxa"/>
          <w:right w:w="0" w:type="dxa"/>
        </w:tblCellMar>
      </w:tblPr>
      <w:tblGrid>
        <w:gridCol w:w="1015"/>
        <w:gridCol w:w="2891"/>
        <w:gridCol w:w="968"/>
        <w:gridCol w:w="736"/>
        <w:gridCol w:w="750"/>
        <w:gridCol w:w="600"/>
        <w:gridCol w:w="573"/>
        <w:gridCol w:w="1017"/>
      </w:tblGrid>
      <w:tr>
        <w:tblPrEx>
          <w:shd w:val="clear" w:color="auto" w:fill="auto"/>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center"/>
              <w:textAlignment w:val="bottom"/>
              <w:rPr>
                <w:rFonts w:hint="default" w:cs="宋体"/>
                <w:b/>
                <w:color w:val="000000"/>
                <w:sz w:val="32"/>
                <w:szCs w:val="32"/>
              </w:rPr>
            </w:pPr>
            <w:r>
              <w:rPr>
                <w:rFonts w:cs="宋体"/>
                <w:b/>
                <w:color w:val="000000"/>
                <w:sz w:val="32"/>
                <w:szCs w:val="32"/>
              </w:rPr>
              <w:t>支出决算表</w:t>
            </w:r>
          </w:p>
        </w:tc>
      </w:tr>
      <w:tr>
        <w:tblPrEx>
          <w:shd w:val="clear" w:color="auto" w:fill="auto"/>
          <w:tblCellMar>
            <w:top w:w="0" w:type="dxa"/>
            <w:left w:w="0" w:type="dxa"/>
            <w:bottom w:w="0" w:type="dxa"/>
            <w:right w:w="0" w:type="dxa"/>
          </w:tblCellMar>
        </w:tblPrEx>
        <w:trPr>
          <w:trHeight w:val="486" w:hRule="atLeast"/>
        </w:trPr>
        <w:tc>
          <w:tcPr>
            <w:tcW w:w="3280" w:type="pct"/>
            <w:gridSpan w:val="4"/>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 xml:space="preserve">重庆市荣昌区昌元街道劳动就业和社会保障服务所 </w:t>
            </w:r>
          </w:p>
        </w:tc>
        <w:tc>
          <w:tcPr>
            <w:tcW w:w="43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35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3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公开03表</w:t>
            </w:r>
          </w:p>
        </w:tc>
      </w:tr>
      <w:tr>
        <w:tblPrEx>
          <w:shd w:val="clear" w:color="auto" w:fill="auto"/>
          <w:tblCellMar>
            <w:top w:w="0" w:type="dxa"/>
            <w:left w:w="0" w:type="dxa"/>
            <w:bottom w:w="0" w:type="dxa"/>
            <w:right w:w="0" w:type="dxa"/>
          </w:tblCellMar>
        </w:tblPrEx>
        <w:trPr>
          <w:trHeight w:val="390" w:hRule="atLeast"/>
        </w:trPr>
        <w:tc>
          <w:tcPr>
            <w:tcW w:w="3280" w:type="pct"/>
            <w:gridSpan w:val="4"/>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35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3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362" w:hRule="atLeast"/>
        </w:trPr>
        <w:tc>
          <w:tcPr>
            <w:tcW w:w="2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center"/>
              <w:textAlignment w:val="bottom"/>
              <w:rPr>
                <w:rFonts w:hint="default" w:cs="宋体"/>
                <w:b/>
                <w:color w:val="000000"/>
                <w:sz w:val="20"/>
                <w:szCs w:val="20"/>
              </w:rPr>
            </w:pPr>
            <w:r>
              <w:rPr>
                <w:rFonts w:cs="宋体"/>
                <w:b/>
                <w:color w:val="000000"/>
                <w:sz w:val="20"/>
                <w:szCs w:val="20"/>
              </w:rPr>
              <w:t>项目</w:t>
            </w:r>
          </w:p>
        </w:tc>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本年支出合计</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基本支出</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项目支出</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上缴上级支出</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经营支出</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对附属单位补助支出</w:t>
            </w:r>
          </w:p>
        </w:tc>
      </w:tr>
      <w:tr>
        <w:tblPrEx>
          <w:shd w:val="clear" w:color="auto" w:fill="auto"/>
          <w:tblCellMar>
            <w:top w:w="0" w:type="dxa"/>
            <w:left w:w="0" w:type="dxa"/>
            <w:bottom w:w="0" w:type="dxa"/>
            <w:right w:w="0" w:type="dxa"/>
          </w:tblCellMar>
        </w:tblPrEx>
        <w:trPr>
          <w:trHeight w:val="338" w:hRule="atLeast"/>
        </w:trPr>
        <w:tc>
          <w:tcPr>
            <w:tcW w:w="59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69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8" w:hRule="atLeast"/>
        </w:trPr>
        <w:tc>
          <w:tcPr>
            <w:tcW w:w="59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6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8" w:hRule="atLeast"/>
        </w:trPr>
        <w:tc>
          <w:tcPr>
            <w:tcW w:w="59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6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8" w:hRule="atLeast"/>
        </w:trPr>
        <w:tc>
          <w:tcPr>
            <w:tcW w:w="59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6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62" w:hRule="atLeast"/>
        </w:trPr>
        <w:tc>
          <w:tcPr>
            <w:tcW w:w="22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合计</w:t>
            </w:r>
          </w:p>
        </w:tc>
        <w:tc>
          <w:tcPr>
            <w:tcW w:w="5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bCs/>
                <w:color w:val="000000"/>
                <w:sz w:val="20"/>
                <w:szCs w:val="20"/>
              </w:rPr>
              <w:t>161.39</w:t>
            </w:r>
            <w:r>
              <w:rPr>
                <w:b/>
                <w:color w:val="000000"/>
                <w:sz w:val="20"/>
                <w:u w:color="auto"/>
              </w:rPr>
              <w:t xml:space="preserve"> </w:t>
            </w:r>
          </w:p>
        </w:tc>
        <w:tc>
          <w:tcPr>
            <w:tcW w:w="4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bCs/>
                <w:color w:val="000000"/>
                <w:sz w:val="20"/>
                <w:szCs w:val="20"/>
              </w:rPr>
              <w:t>153.39</w:t>
            </w:r>
            <w:r>
              <w:rPr>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bCs/>
                <w:color w:val="000000"/>
                <w:sz w:val="20"/>
                <w:szCs w:val="20"/>
              </w:rPr>
              <w:t>8.00</w:t>
            </w:r>
            <w:r>
              <w:rPr>
                <w:b/>
                <w:color w:val="000000"/>
                <w:sz w:val="20"/>
                <w:u w:color="auto"/>
              </w:rPr>
              <w:t xml:space="preserve"> </w:t>
            </w:r>
          </w:p>
        </w:tc>
        <w:tc>
          <w:tcPr>
            <w:tcW w:w="3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c>
          <w:tcPr>
            <w:tcW w:w="3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208</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社会保障和就业支出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150.23</w:t>
            </w:r>
            <w:r>
              <w:rPr>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142.22</w:t>
            </w:r>
            <w:r>
              <w:rPr>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8.00</w:t>
            </w:r>
            <w:r>
              <w:rPr>
                <w:b/>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20801</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人力资源和社会保障管理事务</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126.75</w:t>
            </w:r>
            <w:r>
              <w:rPr>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118.75</w:t>
            </w:r>
            <w:r>
              <w:rPr>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8.00</w:t>
            </w:r>
            <w:r>
              <w:rPr>
                <w:b/>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2080150</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事业运行</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118.75</w:t>
            </w:r>
            <w:r>
              <w:rPr>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118.75</w:t>
            </w:r>
            <w:r>
              <w:rPr>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2080199</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其他人力资源和社会保障管理事务支出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8.00</w:t>
            </w:r>
            <w:r>
              <w:rPr>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20805</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行政事业单位养老支出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23.47</w:t>
            </w:r>
            <w:r>
              <w:rPr>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23.47</w:t>
            </w:r>
            <w:r>
              <w:rPr>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2080505</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7.46</w:t>
            </w:r>
            <w:r>
              <w:rPr>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7.46</w:t>
            </w:r>
            <w:r>
              <w:rPr>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2080506</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机关事业单位职业年金缴费支出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12.96</w:t>
            </w:r>
            <w:r>
              <w:rPr>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12.96</w:t>
            </w:r>
            <w:r>
              <w:rPr>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2080599</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其他行政事业单位养老支出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3.05</w:t>
            </w:r>
            <w:r>
              <w:rPr>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3.05</w:t>
            </w:r>
            <w:r>
              <w:rPr>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210</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卫生健康支出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5.62</w:t>
            </w:r>
            <w:r>
              <w:rPr>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5.62</w:t>
            </w:r>
            <w:r>
              <w:rPr>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21011</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行政事业单位医疗</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5.62</w:t>
            </w:r>
            <w:r>
              <w:rPr>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5.62</w:t>
            </w:r>
            <w:r>
              <w:rPr>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2101102</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事业单位医疗</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3.96</w:t>
            </w:r>
            <w:r>
              <w:rPr>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3.96</w:t>
            </w:r>
            <w:r>
              <w:rPr>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2101199</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其他行政事业单位医疗支出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1.66</w:t>
            </w:r>
            <w:r>
              <w:rPr>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1.66</w:t>
            </w:r>
            <w:r>
              <w:rPr>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221</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住房保障支出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5.55</w:t>
            </w:r>
            <w:r>
              <w:rPr>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5.55</w:t>
            </w:r>
            <w:r>
              <w:rPr>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22102</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住房改革支出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5.55</w:t>
            </w:r>
            <w:r>
              <w:rPr>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b/>
                <w:color w:val="000000"/>
                <w:sz w:val="20"/>
                <w:szCs w:val="20"/>
              </w:rPr>
              <w:t>5.55</w:t>
            </w:r>
            <w:r>
              <w:rPr>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2210201</w:t>
            </w:r>
          </w:p>
        </w:tc>
        <w:tc>
          <w:tcPr>
            <w:tcW w:w="16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住房公积金</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5.55</w:t>
            </w:r>
            <w:r>
              <w:rPr>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rFonts w:cs="宋体"/>
                <w:color w:val="000000"/>
                <w:sz w:val="20"/>
                <w:szCs w:val="20"/>
              </w:rPr>
              <w:t>5.55</w:t>
            </w:r>
            <w:r>
              <w:rPr>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20"/>
                <w:szCs w:val="20"/>
              </w:rPr>
            </w:pPr>
            <w:r>
              <w:rPr>
                <w:color w:val="000000"/>
                <w:sz w:val="20"/>
                <w:u w:color="auto"/>
              </w:rPr>
              <w:t xml:space="preserve"> </w:t>
            </w:r>
          </w:p>
        </w:tc>
      </w:tr>
    </w:tbl>
    <w:p>
      <w:pPr>
        <w:keepNext w:val="0"/>
        <w:keepLines w:val="0"/>
        <w:pageBreakBefore w:val="0"/>
        <w:widowControl/>
        <w:kinsoku/>
        <w:overflowPunct/>
        <w:topLinePunct w:val="0"/>
        <w:autoSpaceDE/>
        <w:autoSpaceDN/>
        <w:bidi w:val="0"/>
        <w:adjustRightInd/>
        <w:snapToGrid/>
        <w:spacing w:line="400" w:lineRule="exact"/>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E/>
        <w:autoSpaceDN/>
        <w:bidi w:val="0"/>
        <w:adjustRightInd/>
        <w:snapToGrid/>
        <w:spacing w:line="400" w:lineRule="exact"/>
        <w:rPr>
          <w:rFonts w:hint="default" w:cs="宋体"/>
          <w:sz w:val="21"/>
          <w:szCs w:val="21"/>
        </w:rPr>
      </w:pPr>
      <w:r>
        <w:rPr>
          <w:rFonts w:cs="宋体"/>
          <w:sz w:val="21"/>
          <w:szCs w:val="21"/>
        </w:rPr>
        <w:br w:type="page"/>
      </w:r>
    </w:p>
    <w:tbl>
      <w:tblPr>
        <w:tblStyle w:val="9"/>
        <w:tblW w:w="4925" w:type="pct"/>
        <w:tblInd w:w="0" w:type="dxa"/>
        <w:shd w:val="clear" w:color="auto" w:fill="auto"/>
        <w:tblLayout w:type="fixed"/>
        <w:tblCellMar>
          <w:top w:w="0" w:type="dxa"/>
          <w:left w:w="0" w:type="dxa"/>
          <w:bottom w:w="0" w:type="dxa"/>
          <w:right w:w="0" w:type="dxa"/>
        </w:tblCellMar>
      </w:tblPr>
      <w:tblGrid>
        <w:gridCol w:w="2528"/>
        <w:gridCol w:w="780"/>
        <w:gridCol w:w="2283"/>
        <w:gridCol w:w="685"/>
        <w:gridCol w:w="793"/>
        <w:gridCol w:w="655"/>
        <w:gridCol w:w="698"/>
      </w:tblGrid>
      <w:tr>
        <w:tblPrEx>
          <w:shd w:val="clear" w:color="auto" w:fill="auto"/>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1963" w:type="pct"/>
            <w:gridSpan w:val="2"/>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重庆市荣昌区昌元街道劳动就业和社会保障服务所</w:t>
            </w:r>
          </w:p>
        </w:tc>
        <w:tc>
          <w:tcPr>
            <w:tcW w:w="13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274"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公开04表</w:t>
            </w:r>
          </w:p>
        </w:tc>
      </w:tr>
      <w:tr>
        <w:tblPrEx>
          <w:shd w:val="clear" w:color="auto" w:fill="auto"/>
          <w:tblCellMar>
            <w:top w:w="0" w:type="dxa"/>
            <w:left w:w="0" w:type="dxa"/>
            <w:bottom w:w="0" w:type="dxa"/>
            <w:right w:w="0" w:type="dxa"/>
          </w:tblCellMar>
        </w:tblPrEx>
        <w:trPr>
          <w:trHeight w:val="90" w:hRule="atLeast"/>
        </w:trPr>
        <w:tc>
          <w:tcPr>
            <w:tcW w:w="1963" w:type="pct"/>
            <w:gridSpan w:val="2"/>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274"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355" w:hRule="atLeast"/>
        </w:trPr>
        <w:tc>
          <w:tcPr>
            <w:tcW w:w="19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收     入</w:t>
            </w:r>
          </w:p>
        </w:tc>
        <w:tc>
          <w:tcPr>
            <w:tcW w:w="3036"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支     出</w:t>
            </w:r>
          </w:p>
        </w:tc>
      </w:tr>
      <w:tr>
        <w:tblPrEx>
          <w:shd w:val="clear" w:color="auto" w:fill="auto"/>
          <w:tblCellMar>
            <w:top w:w="0" w:type="dxa"/>
            <w:left w:w="0" w:type="dxa"/>
            <w:bottom w:w="0" w:type="dxa"/>
            <w:right w:w="0" w:type="dxa"/>
          </w:tblCellMar>
        </w:tblPrEx>
        <w:trPr>
          <w:trHeight w:val="90" w:hRule="atLeast"/>
        </w:trPr>
        <w:tc>
          <w:tcPr>
            <w:tcW w:w="15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项目</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决算数</w:t>
            </w:r>
          </w:p>
        </w:tc>
        <w:tc>
          <w:tcPr>
            <w:tcW w:w="13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功能分类科目</w:t>
            </w:r>
          </w:p>
        </w:tc>
        <w:tc>
          <w:tcPr>
            <w:tcW w:w="1680"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5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18"/>
                <w:szCs w:val="18"/>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18"/>
                <w:szCs w:val="18"/>
              </w:rPr>
            </w:pPr>
          </w:p>
        </w:tc>
        <w:tc>
          <w:tcPr>
            <w:tcW w:w="13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18"/>
                <w:szCs w:val="18"/>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小计</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4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一、一般公共预算财政拨款</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hint="default" w:cs="宋体"/>
                <w:color w:val="000000"/>
                <w:sz w:val="18"/>
                <w:szCs w:val="18"/>
              </w:rPr>
              <w:t>161.39</w:t>
            </w:r>
            <w:r>
              <w:rPr>
                <w:rFonts w:hint="eastAsia" w:cs="宋体"/>
                <w:color w:val="000000"/>
                <w:sz w:val="18"/>
                <w:szCs w:val="18"/>
                <w:lang w:val="en-US" w:eastAsia="zh-CN"/>
              </w:rPr>
              <w:t xml:space="preserve"> </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一、一般公共服务支出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二、政府性基金预算财政拨款</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二、外交支出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三、国有资本经营预算财政拨款</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三、国防支出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四、公共安全支出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五、教育支出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六、科学技术支出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七、文化旅游体育与传媒支出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八、社会保障和就业支出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hint="default" w:cs="宋体"/>
                <w:color w:val="000000"/>
                <w:sz w:val="18"/>
                <w:szCs w:val="18"/>
              </w:rPr>
              <w:t xml:space="preserve">150.23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hint="default" w:cs="宋体"/>
                <w:color w:val="000000"/>
                <w:sz w:val="18"/>
                <w:szCs w:val="18"/>
              </w:rPr>
              <w:t xml:space="preserve">150.23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九、卫生健康支出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hint="default" w:cs="宋体"/>
                <w:color w:val="000000"/>
                <w:sz w:val="18"/>
                <w:szCs w:val="18"/>
              </w:rPr>
              <w:t xml:space="preserve">5.62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hint="default" w:cs="宋体"/>
                <w:color w:val="000000"/>
                <w:sz w:val="18"/>
                <w:szCs w:val="18"/>
              </w:rPr>
              <w:t xml:space="preserve">5.62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十、节能环保支出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十一、城乡社区支出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十二、农林水支出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十三、交通运输支出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十四、资源勘探工业信息等支出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十五、商业服务业等支出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十六、金融支出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十七、援助其他地区支出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十八、自然资源海洋气象等支出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十九、住房保障支出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hint="default" w:cs="宋体"/>
                <w:color w:val="000000"/>
                <w:sz w:val="18"/>
                <w:szCs w:val="18"/>
              </w:rPr>
              <w:t xml:space="preserve">5.55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hint="default" w:cs="宋体"/>
                <w:color w:val="000000"/>
                <w:sz w:val="18"/>
                <w:szCs w:val="18"/>
              </w:rPr>
              <w:t xml:space="preserve">5.55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二十、粮油物资储备支出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二十一、国有资本经营预算支出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二十二、灾害防治及应急管理支出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二十三、其他支出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二十四、债务还本支出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二十五、债务付息支出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二十六、抗疫特别国债安排的支出</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shd w:val="clear" w:color="auto" w:fill="auto"/>
          <w:tblCellMar>
            <w:top w:w="0" w:type="dxa"/>
            <w:left w:w="0" w:type="dxa"/>
            <w:bottom w:w="0" w:type="dxa"/>
            <w:right w:w="0" w:type="dxa"/>
          </w:tblCellMar>
        </w:tblPrEx>
        <w:trPr>
          <w:trHeight w:val="375"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本年收入合计</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161.39</w:t>
            </w:r>
            <w:r>
              <w:rPr>
                <w:color w:val="000000"/>
                <w:sz w:val="18"/>
                <w:u w:color="auto"/>
              </w:rPr>
              <w:t xml:space="preserve"> </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本年支出合计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eastAsia="宋体" w:cs="宋体"/>
                <w:color w:val="000000"/>
                <w:sz w:val="18"/>
                <w:szCs w:val="18"/>
                <w:lang w:val="en-US" w:eastAsia="zh-CN"/>
              </w:rPr>
            </w:pPr>
            <w:r>
              <w:rPr>
                <w:rFonts w:hint="default" w:cs="宋体"/>
                <w:color w:val="000000"/>
                <w:sz w:val="18"/>
                <w:szCs w:val="18"/>
              </w:rPr>
              <w:t>161.39</w:t>
            </w:r>
            <w:r>
              <w:rPr>
                <w:rFonts w:hint="eastAsia" w:cs="宋体"/>
                <w:color w:val="000000"/>
                <w:sz w:val="18"/>
                <w:szCs w:val="18"/>
                <w:lang w:val="en-US" w:eastAsia="zh-CN"/>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eastAsia="宋体" w:cs="宋体"/>
                <w:color w:val="000000"/>
                <w:sz w:val="18"/>
                <w:szCs w:val="18"/>
                <w:lang w:val="en-US" w:eastAsia="zh-CN"/>
              </w:rPr>
            </w:pPr>
            <w:r>
              <w:rPr>
                <w:rFonts w:hint="default" w:cs="宋体"/>
                <w:color w:val="000000"/>
                <w:sz w:val="18"/>
                <w:szCs w:val="18"/>
              </w:rPr>
              <w:t>161.39</w:t>
            </w:r>
            <w:r>
              <w:rPr>
                <w:rFonts w:hint="eastAsia" w:cs="宋体"/>
                <w:color w:val="000000"/>
                <w:sz w:val="18"/>
                <w:szCs w:val="18"/>
                <w:lang w:val="en-US" w:eastAsia="zh-CN"/>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年初财政拨款结转和结余</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年末财政拨款结转和结余</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r>
              <w:rPr>
                <w:rFonts w:hint="default" w:cs="宋体"/>
                <w:color w:val="000000"/>
                <w:sz w:val="18"/>
                <w:szCs w:val="18"/>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r>
      <w:tr>
        <w:tblPrEx>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一般公共预算财政拨款</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政府性基金预算财政拨款</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国有资本经营预算财政拨款</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hint="default" w:cs="宋体"/>
                <w:color w:val="000000"/>
                <w:sz w:val="18"/>
                <w:szCs w:val="18"/>
              </w:rPr>
              <w:t xml:space="preserve"> </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总计</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161.39</w:t>
            </w:r>
            <w:r>
              <w:rPr>
                <w:color w:val="000000"/>
                <w:sz w:val="18"/>
                <w:u w:color="auto"/>
              </w:rPr>
              <w:t xml:space="preserve"> </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总计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eastAsia="宋体" w:cs="宋体"/>
                <w:color w:val="000000"/>
                <w:sz w:val="18"/>
                <w:szCs w:val="18"/>
                <w:lang w:val="en-US" w:eastAsia="zh-CN"/>
              </w:rPr>
            </w:pPr>
            <w:r>
              <w:rPr>
                <w:rFonts w:cs="宋体"/>
                <w:color w:val="000000"/>
                <w:sz w:val="18"/>
                <w:szCs w:val="18"/>
              </w:rPr>
              <w:t>161.39</w:t>
            </w:r>
            <w:r>
              <w:rPr>
                <w:rFonts w:hint="eastAsia" w:cs="宋体"/>
                <w:color w:val="000000"/>
                <w:sz w:val="18"/>
                <w:szCs w:val="18"/>
                <w:lang w:val="en-US" w:eastAsia="zh-CN"/>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eastAsia" w:eastAsia="宋体" w:cs="宋体"/>
                <w:color w:val="000000"/>
                <w:sz w:val="18"/>
                <w:szCs w:val="18"/>
                <w:lang w:val="en-US" w:eastAsia="zh-CN"/>
              </w:rPr>
            </w:pPr>
            <w:r>
              <w:rPr>
                <w:rFonts w:cs="宋体"/>
                <w:color w:val="000000"/>
                <w:sz w:val="18"/>
                <w:szCs w:val="18"/>
              </w:rPr>
              <w:t>161.39</w:t>
            </w:r>
            <w:r>
              <w:rPr>
                <w:rFonts w:hint="eastAsia" w:cs="宋体"/>
                <w:color w:val="000000"/>
                <w:sz w:val="18"/>
                <w:szCs w:val="18"/>
                <w:lang w:val="en-US" w:eastAsia="zh-CN"/>
              </w:rPr>
              <w:t xml:space="preserv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shd w:val="clear" w:color="auto" w:fill="auto"/>
        <w:tblLayout w:type="autofit"/>
        <w:tblCellMar>
          <w:top w:w="0" w:type="dxa"/>
          <w:left w:w="0" w:type="dxa"/>
          <w:bottom w:w="0" w:type="dxa"/>
          <w:right w:w="0" w:type="dxa"/>
        </w:tblCellMar>
      </w:tblPr>
      <w:tblGrid>
        <w:gridCol w:w="1900"/>
        <w:gridCol w:w="3630"/>
        <w:gridCol w:w="995"/>
        <w:gridCol w:w="995"/>
        <w:gridCol w:w="103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shd w:val="clear" w:color="auto" w:fill="auto"/>
          <w:tblCellMar>
            <w:top w:w="0" w:type="dxa"/>
            <w:left w:w="0" w:type="dxa"/>
            <w:bottom w:w="0" w:type="dxa"/>
            <w:right w:w="0" w:type="dxa"/>
          </w:tblCellMar>
        </w:tblPrEx>
        <w:trPr>
          <w:trHeight w:val="255" w:hRule="atLeast"/>
        </w:trPr>
        <w:tc>
          <w:tcPr>
            <w:tcW w:w="1758" w:type="pct"/>
            <w:gridSpan w:val="2"/>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重庆市荣昌区昌元街道劳动就业和社会保障服务所</w:t>
            </w:r>
          </w:p>
        </w:tc>
        <w:tc>
          <w:tcPr>
            <w:tcW w:w="107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公开05表</w:t>
            </w:r>
          </w:p>
        </w:tc>
      </w:tr>
      <w:tr>
        <w:tblPrEx>
          <w:shd w:val="clear" w:color="auto" w:fill="auto"/>
        </w:tblPrEx>
        <w:trPr>
          <w:trHeight w:val="285" w:hRule="atLeast"/>
        </w:trPr>
        <w:tc>
          <w:tcPr>
            <w:tcW w:w="1758" w:type="pct"/>
            <w:gridSpan w:val="2"/>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项目</w:t>
            </w:r>
          </w:p>
        </w:tc>
        <w:tc>
          <w:tcPr>
            <w:tcW w:w="3241"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本年支出</w:t>
            </w:r>
          </w:p>
        </w:tc>
      </w:tr>
      <w:tr>
        <w:tblPrEx>
          <w:shd w:val="clear" w:color="auto" w:fill="auto"/>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基本支出</w:t>
            </w:r>
          </w:p>
        </w:tc>
        <w:tc>
          <w:tcPr>
            <w:tcW w:w="108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项目支出</w:t>
            </w:r>
          </w:p>
        </w:tc>
      </w:tr>
      <w:tr>
        <w:tblPrEx>
          <w:shd w:val="clear" w:color="auto" w:fill="auto"/>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0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0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bCs/>
                <w:color w:val="000000"/>
                <w:sz w:val="20"/>
                <w:szCs w:val="20"/>
              </w:rPr>
              <w:t>161.39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bCs/>
                <w:color w:val="000000"/>
                <w:sz w:val="20"/>
                <w:szCs w:val="20"/>
              </w:rPr>
              <w:t>153.39</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bCs/>
                <w:color w:val="000000"/>
                <w:sz w:val="20"/>
                <w:szCs w:val="20"/>
              </w:rPr>
              <w:t>8.00</w:t>
            </w:r>
            <w:r>
              <w:rPr>
                <w:b/>
                <w:color w:val="000000"/>
                <w:sz w:val="20"/>
                <w:u w:color="auto"/>
              </w:rPr>
              <w:t xml:space="preserve"> </w:t>
            </w:r>
          </w:p>
        </w:tc>
      </w:tr>
      <w:tr>
        <w:tblPrEx>
          <w:shd w:val="clear" w:color="auto" w:fill="auto"/>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150.23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142.22</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8.00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人力资源和社会保障管理事务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126.75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118.75</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8.00</w:t>
            </w:r>
            <w:r>
              <w:rPr>
                <w:b/>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2080150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118.75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118.75</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color w:val="000000"/>
                <w:sz w:val="20"/>
                <w:u w:color="auto"/>
              </w:rPr>
              <w:t xml:space="preserve"> </w:t>
            </w:r>
          </w:p>
        </w:tc>
      </w:tr>
      <w:tr>
        <w:tblPrEx>
          <w:shd w:val="clear" w:color="auto" w:fill="auto"/>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其他人力资源和社会保障管理事务支出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8.00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8.00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23.47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23.47</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7.46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7.46</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12.96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12.96</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3.05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3.05</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5.62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5.62</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5.62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5.62</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3.96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3.96</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1.66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1.66</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5.55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5.55</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5.55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b/>
                <w:color w:val="000000"/>
                <w:sz w:val="20"/>
                <w:szCs w:val="20"/>
              </w:rPr>
              <w:t>5.55</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5.55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rFonts w:cs="宋体"/>
                <w:color w:val="000000"/>
                <w:sz w:val="20"/>
                <w:szCs w:val="20"/>
              </w:rPr>
              <w:t>5.55</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color w:val="000000"/>
                <w:sz w:val="20"/>
                <w:u w:color="auto"/>
              </w:rPr>
              <w:t xml:space="preserve"> </w:t>
            </w:r>
          </w:p>
        </w:tc>
      </w:tr>
    </w:tbl>
    <w:p>
      <w:pPr>
        <w:keepNext w:val="0"/>
        <w:keepLines w:val="0"/>
        <w:pageBreakBefore w:val="0"/>
        <w:widowControl/>
        <w:kinsoku/>
        <w:overflowPunct/>
        <w:topLinePunct w:val="0"/>
        <w:autoSpaceDE/>
        <w:autoSpaceDN/>
        <w:bidi w:val="0"/>
        <w:adjustRightInd/>
        <w:snapToGrid/>
        <w:spacing w:line="400" w:lineRule="exact"/>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E/>
        <w:autoSpaceDN/>
        <w:bidi w:val="0"/>
        <w:adjustRightInd/>
        <w:snapToGrid/>
        <w:spacing w:line="400" w:lineRule="exact"/>
        <w:ind w:firstLine="630" w:firstLineChars="300"/>
        <w:rPr>
          <w:rFonts w:hint="default" w:cs="宋体"/>
          <w:sz w:val="21"/>
          <w:szCs w:val="21"/>
        </w:rPr>
      </w:pPr>
      <w:r>
        <w:rPr>
          <w:rFonts w:cs="宋体"/>
          <w:sz w:val="21"/>
          <w:szCs w:val="21"/>
        </w:rPr>
        <w:br w:type="page"/>
      </w:r>
    </w:p>
    <w:tbl>
      <w:tblPr>
        <w:tblStyle w:val="9"/>
        <w:tblW w:w="4994" w:type="pct"/>
        <w:tblInd w:w="0" w:type="dxa"/>
        <w:shd w:val="clear" w:color="auto" w:fill="auto"/>
        <w:tblLayout w:type="fixed"/>
        <w:tblCellMar>
          <w:top w:w="0" w:type="dxa"/>
          <w:left w:w="0" w:type="dxa"/>
          <w:bottom w:w="0" w:type="dxa"/>
          <w:right w:w="0" w:type="dxa"/>
        </w:tblCellMar>
      </w:tblPr>
      <w:tblGrid>
        <w:gridCol w:w="608"/>
        <w:gridCol w:w="1401"/>
        <w:gridCol w:w="760"/>
        <w:gridCol w:w="665"/>
        <w:gridCol w:w="1484"/>
        <w:gridCol w:w="724"/>
        <w:gridCol w:w="724"/>
        <w:gridCol w:w="1425"/>
        <w:gridCol w:w="750"/>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shd w:val="clear" w:color="auto" w:fill="auto"/>
          <w:tblCellMar>
            <w:top w:w="0" w:type="dxa"/>
            <w:left w:w="0" w:type="dxa"/>
            <w:bottom w:w="0" w:type="dxa"/>
            <w:right w:w="0" w:type="dxa"/>
          </w:tblCellMar>
        </w:tblPrEx>
        <w:trPr>
          <w:trHeight w:val="90" w:hRule="atLeast"/>
        </w:trPr>
        <w:tc>
          <w:tcPr>
            <w:tcW w:w="1175" w:type="pct"/>
            <w:gridSpan w:val="2"/>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重庆市荣昌区昌元街道劳动就业和社会保障服务所</w:t>
            </w:r>
          </w:p>
        </w:tc>
        <w:tc>
          <w:tcPr>
            <w:tcW w:w="44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38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86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2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2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83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3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公开06表</w:t>
            </w:r>
          </w:p>
        </w:tc>
      </w:tr>
      <w:tr>
        <w:tblPrEx>
          <w:shd w:val="clear" w:color="auto" w:fill="auto"/>
          <w:tblCellMar>
            <w:top w:w="0" w:type="dxa"/>
            <w:left w:w="0" w:type="dxa"/>
            <w:bottom w:w="0" w:type="dxa"/>
            <w:right w:w="0" w:type="dxa"/>
          </w:tblCellMar>
        </w:tblPrEx>
        <w:trPr>
          <w:trHeight w:val="90" w:hRule="atLeast"/>
        </w:trPr>
        <w:tc>
          <w:tcPr>
            <w:tcW w:w="1175" w:type="pct"/>
            <w:gridSpan w:val="2"/>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38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86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2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2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83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3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90" w:hRule="atLeast"/>
        </w:trPr>
        <w:tc>
          <w:tcPr>
            <w:tcW w:w="162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人员经费</w:t>
            </w:r>
          </w:p>
        </w:tc>
        <w:tc>
          <w:tcPr>
            <w:tcW w:w="3379"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公用经费</w:t>
            </w:r>
          </w:p>
        </w:tc>
      </w:tr>
      <w:tr>
        <w:tblPrEx>
          <w:shd w:val="clear" w:color="auto" w:fill="auto"/>
          <w:tblCellMar>
            <w:top w:w="0" w:type="dxa"/>
            <w:left w:w="0" w:type="dxa"/>
            <w:bottom w:w="0" w:type="dxa"/>
            <w:right w:w="0" w:type="dxa"/>
          </w:tblCellMar>
        </w:tblPrEx>
        <w:trPr>
          <w:trHeight w:val="312" w:hRule="atLeast"/>
        </w:trPr>
        <w:tc>
          <w:tcPr>
            <w:tcW w:w="35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2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金额</w:t>
            </w:r>
          </w:p>
        </w:tc>
        <w:tc>
          <w:tcPr>
            <w:tcW w:w="38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6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2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金额</w:t>
            </w:r>
          </w:p>
        </w:tc>
        <w:tc>
          <w:tcPr>
            <w:tcW w:w="42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3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金额</w:t>
            </w:r>
          </w:p>
        </w:tc>
      </w:tr>
      <w:tr>
        <w:tblPrEx>
          <w:shd w:val="clear" w:color="auto" w:fill="auto"/>
          <w:tblCellMar>
            <w:top w:w="0" w:type="dxa"/>
            <w:left w:w="0" w:type="dxa"/>
            <w:bottom w:w="0" w:type="dxa"/>
            <w:right w:w="0" w:type="dxa"/>
          </w:tblCellMar>
        </w:tblPrEx>
        <w:trPr>
          <w:trHeight w:val="312" w:hRule="atLeast"/>
        </w:trPr>
        <w:tc>
          <w:tcPr>
            <w:tcW w:w="35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18"/>
                <w:szCs w:val="18"/>
              </w:rPr>
            </w:pPr>
          </w:p>
        </w:tc>
        <w:tc>
          <w:tcPr>
            <w:tcW w:w="82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18"/>
                <w:szCs w:val="18"/>
              </w:rPr>
            </w:pPr>
          </w:p>
        </w:tc>
        <w:tc>
          <w:tcPr>
            <w:tcW w:w="44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18"/>
                <w:szCs w:val="18"/>
              </w:rPr>
            </w:pPr>
          </w:p>
        </w:tc>
        <w:tc>
          <w:tcPr>
            <w:tcW w:w="38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18"/>
                <w:szCs w:val="18"/>
              </w:rPr>
            </w:pPr>
          </w:p>
        </w:tc>
        <w:tc>
          <w:tcPr>
            <w:tcW w:w="86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18"/>
                <w:szCs w:val="18"/>
              </w:rPr>
            </w:pPr>
          </w:p>
        </w:tc>
        <w:tc>
          <w:tcPr>
            <w:tcW w:w="42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18"/>
                <w:szCs w:val="18"/>
              </w:rPr>
            </w:pPr>
          </w:p>
        </w:tc>
        <w:tc>
          <w:tcPr>
            <w:tcW w:w="42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18"/>
                <w:szCs w:val="18"/>
              </w:rPr>
            </w:pPr>
          </w:p>
        </w:tc>
        <w:tc>
          <w:tcPr>
            <w:tcW w:w="83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18"/>
                <w:szCs w:val="18"/>
              </w:rPr>
            </w:pPr>
          </w:p>
        </w:tc>
        <w:tc>
          <w:tcPr>
            <w:tcW w:w="4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工资福利支出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123.68</w:t>
            </w: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商品和服务支出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26.48</w:t>
            </w: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资本性支出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0.37</w:t>
            </w: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30101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基本工资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25.49</w:t>
            </w: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30201</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办公费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10.31</w:t>
            </w: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31001</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房屋建筑物购建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30102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津贴补贴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0.93</w:t>
            </w: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30202</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印刷费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31002</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办公设备购置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0.37</w:t>
            </w:r>
            <w:r>
              <w:rPr>
                <w:color w:val="000000"/>
                <w:sz w:val="18"/>
                <w:u w:color="auto"/>
              </w:rPr>
              <w:t xml:space="preserve"> </w:t>
            </w:r>
          </w:p>
        </w:tc>
      </w:tr>
      <w:tr>
        <w:tblPrEx>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30103</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奖金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30203</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咨询费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31003</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专用设备购置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30106</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伙食补助费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30204</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手续费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31005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基础设施建设</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30107</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绩效工资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64.11</w:t>
            </w: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30205</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水费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0.10</w:t>
            </w: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31006</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大型修缮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30108</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7.46</w:t>
            </w: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30206</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电费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0.10</w:t>
            </w: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31007</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30109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职业年金缴费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12.96</w:t>
            </w: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30207</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邮电费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31008</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物资储备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30110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3.96</w:t>
            </w: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30208</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取暖费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31009</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土地补偿</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30111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30209</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物业管理费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31010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安置补助</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30112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1.06</w:t>
            </w: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30211</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差旅费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31011</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30113</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5.55</w:t>
            </w: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30212</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因公出国（境）费用</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31012</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拆迁补偿</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30114</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医疗费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0.96</w:t>
            </w: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30213</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维修（护）费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0.29</w:t>
            </w: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31013</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公务用车购置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30199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1.20</w:t>
            </w: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30214</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租赁费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31019</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其他交通工具购置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303</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对个人和家庭的补助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2.86</w:t>
            </w: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30215</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会议费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0.07</w:t>
            </w: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31021</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文物和陈列品购置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30301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离休费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30216</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培训费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0.70</w:t>
            </w: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31022</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无形资产购置</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30302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退休费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30217</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公务接待费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31099</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其他资本性支出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30303</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退职（役）费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30218</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专用材料费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312</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对企业补助</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30304</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抚恤金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30224</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被装购置费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31201</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资本金注入</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30305</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生活补助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2.66</w:t>
            </w: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30225</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专用燃料费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31203</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30306</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救济费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30226</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劳务费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0.18</w:t>
            </w: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31204</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费用补贴</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30307</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医疗费补助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0.20</w:t>
            </w: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30227</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委托业务费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31205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利息补贴</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30308</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助学金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30228</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工会经费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0.56</w:t>
            </w: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31299</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其他对企业补助</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30309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奖励金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30229</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福利费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12.22</w:t>
            </w: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399</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其他支出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30310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30231</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39907</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国家赔偿费用支出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30311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代缴社会保险费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30239</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其他交通费用</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39908</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30399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30240</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税金及附加费用</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39909</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经常性赠与</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30299</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1.95</w:t>
            </w: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39910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资本性赠与</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307</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债务利息及费用支出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39999</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其他支出</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30701</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国内债务付息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30702</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国外债务付息</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30703</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国内债务发行费用</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30704</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textAlignment w:val="center"/>
              <w:rPr>
                <w:rFonts w:hint="default" w:cs="宋体"/>
                <w:color w:val="000000"/>
                <w:sz w:val="18"/>
                <w:szCs w:val="18"/>
              </w:rPr>
            </w:pPr>
            <w:r>
              <w:rPr>
                <w:rFonts w:cs="宋体"/>
                <w:color w:val="000000"/>
                <w:sz w:val="18"/>
                <w:szCs w:val="18"/>
              </w:rPr>
              <w:t xml:space="preserve">  国外债务发行费用</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color w:val="000000"/>
                <w:sz w:val="18"/>
                <w:u w:color="auto"/>
              </w:rPr>
              <w:t xml:space="preserve">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18"/>
                <w:szCs w:val="18"/>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17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人员经费合计</w:t>
            </w:r>
          </w:p>
        </w:tc>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E/>
              <w:autoSpaceDN/>
              <w:bidi w:val="0"/>
              <w:adjustRightInd/>
              <w:snapToGrid/>
              <w:spacing w:line="400" w:lineRule="exact"/>
              <w:jc w:val="right"/>
              <w:textAlignment w:val="bottom"/>
              <w:rPr>
                <w:rFonts w:hint="default" w:cs="宋体"/>
                <w:color w:val="000000"/>
                <w:sz w:val="18"/>
                <w:szCs w:val="18"/>
              </w:rPr>
            </w:pPr>
            <w:r>
              <w:rPr>
                <w:rFonts w:cs="宋体"/>
                <w:color w:val="000000"/>
                <w:sz w:val="18"/>
                <w:szCs w:val="18"/>
              </w:rPr>
              <w:t>126.54</w:t>
            </w:r>
            <w:r>
              <w:rPr>
                <w:color w:val="000000"/>
                <w:sz w:val="18"/>
                <w:u w:color="auto"/>
              </w:rPr>
              <w:t xml:space="preserve"> </w:t>
            </w:r>
          </w:p>
        </w:tc>
        <w:tc>
          <w:tcPr>
            <w:tcW w:w="2939"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18"/>
                <w:szCs w:val="18"/>
              </w:rPr>
            </w:pPr>
            <w:r>
              <w:rPr>
                <w:rFonts w:cs="宋体"/>
                <w:b/>
                <w:color w:val="000000"/>
                <w:sz w:val="18"/>
                <w:szCs w:val="18"/>
              </w:rPr>
              <w:t>公用经费合计</w:t>
            </w:r>
          </w:p>
        </w:tc>
        <w:tc>
          <w:tcPr>
            <w:tcW w:w="4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color w:val="000000"/>
                <w:sz w:val="18"/>
                <w:szCs w:val="18"/>
              </w:rPr>
            </w:pPr>
            <w:r>
              <w:rPr>
                <w:rFonts w:cs="宋体"/>
                <w:color w:val="000000"/>
                <w:sz w:val="18"/>
                <w:szCs w:val="18"/>
              </w:rPr>
              <w:t>26.85</w:t>
            </w:r>
            <w:r>
              <w:rPr>
                <w:color w:val="000000"/>
                <w:sz w:val="18"/>
                <w:u w:color="auto"/>
              </w:rPr>
              <w:t xml:space="preserve"> </w:t>
            </w:r>
          </w:p>
        </w:tc>
      </w:tr>
    </w:tbl>
    <w:p>
      <w:pPr>
        <w:keepNext w:val="0"/>
        <w:keepLines w:val="0"/>
        <w:pageBreakBefore w:val="0"/>
        <w:widowControl/>
        <w:kinsoku/>
        <w:overflowPunct/>
        <w:topLinePunct w:val="0"/>
        <w:autoSpaceDE/>
        <w:autoSpaceDN/>
        <w:bidi w:val="0"/>
        <w:adjustRightInd/>
        <w:snapToGrid/>
        <w:spacing w:line="40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shd w:val="clear" w:color="auto" w:fill="auto"/>
        <w:tblLayout w:type="autofit"/>
        <w:tblCellMar>
          <w:top w:w="0" w:type="dxa"/>
          <w:left w:w="0" w:type="dxa"/>
          <w:bottom w:w="0" w:type="dxa"/>
          <w:right w:w="0" w:type="dxa"/>
        </w:tblCellMar>
      </w:tblPr>
      <w:tblGrid>
        <w:gridCol w:w="1806"/>
        <w:gridCol w:w="3004"/>
        <w:gridCol w:w="564"/>
        <w:gridCol w:w="564"/>
        <w:gridCol w:w="564"/>
        <w:gridCol w:w="564"/>
        <w:gridCol w:w="585"/>
        <w:gridCol w:w="899"/>
      </w:tblGrid>
      <w:tr>
        <w:tblPrEx>
          <w:shd w:val="clear" w:color="auto" w:fill="auto"/>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shd w:val="clear" w:color="auto" w:fill="auto"/>
          <w:tblCellMar>
            <w:top w:w="0" w:type="dxa"/>
            <w:left w:w="0" w:type="dxa"/>
            <w:bottom w:w="0" w:type="dxa"/>
            <w:right w:w="0" w:type="dxa"/>
          </w:tblCellMar>
        </w:tblPrEx>
        <w:trPr>
          <w:trHeight w:val="329"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重庆市荣昌区昌元街道劳动就业和社会保障服务所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公开07表</w:t>
            </w:r>
          </w:p>
        </w:tc>
      </w:tr>
      <w:tr>
        <w:tblPrEx>
          <w:shd w:val="clear" w:color="auto" w:fill="auto"/>
          <w:tblCellMar>
            <w:top w:w="0" w:type="dxa"/>
            <w:left w:w="0" w:type="dxa"/>
            <w:bottom w:w="0" w:type="dxa"/>
            <w:right w:w="0" w:type="dxa"/>
          </w:tblCellMar>
        </w:tblPrEx>
        <w:trPr>
          <w:trHeight w:val="329"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本年支出</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年末结转和结余</w:t>
            </w:r>
          </w:p>
        </w:tc>
      </w:tr>
      <w:tr>
        <w:tblPrEx>
          <w:shd w:val="clear" w:color="auto" w:fill="auto"/>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基本支出</w:t>
            </w:r>
          </w:p>
        </w:tc>
        <w:tc>
          <w:tcPr>
            <w:tcW w:w="5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项目支出</w:t>
            </w: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r>
    </w:tbl>
    <w:p>
      <w:pPr>
        <w:keepNext w:val="0"/>
        <w:keepLines w:val="0"/>
        <w:pageBreakBefore w:val="0"/>
        <w:widowControl/>
        <w:kinsoku/>
        <w:overflowPunct/>
        <w:topLinePunct w:val="0"/>
        <w:autoSpaceDE/>
        <w:autoSpaceDN/>
        <w:bidi w:val="0"/>
        <w:adjustRightInd/>
        <w:snapToGrid/>
        <w:spacing w:line="400" w:lineRule="exact"/>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pageBreakBefore w:val="0"/>
        <w:widowControl/>
        <w:kinsoku/>
        <w:overflowPunct/>
        <w:topLinePunct w:val="0"/>
        <w:autoSpaceDN/>
        <w:bidi w:val="0"/>
        <w:adjustRightInd/>
        <w:spacing w:line="594" w:lineRule="exact"/>
        <w:rPr>
          <w:rFonts w:hint="default" w:cs="宋体"/>
          <w:sz w:val="21"/>
          <w:szCs w:val="21"/>
        </w:rPr>
      </w:pPr>
      <w:r>
        <w:rPr>
          <w:rFonts w:cs="宋体"/>
          <w:sz w:val="21"/>
          <w:szCs w:val="21"/>
        </w:rPr>
        <w:br w:type="page"/>
      </w:r>
    </w:p>
    <w:tbl>
      <w:tblPr>
        <w:tblStyle w:val="9"/>
        <w:tblW w:w="5000" w:type="pct"/>
        <w:tblInd w:w="0" w:type="dxa"/>
        <w:shd w:val="clear" w:color="auto" w:fill="auto"/>
        <w:tblLayout w:type="autofit"/>
        <w:tblCellMar>
          <w:top w:w="0" w:type="dxa"/>
          <w:left w:w="0" w:type="dxa"/>
          <w:bottom w:w="0" w:type="dxa"/>
          <w:right w:w="0" w:type="dxa"/>
        </w:tblCellMar>
      </w:tblPr>
      <w:tblGrid>
        <w:gridCol w:w="1945"/>
        <w:gridCol w:w="3160"/>
        <w:gridCol w:w="1081"/>
        <w:gridCol w:w="66"/>
        <w:gridCol w:w="1147"/>
        <w:gridCol w:w="25"/>
        <w:gridCol w:w="1126"/>
      </w:tblGrid>
      <w:tr>
        <w:tblPrEx>
          <w:shd w:val="clear" w:color="auto" w:fill="auto"/>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shd w:val="clear" w:color="auto" w:fill="auto"/>
          <w:tblCellMar>
            <w:top w:w="0" w:type="dxa"/>
            <w:left w:w="0" w:type="dxa"/>
            <w:bottom w:w="0" w:type="dxa"/>
            <w:right w:w="0" w:type="dxa"/>
          </w:tblCellMar>
        </w:tblPrEx>
        <w:trPr>
          <w:trHeight w:val="332"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重庆市荣昌区昌元街道劳动就业和社会保障服务所</w:t>
            </w:r>
          </w:p>
        </w:tc>
        <w:tc>
          <w:tcPr>
            <w:tcW w:w="106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公开08表</w:t>
            </w:r>
          </w:p>
        </w:tc>
      </w:tr>
      <w:tr>
        <w:tblPrEx>
          <w:shd w:val="clear" w:color="auto" w:fill="auto"/>
          <w:tblCellMar>
            <w:top w:w="0" w:type="dxa"/>
            <w:left w:w="0" w:type="dxa"/>
            <w:bottom w:w="0" w:type="dxa"/>
            <w:right w:w="0" w:type="dxa"/>
          </w:tblCellMar>
        </w:tblPrEx>
        <w:trPr>
          <w:trHeight w:val="332"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rPr>
                <w:rFonts w:hint="default" w:cs="宋体"/>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center"/>
              <w:textAlignment w:val="bottom"/>
              <w:rPr>
                <w:rFonts w:hint="default" w:cs="宋体"/>
                <w:b/>
                <w:color w:val="000000"/>
                <w:sz w:val="20"/>
                <w:szCs w:val="20"/>
              </w:rPr>
            </w:pPr>
            <w:r>
              <w:rPr>
                <w:rFonts w:cs="宋体"/>
                <w:b/>
                <w:color w:val="000000"/>
                <w:sz w:val="20"/>
                <w:szCs w:val="20"/>
              </w:rPr>
              <w:t>项目</w:t>
            </w:r>
          </w:p>
        </w:tc>
        <w:tc>
          <w:tcPr>
            <w:tcW w:w="339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400" w:lineRule="exact"/>
              <w:jc w:val="center"/>
              <w:textAlignment w:val="bottom"/>
              <w:rPr>
                <w:rFonts w:hint="default" w:cs="宋体"/>
                <w:b/>
                <w:color w:val="000000"/>
                <w:sz w:val="20"/>
                <w:szCs w:val="20"/>
              </w:rPr>
            </w:pPr>
            <w:r>
              <w:rPr>
                <w:rFonts w:cs="宋体"/>
                <w:b/>
                <w:color w:val="000000"/>
                <w:sz w:val="20"/>
                <w:szCs w:val="20"/>
              </w:rPr>
              <w:t>本年支出</w:t>
            </w:r>
          </w:p>
        </w:tc>
      </w:tr>
      <w:tr>
        <w:tblPrEx>
          <w:shd w:val="clear" w:color="auto" w:fill="auto"/>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99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基本支出</w:t>
            </w:r>
          </w:p>
        </w:tc>
        <w:tc>
          <w:tcPr>
            <w:tcW w:w="1130"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项目支出</w:t>
            </w:r>
          </w:p>
        </w:tc>
      </w:tr>
      <w:tr>
        <w:tblPrEx>
          <w:shd w:val="clear" w:color="auto" w:fill="auto"/>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400" w:lineRule="exact"/>
              <w:jc w:val="right"/>
              <w:rPr>
                <w:rFonts w:hint="default" w:cs="宋体"/>
                <w:b/>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cs="宋体"/>
                <w:b/>
                <w:color w:val="000000"/>
                <w:sz w:val="20"/>
                <w:szCs w:val="20"/>
              </w:rPr>
            </w:pPr>
            <w:r>
              <w:rPr>
                <w:b/>
                <w:color w:val="000000"/>
                <w:sz w:val="20"/>
                <w:u w:color="auto"/>
              </w:rPr>
              <w:t xml:space="preserve"> </w:t>
            </w:r>
          </w:p>
        </w:tc>
      </w:tr>
    </w:tbl>
    <w:p>
      <w:pPr>
        <w:keepNext w:val="0"/>
        <w:keepLines w:val="0"/>
        <w:pageBreakBefore w:val="0"/>
        <w:widowControl/>
        <w:kinsoku/>
        <w:overflowPunct/>
        <w:topLinePunct w:val="0"/>
        <w:autoSpaceDE/>
        <w:autoSpaceDN/>
        <w:bidi w:val="0"/>
        <w:adjustRightInd/>
        <w:snapToGrid/>
        <w:spacing w:line="400" w:lineRule="exact"/>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pageBreakBefore w:val="0"/>
        <w:widowControl/>
        <w:kinsoku/>
        <w:overflowPunct/>
        <w:topLinePunct w:val="0"/>
        <w:autoSpaceDN/>
        <w:bidi w:val="0"/>
        <w:adjustRightInd/>
        <w:spacing w:line="594" w:lineRule="exact"/>
        <w:rPr>
          <w:rFonts w:hint="default" w:cs="宋体"/>
          <w:sz w:val="21"/>
          <w:szCs w:val="21"/>
        </w:rPr>
      </w:pPr>
      <w:r>
        <w:rPr>
          <w:rFonts w:hint="default" w:cs="宋体"/>
          <w:sz w:val="21"/>
          <w:szCs w:val="21"/>
        </w:rPr>
        <w:br w:type="page"/>
      </w:r>
    </w:p>
    <w:tbl>
      <w:tblPr>
        <w:tblStyle w:val="9"/>
        <w:tblW w:w="5000" w:type="pct"/>
        <w:tblInd w:w="0" w:type="dxa"/>
        <w:shd w:val="clear" w:color="auto" w:fill="auto"/>
        <w:tblLayout w:type="fixed"/>
        <w:tblCellMar>
          <w:top w:w="0" w:type="dxa"/>
          <w:left w:w="0" w:type="dxa"/>
          <w:bottom w:w="0" w:type="dxa"/>
          <w:right w:w="0" w:type="dxa"/>
        </w:tblCellMar>
      </w:tblPr>
      <w:tblGrid>
        <w:gridCol w:w="2317"/>
        <w:gridCol w:w="1243"/>
        <w:gridCol w:w="1214"/>
        <w:gridCol w:w="2591"/>
        <w:gridCol w:w="1185"/>
      </w:tblGrid>
      <w:tr>
        <w:tblPrEx>
          <w:tblCellMar>
            <w:top w:w="0" w:type="dxa"/>
            <w:left w:w="0" w:type="dxa"/>
            <w:bottom w:w="0" w:type="dxa"/>
            <w:right w:w="0" w:type="dxa"/>
          </w:tblCellMar>
        </w:tblPrEx>
        <w:trPr>
          <w:trHeight w:val="175"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tblCellMar>
            <w:top w:w="0" w:type="dxa"/>
            <w:left w:w="0" w:type="dxa"/>
            <w:bottom w:w="0" w:type="dxa"/>
            <w:right w:w="0" w:type="dxa"/>
          </w:tblCellMar>
        </w:tblPrEx>
        <w:trPr>
          <w:trHeight w:val="175" w:hRule="atLeast"/>
        </w:trPr>
        <w:tc>
          <w:tcPr>
            <w:tcW w:w="1354" w:type="pct"/>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重庆市荣昌区昌元街道劳动就业和社会保障服务所</w:t>
            </w:r>
          </w:p>
        </w:tc>
        <w:tc>
          <w:tcPr>
            <w:tcW w:w="72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cs="宋体"/>
                <w:color w:val="000000"/>
                <w:sz w:val="20"/>
                <w:szCs w:val="20"/>
              </w:rPr>
            </w:pPr>
          </w:p>
        </w:tc>
        <w:tc>
          <w:tcPr>
            <w:tcW w:w="7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cs="宋体"/>
                <w:color w:val="000000"/>
                <w:sz w:val="20"/>
                <w:szCs w:val="20"/>
              </w:rPr>
            </w:pPr>
          </w:p>
        </w:tc>
        <w:tc>
          <w:tcPr>
            <w:tcW w:w="151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cs="宋体"/>
                <w:color w:val="000000"/>
                <w:sz w:val="20"/>
                <w:szCs w:val="20"/>
              </w:rPr>
            </w:pPr>
          </w:p>
        </w:tc>
        <w:tc>
          <w:tcPr>
            <w:tcW w:w="69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公开09表</w:t>
            </w:r>
          </w:p>
        </w:tc>
      </w:tr>
      <w:tr>
        <w:tblPrEx>
          <w:shd w:val="clear" w:color="auto" w:fill="auto"/>
          <w:tblCellMar>
            <w:top w:w="0" w:type="dxa"/>
            <w:left w:w="0" w:type="dxa"/>
            <w:bottom w:w="0" w:type="dxa"/>
            <w:right w:w="0" w:type="dxa"/>
          </w:tblCellMar>
        </w:tblPrEx>
        <w:trPr>
          <w:trHeight w:val="175" w:hRule="atLeast"/>
        </w:trPr>
        <w:tc>
          <w:tcPr>
            <w:tcW w:w="1354" w:type="pct"/>
            <w:vMerge w:val="continue"/>
            <w:tcBorders>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textAlignment w:val="bottom"/>
              <w:rPr>
                <w:rFonts w:hint="default" w:cs="宋体"/>
                <w:color w:val="000000"/>
                <w:sz w:val="20"/>
                <w:szCs w:val="20"/>
              </w:rPr>
            </w:pPr>
          </w:p>
        </w:tc>
        <w:tc>
          <w:tcPr>
            <w:tcW w:w="727"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cs="宋体"/>
                <w:color w:val="000000"/>
                <w:sz w:val="20"/>
                <w:szCs w:val="20"/>
              </w:rPr>
            </w:pPr>
          </w:p>
        </w:tc>
        <w:tc>
          <w:tcPr>
            <w:tcW w:w="70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cs="宋体"/>
                <w:color w:val="000000"/>
                <w:sz w:val="20"/>
                <w:szCs w:val="20"/>
              </w:rPr>
            </w:pPr>
          </w:p>
        </w:tc>
        <w:tc>
          <w:tcPr>
            <w:tcW w:w="1515"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cs="宋体"/>
                <w:color w:val="000000"/>
                <w:sz w:val="20"/>
                <w:szCs w:val="20"/>
              </w:rPr>
            </w:pPr>
          </w:p>
        </w:tc>
        <w:tc>
          <w:tcPr>
            <w:tcW w:w="692"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184"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项  目</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预算数</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决算数</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项  目</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b/>
                <w:color w:val="000000"/>
                <w:sz w:val="20"/>
                <w:szCs w:val="20"/>
              </w:rPr>
            </w:pPr>
            <w:r>
              <w:rPr>
                <w:rFonts w:cs="宋体"/>
                <w:b/>
                <w:color w:val="000000"/>
                <w:sz w:val="20"/>
                <w:szCs w:val="20"/>
              </w:rPr>
              <w:t>决算数</w:t>
            </w:r>
          </w:p>
        </w:tc>
      </w:tr>
      <w:tr>
        <w:tblPrEx>
          <w:shd w:val="clear" w:color="auto" w:fill="auto"/>
          <w:tblCellMar>
            <w:top w:w="0" w:type="dxa"/>
            <w:left w:w="0" w:type="dxa"/>
            <w:bottom w:w="0" w:type="dxa"/>
            <w:right w:w="0" w:type="dxa"/>
          </w:tblCellMar>
        </w:tblPrEx>
        <w:trPr>
          <w:trHeight w:val="184"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一、“三公”经费支出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四、机关运行经费</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（一）支出合计</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（一）行政单位</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1．因公出国（境）费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（二）参照公务员法管理事业单位</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2．公务用车购置及运行维护费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五、资产信息</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（1）公务用车购置费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（一）车辆数合计（辆）</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（2）公务用车运行维护费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1．副部（省）级及以上领导用车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3．公务接待费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2．主要领导干部用车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（1）国内接待费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3．机要通信用车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其中：外事接待费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4．应急保障用车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（2）国（境）外接待费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5．执法执勤用车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（二）相关统计数</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6．特种专业技术用车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1．因公出国（境）团组数（个）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7．离退休干部用车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2．因公出国（境）人次数（人）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8．其他用车</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3．公务用车购置数（辆）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（二）单价100万元（含）以上设备（不含车辆）</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4．公务用车保有量（辆）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六、政府采购支出信息</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5．国内公务接待批次（个）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（一）政府采购支出合计</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其中：外事接待批次（个）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1．政府采购货物支出</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6．国内公务接待人次（人）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2．政府采购工程支出</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其中：外事接待人次（人）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3．政府采购服务支出</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7．国（境）外公务接待批次（个）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（二）政府采购授予中小企业合同金额</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8．国（境）外公务接待人次（人）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 xml:space="preserve">        其中：授予小微企业合同金额</w:t>
            </w: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69"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二、会议费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0.07</w:t>
            </w: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cs="宋体"/>
                <w:color w:val="000000"/>
                <w:sz w:val="20"/>
                <w:szCs w:val="20"/>
              </w:rPr>
            </w:pP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cs="宋体"/>
                <w:color w:val="000000"/>
                <w:sz w:val="20"/>
                <w:szCs w:val="20"/>
              </w:rPr>
            </w:pPr>
          </w:p>
        </w:tc>
      </w:tr>
      <w:tr>
        <w:tblPrEx>
          <w:shd w:val="clear" w:color="auto" w:fill="auto"/>
        </w:tblPrEx>
        <w:trPr>
          <w:trHeight w:val="244" w:hRule="atLeast"/>
        </w:trPr>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cs="宋体"/>
                <w:color w:val="000000"/>
                <w:sz w:val="20"/>
                <w:szCs w:val="20"/>
              </w:rPr>
            </w:pPr>
            <w:r>
              <w:rPr>
                <w:rFonts w:cs="宋体"/>
                <w:color w:val="000000"/>
                <w:sz w:val="20"/>
                <w:szCs w:val="20"/>
              </w:rPr>
              <w:t>三、培训费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color w:val="000000"/>
                <w:sz w:val="20"/>
                <w:szCs w:val="20"/>
              </w:rPr>
            </w:pPr>
            <w:r>
              <w:rPr>
                <w:rFonts w:cs="宋体"/>
                <w:color w:val="000000"/>
                <w:sz w:val="20"/>
                <w:szCs w:val="20"/>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cs="宋体"/>
                <w:color w:val="000000"/>
                <w:sz w:val="20"/>
                <w:szCs w:val="20"/>
              </w:rPr>
            </w:pPr>
            <w:r>
              <w:rPr>
                <w:rFonts w:cs="宋体"/>
                <w:color w:val="000000"/>
                <w:sz w:val="20"/>
                <w:szCs w:val="20"/>
              </w:rPr>
              <w:t>0.70</w:t>
            </w: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cs="宋体"/>
                <w:color w:val="000000"/>
                <w:sz w:val="20"/>
                <w:szCs w:val="20"/>
              </w:rPr>
            </w:pPr>
          </w:p>
        </w:tc>
        <w:tc>
          <w:tcPr>
            <w:tcW w:w="69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cs="宋体"/>
                <w:color w:val="000000"/>
                <w:sz w:val="20"/>
                <w:szCs w:val="20"/>
              </w:rPr>
            </w:pPr>
          </w:p>
        </w:tc>
      </w:tr>
    </w:tbl>
    <w:p>
      <w:pPr>
        <w:keepNext w:val="0"/>
        <w:keepLines w:val="0"/>
        <w:pageBreakBefore w:val="0"/>
        <w:widowControl/>
        <w:kinsoku/>
        <w:wordWrap/>
        <w:overflowPunct/>
        <w:topLinePunct w:val="0"/>
        <w:autoSpaceDE/>
        <w:autoSpaceDN/>
        <w:bidi w:val="0"/>
        <w:adjustRightInd/>
        <w:snapToGrid/>
        <w:spacing w:line="400" w:lineRule="exact"/>
        <w:textAlignment w:val="auto"/>
        <w:rPr>
          <w:rFonts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pgSz w:w="11907" w:h="16839"/>
      <w:pgMar w:top="590" w:right="1800" w:bottom="1440" w:left="158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2B254B"/>
    <w:rsid w:val="00550ABE"/>
    <w:rsid w:val="00770383"/>
    <w:rsid w:val="007819D4"/>
    <w:rsid w:val="007B419D"/>
    <w:rsid w:val="009B67B8"/>
    <w:rsid w:val="009D2B67"/>
    <w:rsid w:val="00B03CCD"/>
    <w:rsid w:val="00C20C3E"/>
    <w:rsid w:val="00F73F90"/>
    <w:rsid w:val="01474EBF"/>
    <w:rsid w:val="01F3521E"/>
    <w:rsid w:val="03B851E6"/>
    <w:rsid w:val="03B87EA0"/>
    <w:rsid w:val="03E3214F"/>
    <w:rsid w:val="044C50BA"/>
    <w:rsid w:val="0509525F"/>
    <w:rsid w:val="05BC6D49"/>
    <w:rsid w:val="06194FF1"/>
    <w:rsid w:val="06A2550B"/>
    <w:rsid w:val="06F80EE2"/>
    <w:rsid w:val="07001CCA"/>
    <w:rsid w:val="075678DB"/>
    <w:rsid w:val="079D7CC7"/>
    <w:rsid w:val="08051BCA"/>
    <w:rsid w:val="086C12F4"/>
    <w:rsid w:val="08705944"/>
    <w:rsid w:val="08BA052C"/>
    <w:rsid w:val="08DB07BA"/>
    <w:rsid w:val="0969353F"/>
    <w:rsid w:val="098305D0"/>
    <w:rsid w:val="0A267D03"/>
    <w:rsid w:val="0A3317EA"/>
    <w:rsid w:val="0A5C4B69"/>
    <w:rsid w:val="0A86124A"/>
    <w:rsid w:val="0AB54CC0"/>
    <w:rsid w:val="0B9335CE"/>
    <w:rsid w:val="0BF2311A"/>
    <w:rsid w:val="0C2E6759"/>
    <w:rsid w:val="0C7927C4"/>
    <w:rsid w:val="0C9B098C"/>
    <w:rsid w:val="0D673E11"/>
    <w:rsid w:val="0DDA54E4"/>
    <w:rsid w:val="0E3A5F83"/>
    <w:rsid w:val="0F836721"/>
    <w:rsid w:val="0FA25D96"/>
    <w:rsid w:val="107B59E5"/>
    <w:rsid w:val="10EC0126"/>
    <w:rsid w:val="10F70B9A"/>
    <w:rsid w:val="111445C7"/>
    <w:rsid w:val="112577CB"/>
    <w:rsid w:val="114278C6"/>
    <w:rsid w:val="1158083A"/>
    <w:rsid w:val="11643A4B"/>
    <w:rsid w:val="11ED0F98"/>
    <w:rsid w:val="11F03528"/>
    <w:rsid w:val="12C921C4"/>
    <w:rsid w:val="13871C70"/>
    <w:rsid w:val="13A71CB4"/>
    <w:rsid w:val="13AF1D43"/>
    <w:rsid w:val="13CE1647"/>
    <w:rsid w:val="13FD55AB"/>
    <w:rsid w:val="14200702"/>
    <w:rsid w:val="163A6CEE"/>
    <w:rsid w:val="167E38D9"/>
    <w:rsid w:val="173708E3"/>
    <w:rsid w:val="17C374FC"/>
    <w:rsid w:val="182E4AB6"/>
    <w:rsid w:val="189079DC"/>
    <w:rsid w:val="189B0D0B"/>
    <w:rsid w:val="18B43F7C"/>
    <w:rsid w:val="194A1770"/>
    <w:rsid w:val="19B906A4"/>
    <w:rsid w:val="1A9510BD"/>
    <w:rsid w:val="1AA20A88"/>
    <w:rsid w:val="1B6F15B6"/>
    <w:rsid w:val="1BAA2EDC"/>
    <w:rsid w:val="1CA55E64"/>
    <w:rsid w:val="1D0149D0"/>
    <w:rsid w:val="1D014A01"/>
    <w:rsid w:val="1D022362"/>
    <w:rsid w:val="1D1B04B0"/>
    <w:rsid w:val="1D4A60BA"/>
    <w:rsid w:val="1DA52501"/>
    <w:rsid w:val="1DBD6767"/>
    <w:rsid w:val="1DC52125"/>
    <w:rsid w:val="1DD26311"/>
    <w:rsid w:val="1E374ACB"/>
    <w:rsid w:val="1E71751F"/>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9EB0318"/>
    <w:rsid w:val="2A076083"/>
    <w:rsid w:val="2A73162E"/>
    <w:rsid w:val="2B167953"/>
    <w:rsid w:val="2B200583"/>
    <w:rsid w:val="2B8209DE"/>
    <w:rsid w:val="2BB63E64"/>
    <w:rsid w:val="2BD038E3"/>
    <w:rsid w:val="2C636760"/>
    <w:rsid w:val="2C6762A3"/>
    <w:rsid w:val="2FCA4B37"/>
    <w:rsid w:val="2FE029D7"/>
    <w:rsid w:val="2FF06E00"/>
    <w:rsid w:val="30586FEC"/>
    <w:rsid w:val="315F0B22"/>
    <w:rsid w:val="31D84415"/>
    <w:rsid w:val="32285F6F"/>
    <w:rsid w:val="32770556"/>
    <w:rsid w:val="329C0913"/>
    <w:rsid w:val="32AA0460"/>
    <w:rsid w:val="32EB745C"/>
    <w:rsid w:val="3337290D"/>
    <w:rsid w:val="33E31118"/>
    <w:rsid w:val="33EF7674"/>
    <w:rsid w:val="342D7BC6"/>
    <w:rsid w:val="352930DB"/>
    <w:rsid w:val="35470785"/>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B71723"/>
    <w:rsid w:val="3ADD7F09"/>
    <w:rsid w:val="3B1705E5"/>
    <w:rsid w:val="3B18334B"/>
    <w:rsid w:val="3B36794F"/>
    <w:rsid w:val="3B6F6EE0"/>
    <w:rsid w:val="3C167D4A"/>
    <w:rsid w:val="3C566AD6"/>
    <w:rsid w:val="3C594871"/>
    <w:rsid w:val="3C6A5B02"/>
    <w:rsid w:val="3D2757A1"/>
    <w:rsid w:val="3D3D4FC4"/>
    <w:rsid w:val="3D615139"/>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214171"/>
    <w:rsid w:val="4748792B"/>
    <w:rsid w:val="475D719D"/>
    <w:rsid w:val="47674801"/>
    <w:rsid w:val="48225EF7"/>
    <w:rsid w:val="488F422B"/>
    <w:rsid w:val="48E36915"/>
    <w:rsid w:val="48EB6572"/>
    <w:rsid w:val="495C4A24"/>
    <w:rsid w:val="497135DF"/>
    <w:rsid w:val="4A263DF2"/>
    <w:rsid w:val="4A6F6675"/>
    <w:rsid w:val="4B135857"/>
    <w:rsid w:val="4B7951CB"/>
    <w:rsid w:val="4B7C315C"/>
    <w:rsid w:val="4CD16E92"/>
    <w:rsid w:val="4DAC4ACA"/>
    <w:rsid w:val="4DBE01D2"/>
    <w:rsid w:val="4DF308AC"/>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4F1F55"/>
    <w:rsid w:val="55570FDE"/>
    <w:rsid w:val="555A3CBC"/>
    <w:rsid w:val="5582012B"/>
    <w:rsid w:val="558E4E05"/>
    <w:rsid w:val="55BE2E85"/>
    <w:rsid w:val="56530F5D"/>
    <w:rsid w:val="567700D3"/>
    <w:rsid w:val="56FF7E9E"/>
    <w:rsid w:val="578867FC"/>
    <w:rsid w:val="582D1C9F"/>
    <w:rsid w:val="5842572D"/>
    <w:rsid w:val="58552A42"/>
    <w:rsid w:val="5A3B59D6"/>
    <w:rsid w:val="5AD134D8"/>
    <w:rsid w:val="5B7E29DD"/>
    <w:rsid w:val="5C263CE4"/>
    <w:rsid w:val="5C5D2777"/>
    <w:rsid w:val="5CF66BF3"/>
    <w:rsid w:val="5D290C69"/>
    <w:rsid w:val="5E413B48"/>
    <w:rsid w:val="5F2D4A41"/>
    <w:rsid w:val="5FA137F9"/>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20499A"/>
    <w:rsid w:val="6A6C7940"/>
    <w:rsid w:val="6AAD2300"/>
    <w:rsid w:val="6B474EF5"/>
    <w:rsid w:val="6C0A5AC5"/>
    <w:rsid w:val="6C560CAE"/>
    <w:rsid w:val="6C576495"/>
    <w:rsid w:val="6D903FF5"/>
    <w:rsid w:val="6DA955B8"/>
    <w:rsid w:val="6DE346AB"/>
    <w:rsid w:val="6DE5391A"/>
    <w:rsid w:val="6E3D0CEF"/>
    <w:rsid w:val="6EFD1324"/>
    <w:rsid w:val="6F5A53AC"/>
    <w:rsid w:val="6FAC003D"/>
    <w:rsid w:val="6FDA4DF1"/>
    <w:rsid w:val="6FE55E12"/>
    <w:rsid w:val="6FFB2E76"/>
    <w:rsid w:val="708F6F7F"/>
    <w:rsid w:val="70D94BD3"/>
    <w:rsid w:val="71C34D91"/>
    <w:rsid w:val="72DB435C"/>
    <w:rsid w:val="72E2613A"/>
    <w:rsid w:val="72F771F4"/>
    <w:rsid w:val="731E4309"/>
    <w:rsid w:val="73934AD2"/>
    <w:rsid w:val="741B2AAE"/>
    <w:rsid w:val="750837F0"/>
    <w:rsid w:val="75317F7C"/>
    <w:rsid w:val="754758CF"/>
    <w:rsid w:val="76282C45"/>
    <w:rsid w:val="764F62AB"/>
    <w:rsid w:val="765C45EC"/>
    <w:rsid w:val="768A7619"/>
    <w:rsid w:val="772E1EBA"/>
    <w:rsid w:val="774F2226"/>
    <w:rsid w:val="781926BC"/>
    <w:rsid w:val="796D60A4"/>
    <w:rsid w:val="79A031D5"/>
    <w:rsid w:val="7A1525F7"/>
    <w:rsid w:val="7AA30EC0"/>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768" w:firstLineChars="200"/>
      <w:outlineLvl w:val="0"/>
    </w:pPr>
    <w:rPr>
      <w:rFonts w:eastAsia="方正黑体_GBK"/>
      <w:kern w:val="44"/>
      <w:sz w:val="32"/>
    </w:rPr>
  </w:style>
  <w:style w:type="paragraph" w:styleId="3">
    <w:name w:val="heading 2"/>
    <w:basedOn w:val="1"/>
    <w:next w:val="1"/>
    <w:link w:val="18"/>
    <w:unhideWhenUsed/>
    <w:qFormat/>
    <w:uiPriority w:val="0"/>
    <w:pPr>
      <w:keepNext/>
      <w:keepLines/>
      <w:spacing w:beforeLines="0" w:beforeAutospacing="0" w:afterLines="0" w:afterAutospacing="0" w:line="560" w:lineRule="exact"/>
      <w:ind w:firstLine="768" w:firstLineChars="200"/>
      <w:outlineLvl w:val="1"/>
    </w:pPr>
    <w:rPr>
      <w:rFonts w:ascii="Arial" w:hAnsi="Arial" w:eastAsia="方正楷体_GBK"/>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character" w:customStyle="1" w:styleId="18">
    <w:name w:val="标题 2 Char"/>
    <w:link w:val="3"/>
    <w:qFormat/>
    <w:uiPriority w:val="0"/>
    <w:rPr>
      <w:rFonts w:ascii="Arial" w:hAnsi="Arial" w:eastAsia="方正楷体_GBK"/>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28</TotalTime>
  <ScaleCrop>false</ScaleCrop>
  <LinksUpToDate>false</LinksUpToDate>
  <CharactersWithSpaces>26776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2024-10-08T08:51:45Z</cp:lastPrinted>
  <dcterms:modified xsi:type="dcterms:W3CDTF">2024-10-08T09:11:36Z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BB46EABDBB2749749395447164B066B3_12</vt:lpwstr>
  </property>
</Properties>
</file>