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Autospacing="0" w:after="0" w:afterAutospacing="0" w:line="596" w:lineRule="exact"/>
        <w:jc w:val="center"/>
        <w:rPr>
          <w:rFonts w:hint="eastAsia" w:ascii="方正小标宋_GBK" w:hAnsi="方正小标宋_GBK" w:eastAsia="方正小标宋_GBK" w:cs="方正小标宋_GBK"/>
          <w:b w:val="0"/>
          <w:bCs w:val="0"/>
          <w:sz w:val="36"/>
          <w:szCs w:val="36"/>
          <w:shd w:val="clear" w:color="auto" w:fill="FFFFFF"/>
          <w:lang w:val="en-US" w:eastAsia="zh-CN" w:bidi="ar-SA"/>
        </w:rPr>
      </w:pPr>
      <w:r>
        <w:rPr>
          <w:rFonts w:hint="eastAsia" w:ascii="方正小标宋_GBK" w:hAnsi="方正小标宋_GBK" w:eastAsia="方正小标宋_GBK" w:cs="方正小标宋_GBK"/>
          <w:b w:val="0"/>
          <w:bCs w:val="0"/>
          <w:sz w:val="36"/>
          <w:szCs w:val="36"/>
          <w:lang w:val="en-US" w:eastAsia="zh-CN" w:bidi="ar-SA"/>
        </w:rPr>
        <w:t>重庆市荣昌区人民政府昌元街道办事处</w:t>
      </w:r>
      <w:r>
        <w:rPr>
          <w:rFonts w:hint="default" w:ascii="Times New Roman" w:hAnsi="Times New Roman" w:eastAsia="方正小标宋_GBK" w:cs="Times New Roman"/>
          <w:b w:val="0"/>
          <w:bCs w:val="0"/>
          <w:sz w:val="36"/>
          <w:szCs w:val="36"/>
          <w:shd w:val="clear" w:color="auto" w:fill="FFFFFF"/>
          <w:lang w:val="en-US" w:eastAsia="zh-CN" w:bidi="ar-SA"/>
        </w:rPr>
        <w:t>2024</w:t>
      </w:r>
      <w:r>
        <w:rPr>
          <w:rFonts w:hint="eastAsia" w:ascii="方正小标宋_GBK" w:hAnsi="方正小标宋_GBK" w:eastAsia="方正小标宋_GBK" w:cs="方正小标宋_GBK"/>
          <w:b w:val="0"/>
          <w:bCs w:val="0"/>
          <w:sz w:val="36"/>
          <w:szCs w:val="36"/>
          <w:shd w:val="clear" w:color="auto" w:fill="FFFFFF"/>
          <w:lang w:val="en-US" w:eastAsia="zh-CN" w:bidi="ar-SA"/>
        </w:rPr>
        <w:t>年度决算公开说明</w:t>
      </w:r>
    </w:p>
    <w:p>
      <w:pPr>
        <w:spacing w:before="0" w:beforeAutospacing="0" w:after="0" w:afterAutospacing="0" w:line="596" w:lineRule="exact"/>
        <w:jc w:val="center"/>
        <w:rPr>
          <w:rFonts w:hint="default" w:ascii="方正小标宋_GBK" w:hAnsi="方正小标宋_GBK" w:eastAsia="方正小标宋_GBK" w:cs="方正小标宋_GBK"/>
          <w:b w:val="0"/>
          <w:bCs w:val="0"/>
          <w:sz w:val="36"/>
          <w:szCs w:val="36"/>
          <w:shd w:val="clear" w:color="auto" w:fill="FFFFFF"/>
          <w:lang w:val="en-US" w:eastAsia="zh-CN" w:bidi="ar-SA"/>
        </w:rPr>
      </w:pP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一、部门基本情况</w:t>
      </w:r>
    </w:p>
    <w:p>
      <w:pPr>
        <w:keepNext/>
        <w:keepLines/>
        <w:bidi w:val="0"/>
        <w:snapToGrid w:val="0"/>
        <w:spacing w:beforeLines="0" w:beforeAutospacing="0" w:afterLines="0" w:afterAutospacing="0" w:line="560" w:lineRule="exact"/>
        <w:ind w:firstLine="640" w:firstLineChars="200"/>
        <w:outlineLvl w:val="1"/>
        <w:rPr>
          <w:rFonts w:hint="default"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（一）职能职责</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根据《中共重庆市委办公厅重庆市人民政府办公厅印发〈关于进一步优化完善乡镇机构设置的指导意见〉的通知》（渝委办发〔</w:t>
      </w:r>
      <w:r>
        <w:rPr>
          <w:rFonts w:hint="eastAsia" w:ascii="Times New Roman" w:hAnsi="Times New Roman" w:eastAsia="方正仿宋_GBK" w:cs="Times New Roman"/>
          <w:sz w:val="32"/>
          <w:szCs w:val="32"/>
          <w:shd w:val="clear" w:color="auto" w:fill="FFFFFF"/>
          <w:lang w:val="en-US" w:eastAsia="zh-CN" w:bidi="ar-SA"/>
        </w:rPr>
        <w:t>2018</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color w:val="auto"/>
          <w:sz w:val="32"/>
          <w:szCs w:val="32"/>
          <w:shd w:val="clear" w:color="auto" w:fill="FFFFFF"/>
          <w:lang w:val="en-US" w:eastAsia="zh-CN" w:bidi="ar-SA"/>
        </w:rPr>
        <w:t>号）和《中共重庆市荣昌区委办公室重庆市荣昌区人民政府办公室关于印发〈重庆市荣昌区优化完善乡镇机构设置实方案〉的通知》（荣委办发〔</w:t>
      </w:r>
      <w:r>
        <w:rPr>
          <w:rFonts w:hint="eastAsia" w:ascii="Times New Roman" w:hAnsi="Times New Roman" w:eastAsia="方正仿宋_GBK" w:cs="Times New Roman"/>
          <w:sz w:val="32"/>
          <w:szCs w:val="32"/>
          <w:shd w:val="clear" w:color="auto" w:fill="FFFFFF"/>
          <w:lang w:val="en-US" w:eastAsia="zh-CN" w:bidi="ar-SA"/>
        </w:rPr>
        <w:t>2019</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44</w:t>
      </w:r>
      <w:r>
        <w:rPr>
          <w:rFonts w:hint="eastAsia" w:ascii="方正仿宋_GBK" w:hAnsi="方正仿宋_GBK" w:eastAsia="方正仿宋_GBK" w:cs="方正仿宋_GBK"/>
          <w:color w:val="auto"/>
          <w:sz w:val="32"/>
          <w:szCs w:val="32"/>
          <w:shd w:val="clear" w:color="auto" w:fill="FFFFFF"/>
          <w:lang w:val="en-US" w:eastAsia="zh-CN" w:bidi="ar-SA"/>
        </w:rPr>
        <w:t>号）精神，昌元街道办事处主要负责指导、帮助村（居）委会开展组织建设、制度建设和其它工作；负责本辖区村（社区）建设、管理和服务工作；做好农业技术，促进农村发展；做好社会救助和其他社会保障工作；执行本辖区内经济和社会发展计划、财政预算，管理本辖区内的社会事务管理、劳动和社会保障、计划生育、环境保护、文化、卫生、安全生产、计划生育等行政工作；负责维护本辖区内社会秩序稳定，做好社会治安综合治理和人民调解工作；维护老年人、未成年人、妇女、残疾人等的合法权益；开展拥军优属，做好国防动员和兵役工作；配合做好防灾救灾工作；向区人民政府反映居民的意见和要求，处理群众来信来访事项以及完成上级政府交办的其他事项。</w:t>
      </w:r>
    </w:p>
    <w:p>
      <w:pPr>
        <w:keepNext/>
        <w:keepLines/>
        <w:bidi w:val="0"/>
        <w:snapToGrid w:val="0"/>
        <w:spacing w:beforeLines="0" w:beforeAutospacing="0" w:afterLines="0" w:afterAutospacing="0" w:line="560" w:lineRule="exact"/>
        <w:ind w:firstLine="640" w:firstLineChars="200"/>
        <w:outlineLvl w:val="1"/>
        <w:rPr>
          <w:rFonts w:hint="default"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（二）机构设置</w:t>
      </w:r>
    </w:p>
    <w:p>
      <w:pPr>
        <w:keepNext w:val="0"/>
        <w:keepLines w:val="0"/>
        <w:pageBreakBefore w:val="0"/>
        <w:widowControl/>
        <w:shd w:val="clear" w:color="auto" w:fill="FFFFFF"/>
        <w:kinsoku/>
        <w:wordWrap/>
        <w:overflowPunct/>
        <w:topLinePunct w:val="0"/>
        <w:autoSpaceDE/>
        <w:autoSpaceDN/>
        <w:bidi w:val="0"/>
        <w:adjustRightInd/>
        <w:snapToGrid w:val="0"/>
        <w:spacing w:line="596"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color w:val="auto"/>
          <w:sz w:val="32"/>
          <w:szCs w:val="32"/>
          <w:shd w:val="clear" w:color="auto" w:fill="FFFFFF"/>
          <w:lang w:val="en-US" w:eastAsia="zh-CN" w:bidi="ar-SA"/>
        </w:rPr>
        <w:t>根据《中共重庆市荣昌区委机构编制委员会关于昌元街道机关及所属事业单位机构编制事项的通知》（荣委编委</w:t>
      </w: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39</w:t>
      </w:r>
      <w:r>
        <w:rPr>
          <w:rFonts w:hint="eastAsia" w:ascii="方正仿宋_GBK" w:hAnsi="方正仿宋_GBK" w:eastAsia="方正仿宋_GBK" w:cs="方正仿宋_GBK"/>
          <w:color w:val="auto"/>
          <w:sz w:val="32"/>
          <w:szCs w:val="32"/>
          <w:shd w:val="clear" w:color="auto" w:fill="FFFFFF"/>
          <w:lang w:val="en-US" w:eastAsia="zh-CN" w:bidi="ar-SA"/>
        </w:rPr>
        <w:t>号），昌元街道统筹设置</w:t>
      </w:r>
      <w:r>
        <w:rPr>
          <w:rFonts w:hint="eastAsia" w:ascii="Times New Roman" w:hAnsi="Times New Roman" w:eastAsia="方正仿宋_GBK" w:cs="Times New Roman"/>
          <w:sz w:val="32"/>
          <w:szCs w:val="32"/>
          <w:shd w:val="clear" w:color="auto" w:fill="FFFFFF"/>
          <w:lang w:val="en-US" w:eastAsia="zh-CN" w:bidi="ar-SA"/>
        </w:rPr>
        <w:t>5</w:t>
      </w:r>
      <w:r>
        <w:rPr>
          <w:rFonts w:hint="eastAsia" w:ascii="方正仿宋_GBK" w:hAnsi="方正仿宋_GBK" w:eastAsia="方正仿宋_GBK" w:cs="方正仿宋_GBK"/>
          <w:color w:val="auto"/>
          <w:sz w:val="32"/>
          <w:szCs w:val="32"/>
          <w:shd w:val="clear" w:color="auto" w:fill="FFFFFF"/>
          <w:lang w:val="en-US" w:eastAsia="zh-CN" w:bidi="ar-SA"/>
        </w:rPr>
        <w:t>个内设机构，分别为：基层治理综合指挥室、党的建设办公室、经济发展办公室、民生服务办公室、平安法治公室；原设置的党政办公室等</w:t>
      </w:r>
      <w:r>
        <w:rPr>
          <w:rFonts w:hint="eastAsia"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color w:val="auto"/>
          <w:sz w:val="32"/>
          <w:szCs w:val="32"/>
          <w:shd w:val="clear" w:color="auto" w:fill="FFFFFF"/>
          <w:lang w:val="en-US" w:eastAsia="zh-CN" w:bidi="ar-SA"/>
        </w:rPr>
        <w:t>个内设机构一律不再保留。</w:t>
      </w:r>
    </w:p>
    <w:p>
      <w:pPr>
        <w:keepNext w:val="0"/>
        <w:keepLines w:val="0"/>
        <w:pageBreakBefore w:val="0"/>
        <w:widowControl/>
        <w:shd w:val="clear" w:color="auto" w:fill="FFFFFF"/>
        <w:kinsoku/>
        <w:wordWrap/>
        <w:overflowPunct/>
        <w:topLinePunct w:val="0"/>
        <w:autoSpaceDE/>
        <w:autoSpaceDN/>
        <w:bidi w:val="0"/>
        <w:adjustRightInd/>
        <w:snapToGrid w:val="0"/>
        <w:spacing w:line="596"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color w:val="auto"/>
          <w:sz w:val="32"/>
          <w:szCs w:val="32"/>
          <w:shd w:val="clear" w:color="auto" w:fill="FFFFFF"/>
          <w:lang w:val="en-US" w:eastAsia="zh-CN" w:bidi="ar-SA"/>
        </w:rPr>
        <w:t>从预算单位构成看，纳入本部门</w:t>
      </w: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color w:val="auto"/>
          <w:sz w:val="32"/>
          <w:szCs w:val="32"/>
          <w:shd w:val="clear" w:color="auto" w:fill="FFFFFF"/>
          <w:lang w:val="en-US" w:eastAsia="zh-CN" w:bidi="ar-SA"/>
        </w:rPr>
        <w:t>年度决算编制的二级预算单位共有</w:t>
      </w:r>
      <w:r>
        <w:rPr>
          <w:rFonts w:hint="eastAsia" w:ascii="Times New Roman" w:hAnsi="Times New Roman" w:eastAsia="方正仿宋_GBK" w:cs="Times New Roman"/>
          <w:sz w:val="32"/>
          <w:szCs w:val="32"/>
          <w:shd w:val="clear" w:color="auto" w:fill="FFFFFF"/>
          <w:lang w:val="en-US" w:eastAsia="zh-CN" w:bidi="ar-SA"/>
        </w:rPr>
        <w:t>8</w:t>
      </w:r>
      <w:r>
        <w:rPr>
          <w:rFonts w:hint="eastAsia" w:ascii="方正仿宋_GBK" w:hAnsi="方正仿宋_GBK" w:eastAsia="方正仿宋_GBK" w:cs="方正仿宋_GBK"/>
          <w:color w:val="auto"/>
          <w:sz w:val="32"/>
          <w:szCs w:val="32"/>
          <w:shd w:val="clear" w:color="auto" w:fill="FFFFFF"/>
          <w:lang w:val="en-US" w:eastAsia="zh-CN" w:bidi="ar-SA"/>
        </w:rPr>
        <w:t>个，主要包括昌元街道办事处本级、社区事务服务中心、社区文化服务中心、劳动就业和社会保障服务所、退役军人服务站、综合行政执法大队、农业服务中心、建设环保服务中心。</w:t>
      </w: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二、部门决算收支情况说明</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（一）收入支出决算总体情况说明</w:t>
      </w:r>
    </w:p>
    <w:p>
      <w:pPr>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年度收、支总计均为</w:t>
      </w:r>
      <w:r>
        <w:rPr>
          <w:rFonts w:hint="default" w:ascii="Times New Roman" w:hAnsi="Times New Roman" w:eastAsia="方正仿宋_GBK" w:cs="Times New Roman"/>
          <w:sz w:val="32"/>
          <w:szCs w:val="32"/>
          <w:shd w:val="clear" w:color="auto" w:fill="FFFFFF"/>
          <w:lang w:val="en-US" w:eastAsia="zh-CN" w:bidi="ar-SA"/>
        </w:rPr>
        <w:t>9755.29</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收、支与2023年度相比，减少7352.92万元，下降43.0%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在编人员减少、老旧小区改造提升工程等项目资金减少。</w:t>
      </w:r>
    </w:p>
    <w:p>
      <w:pPr>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2"/>
          <w:rFonts w:hint="eastAsia" w:ascii="Times New Roman" w:hAnsi="Times New Roman" w:eastAsia="方正仿宋_GBK" w:cs="Times New Roman"/>
          <w:sz w:val="32"/>
          <w:szCs w:val="32"/>
          <w:shd w:val="clear" w:color="auto" w:fill="FFFFFF"/>
          <w:lang w:val="en-US" w:eastAsia="zh-CN" w:bidi="ar-SA"/>
        </w:rPr>
        <w:t>1</w:t>
      </w:r>
      <w:r>
        <w:rPr>
          <w:rStyle w:val="12"/>
          <w:rFonts w:hint="eastAsia" w:ascii="方正仿宋_GBK" w:hAnsi="方正仿宋_GBK" w:eastAsia="方正仿宋_GBK" w:cs="方正仿宋_GBK"/>
          <w:sz w:val="32"/>
          <w:szCs w:val="32"/>
          <w:shd w:val="clear" w:color="auto" w:fill="FFFFFF"/>
          <w:lang w:val="en-US" w:eastAsia="zh-CN" w:bidi="ar-SA"/>
        </w:rPr>
        <w:t>.收入情况。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年度收入合计</w:t>
      </w:r>
      <w:r>
        <w:rPr>
          <w:rFonts w:hint="default" w:ascii="Times New Roman" w:hAnsi="Times New Roman" w:eastAsia="方正仿宋_GBK" w:cs="Times New Roman"/>
          <w:sz w:val="32"/>
          <w:szCs w:val="32"/>
          <w:shd w:val="clear" w:color="auto" w:fill="FFFFFF"/>
          <w:lang w:val="en-US" w:eastAsia="zh-CN" w:bidi="ar-SA"/>
        </w:rPr>
        <w:t>9239.52</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与2023年度相比，减少7856.69万元，下降46.0%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Times New Roman" w:hAnsi="Times New Roman" w:eastAsia="方正仿宋_GBK" w:cs="Times New Roman"/>
          <w:sz w:val="32"/>
          <w:szCs w:val="32"/>
          <w:shd w:val="clear" w:color="auto" w:fill="FFFFFF"/>
          <w:lang w:val="en-US" w:eastAsia="zh-CN" w:bidi="ar-SA"/>
        </w:rPr>
        <w:t>编人员减少、老旧小区改造提升工程等项目资金减少</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其中：财政拨款收入</w:t>
      </w:r>
      <w:r>
        <w:rPr>
          <w:rFonts w:hint="default" w:ascii="Times New Roman" w:hAnsi="Times New Roman" w:eastAsia="方正仿宋_GBK" w:cs="Times New Roman"/>
          <w:sz w:val="32"/>
          <w:szCs w:val="32"/>
          <w:shd w:val="clear" w:color="auto" w:fill="FFFFFF"/>
          <w:lang w:val="en-US" w:eastAsia="zh-CN" w:bidi="ar-SA"/>
        </w:rPr>
        <w:t>9239.52</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100.0%</w:t>
      </w:r>
      <w:r>
        <w:rPr>
          <w:rFonts w:hint="eastAsia" w:ascii="方正仿宋_GBK" w:hAnsi="方正仿宋_GBK" w:eastAsia="方正仿宋_GBK" w:cs="方正仿宋_GBK"/>
          <w:sz w:val="32"/>
          <w:szCs w:val="32"/>
          <w:shd w:val="clear" w:color="auto" w:fill="FFFFFF"/>
          <w:lang w:val="en-US" w:eastAsia="zh-CN" w:bidi="ar-SA"/>
        </w:rPr>
        <w:t>；事业收入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；经营收入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；其他收入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。此外，使用非财政拨款结余（含专用结余）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万元，年初结转和结余</w:t>
      </w:r>
      <w:r>
        <w:rPr>
          <w:rFonts w:hint="default" w:ascii="Times New Roman" w:hAnsi="Times New Roman" w:eastAsia="方正仿宋_GBK" w:cs="Times New Roman"/>
          <w:sz w:val="32"/>
          <w:szCs w:val="32"/>
          <w:shd w:val="clear" w:color="auto" w:fill="FFFFFF"/>
          <w:lang w:val="en-US" w:eastAsia="zh-CN" w:bidi="ar-SA"/>
        </w:rPr>
        <w:t>515.76</w:t>
      </w:r>
      <w:r>
        <w:rPr>
          <w:rFonts w:hint="eastAsia" w:ascii="方正仿宋_GBK" w:hAnsi="方正仿宋_GBK" w:eastAsia="方正仿宋_GBK" w:cs="方正仿宋_GBK"/>
          <w:sz w:val="32"/>
          <w:szCs w:val="32"/>
          <w:shd w:val="clear" w:color="auto" w:fill="FFFFFF"/>
          <w:lang w:val="en-US" w:eastAsia="zh-CN" w:bidi="ar-SA"/>
        </w:rPr>
        <w:t>万元。</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2"/>
          <w:rFonts w:hint="eastAsia" w:ascii="Times New Roman" w:hAnsi="Times New Roman" w:eastAsia="方正仿宋_GBK" w:cs="Times New Roman"/>
          <w:sz w:val="32"/>
          <w:szCs w:val="32"/>
          <w:shd w:val="clear" w:color="auto" w:fill="FFFFFF"/>
          <w:lang w:val="en-US" w:eastAsia="zh-CN" w:bidi="ar-SA"/>
        </w:rPr>
        <w:t>2</w:t>
      </w:r>
      <w:r>
        <w:rPr>
          <w:rStyle w:val="12"/>
          <w:rFonts w:hint="eastAsia" w:ascii="方正仿宋_GBK" w:hAnsi="方正仿宋_GBK" w:eastAsia="方正仿宋_GBK" w:cs="方正仿宋_GBK"/>
          <w:sz w:val="32"/>
          <w:szCs w:val="32"/>
          <w:shd w:val="clear" w:color="auto" w:fill="FFFFFF"/>
          <w:lang w:val="en-US" w:eastAsia="zh-CN" w:bidi="ar-SA"/>
        </w:rPr>
        <w:t>.支出情况。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年度支出合计</w:t>
      </w:r>
      <w:r>
        <w:rPr>
          <w:rFonts w:hint="default" w:ascii="Times New Roman" w:hAnsi="Times New Roman" w:eastAsia="方正仿宋_GBK" w:cs="Times New Roman"/>
          <w:sz w:val="32"/>
          <w:szCs w:val="32"/>
          <w:shd w:val="clear" w:color="auto" w:fill="FFFFFF"/>
          <w:lang w:val="en-US" w:eastAsia="zh-CN" w:bidi="ar-SA"/>
        </w:rPr>
        <w:t>9755.29</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与2023年度相比，减少7352.92万元，下降43.0%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编人员减少、老旧小区改造提升工程等项目资金减少。</w:t>
      </w:r>
      <w:r>
        <w:rPr>
          <w:rFonts w:hint="eastAsia" w:ascii="方正仿宋_GBK" w:hAnsi="方正仿宋_GBK" w:eastAsia="方正仿宋_GBK" w:cs="方正仿宋_GBK"/>
          <w:sz w:val="32"/>
          <w:szCs w:val="32"/>
          <w:shd w:val="clear" w:color="auto" w:fill="FFFFFF"/>
          <w:lang w:val="en-US" w:eastAsia="zh-CN" w:bidi="ar-SA"/>
        </w:rPr>
        <w:t>其中：基本支出</w:t>
      </w:r>
      <w:r>
        <w:rPr>
          <w:rFonts w:hint="default" w:ascii="Times New Roman" w:hAnsi="Times New Roman" w:eastAsia="方正仿宋_GBK" w:cs="Times New Roman"/>
          <w:sz w:val="32"/>
          <w:szCs w:val="32"/>
          <w:shd w:val="clear" w:color="auto" w:fill="FFFFFF"/>
          <w:lang w:val="en-US" w:eastAsia="zh-CN" w:bidi="ar-SA"/>
        </w:rPr>
        <w:t>2773.56</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28.4%</w:t>
      </w:r>
      <w:r>
        <w:rPr>
          <w:rFonts w:hint="eastAsia" w:ascii="方正仿宋_GBK" w:hAnsi="方正仿宋_GBK" w:eastAsia="方正仿宋_GBK" w:cs="方正仿宋_GBK"/>
          <w:sz w:val="32"/>
          <w:szCs w:val="32"/>
          <w:shd w:val="clear" w:color="auto" w:fill="FFFFFF"/>
          <w:lang w:val="en-US" w:eastAsia="zh-CN" w:bidi="ar-SA"/>
        </w:rPr>
        <w:t>；项目支出</w:t>
      </w:r>
      <w:r>
        <w:rPr>
          <w:rFonts w:hint="default" w:ascii="Times New Roman" w:hAnsi="Times New Roman" w:eastAsia="方正仿宋_GBK" w:cs="Times New Roman"/>
          <w:sz w:val="32"/>
          <w:szCs w:val="32"/>
          <w:shd w:val="clear" w:color="auto" w:fill="FFFFFF"/>
          <w:lang w:val="en-US" w:eastAsia="zh-CN" w:bidi="ar-SA"/>
        </w:rPr>
        <w:t>6981.73</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71.6%</w:t>
      </w:r>
      <w:r>
        <w:rPr>
          <w:rFonts w:hint="eastAsia" w:ascii="方正仿宋_GBK" w:hAnsi="方正仿宋_GBK" w:eastAsia="方正仿宋_GBK" w:cs="方正仿宋_GBK"/>
          <w:sz w:val="32"/>
          <w:szCs w:val="32"/>
          <w:shd w:val="clear" w:color="auto" w:fill="FFFFFF"/>
          <w:lang w:val="en-US" w:eastAsia="zh-CN" w:bidi="ar-SA"/>
        </w:rPr>
        <w:t>；经营支出</w:t>
      </w:r>
      <w:r>
        <w:rPr>
          <w:rFonts w:hint="default" w:ascii="Times New Roman" w:hAnsi="Times New Roman" w:eastAsia="方正仿宋_GBK" w:cs="Times New Roman"/>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。此外，结余分配</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lang w:val="en-US" w:eastAsia="zh-CN" w:bidi="ar-SA"/>
        </w:rPr>
      </w:pPr>
      <w:r>
        <w:rPr>
          <w:rStyle w:val="12"/>
          <w:rFonts w:hint="eastAsia" w:ascii="Times New Roman" w:hAnsi="Times New Roman" w:eastAsia="方正仿宋_GBK" w:cs="Times New Roman"/>
          <w:sz w:val="32"/>
          <w:szCs w:val="32"/>
          <w:shd w:val="clear" w:color="auto" w:fill="FFFFFF"/>
          <w:lang w:val="en-US" w:eastAsia="zh-CN" w:bidi="ar-SA"/>
        </w:rPr>
        <w:t>3</w:t>
      </w:r>
      <w:r>
        <w:rPr>
          <w:rStyle w:val="12"/>
          <w:rFonts w:hint="eastAsia" w:ascii="方正仿宋_GBK" w:hAnsi="方正仿宋_GBK" w:eastAsia="方正仿宋_GBK" w:cs="方正仿宋_GBK"/>
          <w:sz w:val="32"/>
          <w:szCs w:val="32"/>
          <w:shd w:val="clear" w:color="auto" w:fill="FFFFFF"/>
          <w:lang w:val="en-US" w:eastAsia="zh-CN" w:bidi="ar-SA"/>
        </w:rPr>
        <w:t>.结转结余情况。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年度年末结转和结余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2024年财政已收回所有剩余指标，无结转结余。</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（二）财政拨款收入支出决算总体情况说明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年度财政拨款收、支总计均为</w:t>
      </w:r>
      <w:r>
        <w:rPr>
          <w:rFonts w:hint="default" w:ascii="Times New Roman" w:hAnsi="Times New Roman" w:eastAsia="方正仿宋_GBK" w:cs="Times New Roman"/>
          <w:sz w:val="32"/>
          <w:szCs w:val="32"/>
          <w:shd w:val="clear" w:color="auto" w:fill="FFFFFF"/>
          <w:lang w:val="en-US" w:eastAsia="zh-CN" w:bidi="ar-SA"/>
        </w:rPr>
        <w:t>9755.29</w:t>
      </w:r>
      <w:r>
        <w:rPr>
          <w:rFonts w:hint="eastAsia" w:ascii="方正仿宋_GBK" w:hAnsi="方正仿宋_GBK" w:eastAsia="方正仿宋_GBK" w:cs="方正仿宋_GBK"/>
          <w:sz w:val="32"/>
          <w:szCs w:val="32"/>
          <w:shd w:val="clear" w:color="auto" w:fill="FFFFFF"/>
          <w:lang w:val="en-US" w:eastAsia="zh-CN" w:bidi="ar-SA"/>
        </w:rPr>
        <w:t>万元。与</w:t>
      </w:r>
      <w:r>
        <w:rPr>
          <w:rFonts w:hint="default" w:ascii="Times New Roman" w:hAnsi="Times New Roman" w:eastAsia="方正仿宋_GBK" w:cs="Times New Roman"/>
          <w:sz w:val="32"/>
          <w:szCs w:val="32"/>
          <w:shd w:val="clear" w:color="auto" w:fill="FFFFFF"/>
          <w:lang w:val="en-US" w:eastAsia="zh-CN" w:bidi="ar-SA"/>
        </w:rPr>
        <w:t>2023</w:t>
      </w:r>
      <w:r>
        <w:rPr>
          <w:rFonts w:hint="eastAsia" w:ascii="方正仿宋_GBK" w:hAnsi="方正仿宋_GBK" w:eastAsia="方正仿宋_GBK" w:cs="方正仿宋_GBK"/>
          <w:sz w:val="32"/>
          <w:szCs w:val="32"/>
          <w:shd w:val="clear" w:color="auto" w:fill="FFFFFF"/>
          <w:lang w:val="en-US" w:eastAsia="zh-CN" w:bidi="ar-SA"/>
        </w:rPr>
        <w:t>年度相比，</w:t>
      </w:r>
      <w:r>
        <w:rPr>
          <w:rFonts w:hint="default" w:ascii="Times New Roman" w:hAnsi="Times New Roman" w:eastAsia="方正仿宋_GBK" w:cs="Times New Roman"/>
          <w:sz w:val="32"/>
          <w:szCs w:val="32"/>
          <w:shd w:val="clear" w:color="auto" w:fill="FFFFFF"/>
          <w:lang w:val="en-US" w:eastAsia="zh-CN" w:bidi="ar-SA"/>
        </w:rPr>
        <w:t>财政拨款收、支总计各减少7252.50万元，下降42.6%</w:t>
      </w:r>
      <w:r>
        <w:rPr>
          <w:rFonts w:hint="eastAsia" w:ascii="方正仿宋_GBK" w:hAnsi="方正仿宋_GBK" w:eastAsia="方正仿宋_GBK" w:cs="方正仿宋_GBK"/>
          <w:sz w:val="32"/>
          <w:szCs w:val="32"/>
          <w:shd w:val="clear" w:color="auto" w:fill="FFFFFF"/>
          <w:lang w:val="en-US" w:eastAsia="zh-CN" w:bidi="ar-SA"/>
        </w:rPr>
        <w:t>。主要原</w:t>
      </w:r>
      <w:r>
        <w:rPr>
          <w:rFonts w:hint="eastAsia" w:ascii="方正仿宋_GBK" w:hAnsi="方正仿宋_GBK" w:eastAsia="方正仿宋_GBK" w:cs="方正仿宋_GBK"/>
          <w:color w:val="auto"/>
          <w:sz w:val="32"/>
          <w:szCs w:val="32"/>
          <w:shd w:val="clear" w:color="auto" w:fill="FFFFFF"/>
          <w:lang w:val="en-US" w:eastAsia="zh-CN" w:bidi="ar-SA"/>
        </w:rPr>
        <w:t>因是老旧小区改造提升工程项目预算减少。</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（三）一般公共预算财政拨款收入支出决算情况说明</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lang w:val="en-US" w:eastAsia="zh-CN" w:bidi="ar-SA"/>
        </w:rPr>
      </w:pPr>
      <w:r>
        <w:rPr>
          <w:rStyle w:val="12"/>
          <w:rFonts w:hint="default" w:ascii="Times New Roman" w:hAnsi="Times New Roman" w:eastAsia="方正仿宋_GBK" w:cs="Times New Roman"/>
          <w:sz w:val="32"/>
          <w:szCs w:val="32"/>
          <w:shd w:val="clear" w:color="auto" w:fill="FFFFFF"/>
          <w:lang w:val="en-US" w:eastAsia="zh-CN" w:bidi="ar-SA"/>
        </w:rPr>
        <w:t>1</w:t>
      </w:r>
      <w:r>
        <w:rPr>
          <w:rStyle w:val="12"/>
          <w:rFonts w:hint="eastAsia" w:ascii="方正仿宋_GBK" w:hAnsi="方正仿宋_GBK" w:eastAsia="方正仿宋_GBK" w:cs="方正仿宋_GBK"/>
          <w:sz w:val="32"/>
          <w:szCs w:val="32"/>
          <w:shd w:val="clear" w:color="auto" w:fill="FFFFFF"/>
          <w:lang w:val="en-US" w:eastAsia="zh-CN" w:bidi="ar-SA"/>
        </w:rPr>
        <w:t>.收入情况。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年度一般公共预算财政拨款收入</w:t>
      </w:r>
      <w:r>
        <w:rPr>
          <w:rFonts w:hint="default" w:ascii="Times New Roman" w:hAnsi="Times New Roman" w:eastAsia="方正仿宋_GBK" w:cs="Times New Roman"/>
          <w:sz w:val="32"/>
          <w:szCs w:val="32"/>
          <w:shd w:val="clear" w:color="auto" w:fill="FFFFFF"/>
          <w:lang w:val="en-US" w:eastAsia="zh-CN" w:bidi="ar-SA"/>
        </w:rPr>
        <w:t>8037.62</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与2023年度相比，减少7201.78万元，下降47.3%</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老旧小区改造提升工程项目预算减少。</w:t>
      </w:r>
      <w:r>
        <w:rPr>
          <w:rFonts w:hint="default" w:ascii="Times New Roman" w:hAnsi="Times New Roman" w:eastAsia="方正仿宋_GBK" w:cs="Times New Roman"/>
          <w:sz w:val="32"/>
          <w:szCs w:val="32"/>
          <w:shd w:val="clear" w:color="auto" w:fill="FFFFFF"/>
          <w:lang w:val="en-US" w:eastAsia="zh-CN" w:bidi="ar-SA"/>
        </w:rPr>
        <w:t>较年初预算数减少702.76万元，下降8.0%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市场主体经济专项扶持、海棠和苑老旧小区主体改造工程、昌元街道品质提升等项目资金年中调减。</w:t>
      </w:r>
      <w:r>
        <w:rPr>
          <w:rFonts w:hint="eastAsia" w:ascii="方正仿宋_GBK" w:hAnsi="方正仿宋_GBK" w:eastAsia="方正仿宋_GBK" w:cs="方正仿宋_GBK"/>
          <w:sz w:val="32"/>
          <w:szCs w:val="32"/>
          <w:shd w:val="clear" w:color="auto" w:fill="FFFFFF"/>
          <w:lang w:val="en-US" w:eastAsia="zh-CN" w:bidi="ar-SA"/>
        </w:rPr>
        <w:t>此外，年初财政拨款结转和结余</w:t>
      </w:r>
      <w:r>
        <w:rPr>
          <w:rFonts w:hint="default" w:ascii="Times New Roman" w:hAnsi="Times New Roman" w:eastAsia="方正仿宋_GBK" w:cs="Times New Roman"/>
          <w:sz w:val="32"/>
          <w:szCs w:val="32"/>
          <w:shd w:val="clear" w:color="auto" w:fill="FFFFFF"/>
          <w:lang w:val="en-US" w:eastAsia="zh-CN" w:bidi="ar-SA"/>
        </w:rPr>
        <w:t>515.76</w:t>
      </w:r>
      <w:r>
        <w:rPr>
          <w:rFonts w:hint="eastAsia" w:ascii="方正仿宋_GBK" w:hAnsi="方正仿宋_GBK" w:eastAsia="方正仿宋_GBK" w:cs="方正仿宋_GBK"/>
          <w:sz w:val="32"/>
          <w:szCs w:val="32"/>
          <w:shd w:val="clear" w:color="auto" w:fill="FFFFFF"/>
          <w:lang w:val="en-US" w:eastAsia="zh-CN" w:bidi="ar-SA"/>
        </w:rPr>
        <w:t>万元。</w:t>
      </w:r>
    </w:p>
    <w:p>
      <w:pPr>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Style w:val="12"/>
          <w:rFonts w:hint="default" w:ascii="Times New Roman" w:hAnsi="Times New Roman" w:eastAsia="方正仿宋_GBK" w:cs="Times New Roman"/>
          <w:sz w:val="32"/>
          <w:szCs w:val="32"/>
          <w:shd w:val="clear" w:color="auto" w:fill="FFFFFF"/>
          <w:lang w:val="en-US" w:eastAsia="zh-CN" w:bidi="ar-SA"/>
        </w:rPr>
        <w:t>2</w:t>
      </w:r>
      <w:r>
        <w:rPr>
          <w:rStyle w:val="12"/>
          <w:rFonts w:hint="eastAsia" w:ascii="方正仿宋_GBK" w:hAnsi="方正仿宋_GBK" w:eastAsia="方正仿宋_GBK" w:cs="方正仿宋_GBK"/>
          <w:sz w:val="32"/>
          <w:szCs w:val="32"/>
          <w:shd w:val="clear" w:color="auto" w:fill="FFFFFF"/>
          <w:lang w:val="en-US" w:eastAsia="zh-CN" w:bidi="ar-SA"/>
        </w:rPr>
        <w:t>.支出情况。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年度一般公共预算财政拨款支出</w:t>
      </w:r>
      <w:r>
        <w:rPr>
          <w:rFonts w:hint="default" w:ascii="Times New Roman" w:hAnsi="Times New Roman" w:eastAsia="方正仿宋_GBK" w:cs="Times New Roman"/>
          <w:sz w:val="32"/>
          <w:szCs w:val="32"/>
          <w:shd w:val="clear" w:color="auto" w:fill="FFFFFF"/>
          <w:lang w:val="en-US" w:eastAsia="zh-CN" w:bidi="ar-SA"/>
        </w:rPr>
        <w:t>8553.39</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与2023年度相比，减少6698.01万元，下降43.9%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老旧小区改造提升工程项目预算减少。</w:t>
      </w:r>
      <w:r>
        <w:rPr>
          <w:rFonts w:hint="default" w:ascii="Times New Roman" w:hAnsi="Times New Roman" w:eastAsia="方正仿宋_GBK" w:cs="Times New Roman"/>
          <w:sz w:val="32"/>
          <w:szCs w:val="32"/>
          <w:shd w:val="clear" w:color="auto" w:fill="FFFFFF"/>
          <w:lang w:val="en-US" w:eastAsia="zh-CN" w:bidi="ar-SA"/>
        </w:rPr>
        <w:t>较年初预算数减少186.99万元，下降2.1%</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市场主体经济专项扶持、海棠和苑老旧小区主体改造工程、昌元街道品质提升等项目资金年中调减。</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val="en-US" w:eastAsia="zh-CN" w:bidi="ar-SA"/>
        </w:rPr>
      </w:pPr>
      <w:r>
        <w:rPr>
          <w:rFonts w:hint="eastAsia" w:ascii="方正仿宋_GBK" w:hAnsi="方正仿宋_GBK" w:eastAsia="方正仿宋_GBK" w:cs="方正仿宋_GBK"/>
          <w:sz w:val="32"/>
          <w:szCs w:val="32"/>
          <w:highlight w:val="none"/>
          <w:shd w:val="clear" w:color="auto" w:fill="FFFFFF"/>
          <w:lang w:val="en-US" w:eastAsia="zh-CN" w:bidi="ar-SA"/>
        </w:rPr>
        <w:t>一般公共预算财政拨款支出主要用途如下：</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）一般公共服务支出</w:t>
      </w:r>
      <w:r>
        <w:rPr>
          <w:rFonts w:hint="default" w:ascii="Times New Roman" w:hAnsi="Times New Roman" w:eastAsia="方正仿宋_GBK" w:cs="Times New Roman"/>
          <w:sz w:val="32"/>
          <w:szCs w:val="32"/>
          <w:shd w:val="clear" w:color="auto" w:fill="FFFFFF"/>
          <w:lang w:val="en-US" w:eastAsia="zh-CN" w:bidi="ar-SA"/>
        </w:rPr>
        <w:t>2131.96</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24.9%</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较年初预算数减少213.39万元，下降9.1%</w:t>
      </w:r>
      <w:r>
        <w:rPr>
          <w:rFonts w:hint="eastAsia" w:ascii="方正仿宋_GBK" w:hAnsi="方正仿宋_GBK" w:eastAsia="方正仿宋_GBK" w:cs="方正仿宋_GBK"/>
          <w:sz w:val="32"/>
          <w:szCs w:val="32"/>
          <w:shd w:val="clear" w:color="auto" w:fill="FFFFFF"/>
          <w:lang w:val="en-US" w:eastAsia="zh-CN" w:bidi="ar-SA"/>
        </w:rPr>
        <w:t>，主要原因是市场主体经济专项扶持</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项目资金年中调减。</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sz w:val="32"/>
          <w:szCs w:val="32"/>
          <w:shd w:val="clear" w:color="auto" w:fill="FFFFFF"/>
          <w:lang w:val="en-US" w:eastAsia="zh-CN" w:bidi="ar-SA"/>
        </w:rPr>
        <w:t>）公共安全支出</w:t>
      </w:r>
      <w:r>
        <w:rPr>
          <w:rFonts w:hint="default" w:ascii="Times New Roman" w:hAnsi="Times New Roman" w:eastAsia="方正仿宋_GBK" w:cs="Times New Roman"/>
          <w:sz w:val="32"/>
          <w:szCs w:val="32"/>
          <w:shd w:val="clear" w:color="auto" w:fill="FFFFFF"/>
          <w:lang w:val="en-US" w:eastAsia="zh-CN" w:bidi="ar-SA"/>
        </w:rPr>
        <w:t>99.93</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1.2%</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较年初预算数减少0.07万元，下降0.1%</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基层平安法治建设奖补资金年中调减。</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3</w:t>
      </w:r>
      <w:r>
        <w:rPr>
          <w:rFonts w:hint="eastAsia" w:ascii="方正仿宋_GBK" w:hAnsi="方正仿宋_GBK" w:eastAsia="方正仿宋_GBK" w:cs="方正仿宋_GBK"/>
          <w:sz w:val="32"/>
          <w:szCs w:val="32"/>
          <w:shd w:val="clear" w:color="auto" w:fill="FFFFFF"/>
          <w:lang w:val="en-US" w:eastAsia="zh-CN" w:bidi="ar-SA"/>
        </w:rPr>
        <w:t>）教育支出</w:t>
      </w:r>
      <w:r>
        <w:rPr>
          <w:rFonts w:hint="default" w:ascii="Times New Roman" w:hAnsi="Times New Roman" w:eastAsia="方正仿宋_GBK" w:cs="Times New Roman"/>
          <w:sz w:val="32"/>
          <w:szCs w:val="32"/>
          <w:shd w:val="clear" w:color="auto" w:fill="FFFFFF"/>
          <w:lang w:val="en-US" w:eastAsia="zh-CN" w:bidi="ar-SA"/>
        </w:rPr>
        <w:t>14.45</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0.2%</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较年初预算数增加0.64万元，增长4.6%</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社区教育培训费用增加。</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）文化旅游体育与传媒支出</w:t>
      </w:r>
      <w:r>
        <w:rPr>
          <w:rFonts w:hint="default" w:ascii="Times New Roman" w:hAnsi="Times New Roman" w:eastAsia="方正仿宋_GBK" w:cs="Times New Roman"/>
          <w:sz w:val="32"/>
          <w:szCs w:val="32"/>
          <w:shd w:val="clear" w:color="auto" w:fill="FFFFFF"/>
          <w:lang w:val="en-US" w:eastAsia="zh-CN" w:bidi="ar-SA"/>
        </w:rPr>
        <w:t>54.97</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0.6%</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较年初预算数减少37.43万元，下降40.5%</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本年度厉行节约，各类文化宣传活动减少，导致支出费用减少。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5</w:t>
      </w:r>
      <w:r>
        <w:rPr>
          <w:rFonts w:hint="eastAsia" w:ascii="方正仿宋_GBK" w:hAnsi="方正仿宋_GBK" w:eastAsia="方正仿宋_GBK" w:cs="方正仿宋_GBK"/>
          <w:sz w:val="32"/>
          <w:szCs w:val="32"/>
          <w:shd w:val="clear" w:color="auto" w:fill="FFFFFF"/>
          <w:lang w:val="en-US" w:eastAsia="zh-CN" w:bidi="ar-SA"/>
        </w:rPr>
        <w:t>）社会保障和就业支出</w:t>
      </w:r>
      <w:r>
        <w:rPr>
          <w:rFonts w:hint="default" w:ascii="Times New Roman" w:hAnsi="Times New Roman" w:eastAsia="方正仿宋_GBK" w:cs="Times New Roman"/>
          <w:sz w:val="32"/>
          <w:szCs w:val="32"/>
          <w:shd w:val="clear" w:color="auto" w:fill="FFFFFF"/>
          <w:lang w:val="en-US" w:eastAsia="zh-CN" w:bidi="ar-SA"/>
        </w:rPr>
        <w:t>969.78</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11.3%</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较年初预算数增加76.07万元，增长8.5%</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事业人员养老保险基数调标补缴导致基本支出增加；老年人保健金、敬老院升级改造、康宁广场社区公益设施等项目支出增加。</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6</w:t>
      </w:r>
      <w:r>
        <w:rPr>
          <w:rFonts w:hint="eastAsia" w:ascii="方正仿宋_GBK" w:hAnsi="方正仿宋_GBK" w:eastAsia="方正仿宋_GBK" w:cs="方正仿宋_GBK"/>
          <w:sz w:val="32"/>
          <w:szCs w:val="32"/>
          <w:shd w:val="clear" w:color="auto" w:fill="FFFFFF"/>
          <w:lang w:val="en-US" w:eastAsia="zh-CN" w:bidi="ar-SA"/>
        </w:rPr>
        <w:t>）卫生健康支出</w:t>
      </w:r>
      <w:r>
        <w:rPr>
          <w:rFonts w:hint="default" w:ascii="Times New Roman" w:hAnsi="Times New Roman" w:eastAsia="方正仿宋_GBK" w:cs="Times New Roman"/>
          <w:sz w:val="32"/>
          <w:szCs w:val="32"/>
          <w:shd w:val="clear" w:color="auto" w:fill="FFFFFF"/>
          <w:lang w:val="en-US" w:eastAsia="zh-CN" w:bidi="ar-SA"/>
        </w:rPr>
        <w:t>167.91</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2.0%</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较年初预算数减少35.51万元，下降17.5%</w:t>
      </w:r>
      <w:r>
        <w:rPr>
          <w:rFonts w:hint="eastAsia" w:ascii="方正仿宋_GBK" w:hAnsi="方正仿宋_GBK" w:eastAsia="方正仿宋_GBK" w:cs="方正仿宋_GBK"/>
          <w:sz w:val="32"/>
          <w:szCs w:val="32"/>
          <w:shd w:val="clear" w:color="auto" w:fill="FFFFFF"/>
          <w:lang w:val="en-US" w:eastAsia="zh-CN" w:bidi="ar-SA"/>
        </w:rPr>
        <w:t>，主要原</w:t>
      </w:r>
      <w:r>
        <w:rPr>
          <w:rFonts w:hint="eastAsia" w:ascii="方正仿宋_GBK" w:hAnsi="方正仿宋_GBK" w:eastAsia="方正仿宋_GBK" w:cs="方正仿宋_GBK"/>
          <w:color w:val="auto"/>
          <w:sz w:val="32"/>
          <w:szCs w:val="32"/>
          <w:shd w:val="clear" w:color="auto" w:fill="FFFFFF"/>
          <w:lang w:val="en-US" w:eastAsia="zh-CN" w:bidi="ar-SA"/>
        </w:rPr>
        <w:t>因是民政救济及医保项目支出年中调减。</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7</w:t>
      </w:r>
      <w:r>
        <w:rPr>
          <w:rFonts w:hint="eastAsia" w:ascii="方正仿宋_GBK" w:hAnsi="方正仿宋_GBK" w:eastAsia="方正仿宋_GBK" w:cs="方正仿宋_GBK"/>
          <w:sz w:val="32"/>
          <w:szCs w:val="32"/>
          <w:shd w:val="clear" w:color="auto" w:fill="FFFFFF"/>
          <w:lang w:val="en-US" w:eastAsia="zh-CN" w:bidi="ar-SA"/>
        </w:rPr>
        <w:t>）节能环保支出</w:t>
      </w:r>
      <w:r>
        <w:rPr>
          <w:rFonts w:hint="default" w:ascii="Times New Roman" w:hAnsi="Times New Roman" w:eastAsia="方正仿宋_GBK" w:cs="Times New Roman"/>
          <w:sz w:val="32"/>
          <w:szCs w:val="32"/>
          <w:shd w:val="clear" w:color="auto" w:fill="FFFFFF"/>
          <w:lang w:val="en-US" w:eastAsia="zh-CN" w:bidi="ar-SA"/>
        </w:rPr>
        <w:t>9.80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0.1%</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经费支出严格按预算执行</w:t>
      </w:r>
      <w:r>
        <w:rPr>
          <w:rFonts w:hint="eastAsia" w:ascii="方正仿宋_GBK" w:hAnsi="方正仿宋_GBK" w:eastAsia="方正仿宋_GBK" w:cs="方正仿宋_GBK"/>
          <w:color w:val="auto"/>
          <w:sz w:val="32"/>
          <w:szCs w:val="32"/>
          <w:shd w:val="clear" w:color="auto" w:fill="FFFFFF"/>
          <w:lang w:val="en-US" w:eastAsia="zh-CN" w:bidi="ar-SA"/>
        </w:rPr>
        <w:t>。</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8</w:t>
      </w:r>
      <w:r>
        <w:rPr>
          <w:rFonts w:hint="eastAsia" w:ascii="方正仿宋_GBK" w:hAnsi="方正仿宋_GBK" w:eastAsia="方正仿宋_GBK" w:cs="方正仿宋_GBK"/>
          <w:sz w:val="32"/>
          <w:szCs w:val="32"/>
          <w:shd w:val="clear" w:color="auto" w:fill="FFFFFF"/>
          <w:lang w:val="en-US" w:eastAsia="zh-CN" w:bidi="ar-SA"/>
        </w:rPr>
        <w:t>）城乡社区支出</w:t>
      </w:r>
      <w:r>
        <w:rPr>
          <w:rFonts w:hint="default" w:ascii="Times New Roman" w:hAnsi="Times New Roman" w:eastAsia="方正仿宋_GBK" w:cs="Times New Roman"/>
          <w:sz w:val="32"/>
          <w:szCs w:val="32"/>
          <w:shd w:val="clear" w:color="auto" w:fill="FFFFFF"/>
          <w:lang w:val="en-US" w:eastAsia="zh-CN" w:bidi="ar-SA"/>
        </w:rPr>
        <w:t>551.78</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6.5%</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较年初预算数减少330.24万元，下降37.4%</w:t>
      </w:r>
      <w:r>
        <w:rPr>
          <w:rFonts w:hint="eastAsia" w:ascii="方正仿宋_GBK" w:hAnsi="方正仿宋_GBK" w:eastAsia="方正仿宋_GBK" w:cs="方正仿宋_GBK"/>
          <w:sz w:val="32"/>
          <w:szCs w:val="32"/>
          <w:shd w:val="clear" w:color="auto" w:fill="FFFFFF"/>
          <w:lang w:val="en-US" w:eastAsia="zh-CN" w:bidi="ar-SA"/>
        </w:rPr>
        <w:t>，主要原因</w:t>
      </w:r>
      <w:r>
        <w:rPr>
          <w:rFonts w:hint="eastAsia" w:ascii="方正仿宋_GBK" w:hAnsi="方正仿宋_GBK" w:eastAsia="方正仿宋_GBK" w:cs="方正仿宋_GBK"/>
          <w:color w:val="auto"/>
          <w:sz w:val="32"/>
          <w:szCs w:val="32"/>
          <w:shd w:val="clear" w:color="auto" w:fill="FFFFFF"/>
          <w:lang w:val="en-US" w:eastAsia="zh-CN" w:bidi="ar-SA"/>
        </w:rPr>
        <w:t>是昌元街道品质提升、农村基础设施建设、农村存量垃圾治理等项目支出减少。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eastAsia" w:ascii="Times New Roman" w:hAnsi="Times New Roman" w:eastAsia="方正仿宋_GBK" w:cs="Times New Roman"/>
          <w:sz w:val="32"/>
          <w:szCs w:val="32"/>
          <w:shd w:val="clear" w:color="auto" w:fill="FFFFFF"/>
          <w:lang w:val="en-US" w:eastAsia="zh-CN" w:bidi="ar-SA"/>
        </w:rPr>
        <w:t>9</w:t>
      </w:r>
      <w:r>
        <w:rPr>
          <w:rFonts w:hint="eastAsia" w:ascii="方正仿宋_GBK" w:hAnsi="方正仿宋_GBK" w:eastAsia="方正仿宋_GBK" w:cs="方正仿宋_GBK"/>
          <w:sz w:val="32"/>
          <w:szCs w:val="32"/>
          <w:shd w:val="clear" w:color="auto" w:fill="FFFFFF"/>
          <w:lang w:val="en-US" w:eastAsia="zh-CN" w:bidi="ar-SA"/>
        </w:rPr>
        <w:t>）农林水支出</w:t>
      </w:r>
      <w:r>
        <w:rPr>
          <w:rFonts w:hint="default" w:ascii="Times New Roman" w:hAnsi="Times New Roman" w:eastAsia="方正仿宋_GBK" w:cs="Times New Roman"/>
          <w:sz w:val="32"/>
          <w:szCs w:val="32"/>
          <w:shd w:val="clear" w:color="auto" w:fill="FFFFFF"/>
          <w:lang w:val="en-US" w:eastAsia="zh-CN" w:bidi="ar-SA"/>
        </w:rPr>
        <w:t>1636.55</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19.1%</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较年初预算数增加57.22万元，增长3.6%</w:t>
      </w:r>
      <w:r>
        <w:rPr>
          <w:rFonts w:hint="eastAsia" w:ascii="方正仿宋_GBK" w:hAnsi="方正仿宋_GBK" w:eastAsia="方正仿宋_GBK" w:cs="方正仿宋_GBK"/>
          <w:sz w:val="32"/>
          <w:szCs w:val="32"/>
          <w:shd w:val="clear" w:color="auto" w:fill="FFFFFF"/>
          <w:lang w:val="en-US" w:eastAsia="zh-CN" w:bidi="ar-SA"/>
        </w:rPr>
        <w:t>，主要原因</w:t>
      </w:r>
      <w:r>
        <w:rPr>
          <w:rFonts w:hint="eastAsia" w:ascii="方正仿宋_GBK" w:hAnsi="方正仿宋_GBK" w:eastAsia="方正仿宋_GBK" w:cs="方正仿宋_GBK"/>
          <w:color w:val="auto"/>
          <w:sz w:val="32"/>
          <w:szCs w:val="32"/>
          <w:shd w:val="clear" w:color="auto" w:fill="FFFFFF"/>
          <w:lang w:val="en-US" w:eastAsia="zh-CN" w:bidi="ar-SA"/>
        </w:rPr>
        <w:t>是恢复2022年度农田宜机化改造项目资金。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）交通运输支出</w:t>
      </w:r>
      <w:r>
        <w:rPr>
          <w:rFonts w:hint="default" w:ascii="Times New Roman" w:hAnsi="Times New Roman" w:eastAsia="方正仿宋_GBK" w:cs="Times New Roman"/>
          <w:sz w:val="32"/>
          <w:szCs w:val="32"/>
          <w:shd w:val="clear" w:color="auto" w:fill="FFFFFF"/>
          <w:lang w:val="en-US" w:eastAsia="zh-CN" w:bidi="ar-SA"/>
        </w:rPr>
        <w:t>324.93</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3.8%</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较年初预算数减少16.87万元，下降4.9%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农村基础设施建设项目支出减少。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仿宋_GBK" w:hAnsi="方正仿宋_GBK" w:eastAsia="方正仿宋_GBK" w:cs="方正仿宋_GBK"/>
          <w:sz w:val="32"/>
          <w:szCs w:val="32"/>
          <w:lang w:val="en-US" w:eastAsia="zh-CN" w:bidi="ar-SA"/>
        </w:rPr>
        <w:t>自然资源海洋气象等支出</w:t>
      </w:r>
      <w:r>
        <w:rPr>
          <w:rFonts w:hint="default" w:ascii="Times New Roman" w:hAnsi="Times New Roman" w:eastAsia="方正仿宋_GBK" w:cs="Times New Roman"/>
          <w:sz w:val="32"/>
          <w:szCs w:val="32"/>
          <w:shd w:val="clear" w:color="auto" w:fill="FFFFFF"/>
          <w:lang w:val="en-US" w:eastAsia="zh-CN" w:bidi="ar-SA"/>
        </w:rPr>
        <w:t>21.08</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0.3%</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较年初预算数增加21.08万元，增长100.0%</w:t>
      </w:r>
      <w:r>
        <w:rPr>
          <w:rFonts w:hint="eastAsia" w:ascii="方正仿宋_GBK" w:hAnsi="方正仿宋_GBK" w:eastAsia="方正仿宋_GBK" w:cs="方正仿宋_GBK"/>
          <w:sz w:val="32"/>
          <w:szCs w:val="32"/>
          <w:shd w:val="clear" w:color="auto" w:fill="FFFFFF"/>
          <w:lang w:val="en-US" w:eastAsia="zh-CN" w:bidi="ar-SA"/>
        </w:rPr>
        <w:t>，主要原因是新增</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耕地缺口恢复补足项目。</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w:t>
      </w:r>
      <w:r>
        <w:rPr>
          <w:rFonts w:hint="eastAsia"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cs="Times New Roman"/>
          <w:sz w:val="32"/>
          <w:szCs w:val="32"/>
          <w:shd w:val="clear" w:color="auto" w:fill="FFFFFF"/>
        </w:rPr>
        <w:t>2538.43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29.7%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较年初预算数增加291.48万元，增长13.0%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2023年老旧小区改造提升工程、玉屏社区五期老旧小区主体改造工程、白象社区五期老旧小区主体改造工程、武城社区老旧小区主体改造工程、桂花社区三期老旧小区主体改造工程</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桂花社区</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六</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期老旧小区主体改造工程等项目支出增加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cs="Times New Roman"/>
          <w:sz w:val="32"/>
          <w:szCs w:val="32"/>
          <w:shd w:val="clear" w:color="auto" w:fill="FFFFFF"/>
        </w:rPr>
        <w:t>31.80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cs="Times New Roman"/>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经费支出严格按预算执行</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lang w:val="en-US" w:eastAsia="zh-CN" w:bidi="ar-SA"/>
        </w:rPr>
      </w:pPr>
      <w:r>
        <w:rPr>
          <w:rStyle w:val="12"/>
          <w:rFonts w:hint="default" w:ascii="Times New Roman" w:hAnsi="Times New Roman" w:eastAsia="方正仿宋_GBK" w:cs="Times New Roman"/>
          <w:sz w:val="32"/>
          <w:szCs w:val="32"/>
          <w:shd w:val="clear" w:color="auto" w:fill="FFFFFF"/>
          <w:lang w:val="en-US" w:eastAsia="zh-CN" w:bidi="ar-SA"/>
        </w:rPr>
        <w:t>3</w:t>
      </w:r>
      <w:r>
        <w:rPr>
          <w:rStyle w:val="12"/>
          <w:rFonts w:hint="eastAsia" w:ascii="方正仿宋_GBK" w:hAnsi="方正仿宋_GBK" w:eastAsia="方正仿宋_GBK" w:cs="方正仿宋_GBK"/>
          <w:sz w:val="32"/>
          <w:szCs w:val="32"/>
          <w:shd w:val="clear" w:color="auto" w:fill="FFFFFF"/>
          <w:lang w:val="en-US" w:eastAsia="zh-CN" w:bidi="ar-SA"/>
        </w:rPr>
        <w:t>.结转结余情况。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年度年末一般公共预算财政拨款结转和结余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2024年财政已收回所有剩余指标，无结转结余</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（四）一般公共预算财政拨款基本支出决算情况说明</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年度一般公共财政拨款基本支出</w:t>
      </w:r>
      <w:r>
        <w:rPr>
          <w:rFonts w:hint="default" w:ascii="Times New Roman" w:hAnsi="Times New Roman" w:eastAsia="方正仿宋_GBK" w:cs="Times New Roman"/>
          <w:sz w:val="32"/>
          <w:szCs w:val="32"/>
          <w:shd w:val="clear" w:color="auto" w:fill="FFFFFF"/>
          <w:lang w:val="en-US" w:eastAsia="zh-CN" w:bidi="ar-SA"/>
        </w:rPr>
        <w:t>2773.56</w:t>
      </w:r>
      <w:r>
        <w:rPr>
          <w:rFonts w:hint="eastAsia" w:ascii="方正仿宋_GBK" w:hAnsi="方正仿宋_GBK" w:eastAsia="方正仿宋_GBK" w:cs="方正仿宋_GBK"/>
          <w:sz w:val="32"/>
          <w:szCs w:val="32"/>
          <w:shd w:val="clear" w:color="auto" w:fill="FFFFFF"/>
          <w:lang w:val="en-US" w:eastAsia="zh-CN" w:bidi="ar-SA"/>
        </w:rPr>
        <w:t>万元。</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其中：</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人员经费</w:t>
      </w:r>
      <w:r>
        <w:rPr>
          <w:rFonts w:hint="default" w:ascii="Times New Roman" w:hAnsi="Times New Roman" w:eastAsia="方正仿宋_GBK" w:cs="Times New Roman"/>
          <w:sz w:val="32"/>
          <w:szCs w:val="32"/>
          <w:shd w:val="clear" w:color="auto" w:fill="FFFFFF"/>
          <w:lang w:val="en-US" w:eastAsia="zh-CN" w:bidi="ar-SA"/>
        </w:rPr>
        <w:t>2406.05</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与2023年度相比，减少276.20万元，下降10.3%</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本年度人员减</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少。</w:t>
      </w:r>
      <w:r>
        <w:rPr>
          <w:rFonts w:hint="eastAsia" w:ascii="方正仿宋_GBK" w:hAnsi="方正仿宋_GBK" w:eastAsia="方正仿宋_GBK" w:cs="方正仿宋_GBK"/>
          <w:sz w:val="32"/>
          <w:szCs w:val="32"/>
          <w:shd w:val="clear" w:color="auto" w:fill="FFFFFF"/>
          <w:lang w:val="en-US" w:eastAsia="zh-CN" w:bidi="ar-SA"/>
        </w:rPr>
        <w:t>人员经费用途主要包</w:t>
      </w:r>
      <w:r>
        <w:rPr>
          <w:rFonts w:hint="eastAsia" w:ascii="方正仿宋_GBK" w:hAnsi="方正仿宋_GBK" w:eastAsia="方正仿宋_GBK" w:cs="方正仿宋_GBK"/>
          <w:color w:val="auto"/>
          <w:sz w:val="32"/>
          <w:szCs w:val="32"/>
          <w:shd w:val="clear" w:color="auto" w:fill="FFFFFF"/>
          <w:lang w:val="en-US" w:eastAsia="zh-CN" w:bidi="ar-SA"/>
        </w:rPr>
        <w:t>括基本工资、津贴补贴、奖金、绩效工资、各类保险、公积金单位部分、医疗费、其他工资福利支出、抚恤金、生活补助、医疗费补助、奖励金。</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公用经费</w:t>
      </w:r>
      <w:r>
        <w:rPr>
          <w:rFonts w:hint="default" w:ascii="Times New Roman" w:hAnsi="Times New Roman" w:eastAsia="方正仿宋_GBK" w:cs="Times New Roman"/>
          <w:sz w:val="32"/>
          <w:szCs w:val="32"/>
          <w:shd w:val="clear" w:color="auto" w:fill="FFFFFF"/>
          <w:lang w:val="en-US" w:eastAsia="zh-CN" w:bidi="ar-SA"/>
        </w:rPr>
        <w:t>367.51</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与2023年度相比，减少109.80万元，下降23.0%</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本年度厉行节约，各项日常支出减少。</w:t>
      </w:r>
      <w:r>
        <w:rPr>
          <w:rFonts w:hint="eastAsia" w:ascii="方正仿宋_GBK" w:hAnsi="方正仿宋_GBK" w:eastAsia="方正仿宋_GBK" w:cs="方正仿宋_GBK"/>
          <w:sz w:val="32"/>
          <w:szCs w:val="32"/>
          <w:shd w:val="clear" w:color="auto" w:fill="FFFFFF"/>
          <w:lang w:val="en-US" w:eastAsia="zh-CN" w:bidi="ar-SA"/>
        </w:rPr>
        <w:t>公用经费用途主要包括</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日常办公费、水费、电费、邮电费、物业管理费、差旅费、会议费、培训费、公务接待费、劳务费、工会经费、福利费、公务用车运行维护费、其他交通费用、税金及附加费用、其他商品和服务支出。</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（五）政府性基金预算收支决算情况说明</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年度政府性基金预算财政拨款年初结转结余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万元，年末结转结余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万元。本年收入</w:t>
      </w:r>
      <w:r>
        <w:rPr>
          <w:rFonts w:hint="default" w:ascii="Times New Roman" w:hAnsi="Times New Roman" w:eastAsia="方正仿宋_GBK" w:cs="Times New Roman"/>
          <w:sz w:val="32"/>
          <w:szCs w:val="32"/>
          <w:shd w:val="clear" w:color="auto" w:fill="FFFFFF"/>
          <w:lang w:val="en-US" w:eastAsia="zh-CN" w:bidi="ar-SA"/>
        </w:rPr>
        <w:t>1196.93</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与2023年度相比，减少559.46万元，下降31.9%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本年度老旧小区改造工程项目预算收入减少</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本年支出</w:t>
      </w:r>
      <w:r>
        <w:rPr>
          <w:rFonts w:hint="default" w:ascii="Times New Roman" w:hAnsi="Times New Roman" w:eastAsia="方正仿宋_GBK" w:cs="Times New Roman"/>
          <w:sz w:val="32"/>
          <w:szCs w:val="32"/>
          <w:shd w:val="clear" w:color="auto" w:fill="FFFFFF"/>
          <w:lang w:val="en-US" w:eastAsia="zh-CN" w:bidi="ar-SA"/>
        </w:rPr>
        <w:t>1196.93</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与2023年度相比，减少559.46万元，下降31.9%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本年度老旧小区改造工程项目支出减少。</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（六）国有资本经营预算财政拨款支出决算情况说明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年度国有资本经营预算财政拨款支出</w:t>
      </w:r>
      <w:r>
        <w:rPr>
          <w:rFonts w:hint="default" w:ascii="Times New Roman" w:hAnsi="Times New Roman" w:eastAsia="方正仿宋_GBK" w:cs="Times New Roman"/>
          <w:sz w:val="32"/>
          <w:szCs w:val="32"/>
          <w:shd w:val="clear" w:color="auto" w:fill="FFFFFF"/>
          <w:lang w:val="en-US" w:eastAsia="zh-CN" w:bidi="ar-SA"/>
        </w:rPr>
        <w:t>4.97</w:t>
      </w:r>
      <w:r>
        <w:rPr>
          <w:rFonts w:hint="eastAsia" w:ascii="方正仿宋_GBK" w:hAnsi="方正仿宋_GBK" w:eastAsia="方正仿宋_GBK" w:cs="方正仿宋_GBK"/>
          <w:sz w:val="32"/>
          <w:szCs w:val="32"/>
          <w:shd w:val="clear" w:color="auto" w:fill="FFFFFF"/>
          <w:lang w:val="en-US" w:eastAsia="zh-CN" w:bidi="ar-SA"/>
        </w:rPr>
        <w:t>万元，基本支出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万元，项目支出</w:t>
      </w:r>
      <w:r>
        <w:rPr>
          <w:rFonts w:hint="default" w:ascii="Times New Roman" w:hAnsi="Times New Roman" w:eastAsia="方正仿宋_GBK" w:cs="Times New Roman"/>
          <w:sz w:val="32"/>
          <w:szCs w:val="32"/>
          <w:shd w:val="clear" w:color="auto" w:fill="FFFFFF"/>
          <w:lang w:val="en-US" w:eastAsia="zh-CN" w:bidi="ar-SA"/>
        </w:rPr>
        <w:t>4.97</w:t>
      </w:r>
      <w:r>
        <w:rPr>
          <w:rFonts w:hint="eastAsia" w:ascii="方正仿宋_GBK" w:hAnsi="方正仿宋_GBK" w:eastAsia="方正仿宋_GBK" w:cs="方正仿宋_GBK"/>
          <w:sz w:val="32"/>
          <w:szCs w:val="32"/>
          <w:shd w:val="clear" w:color="auto" w:fill="FFFFFF"/>
          <w:lang w:val="en-US" w:eastAsia="zh-CN" w:bidi="ar-SA"/>
        </w:rPr>
        <w:t>万元，主要用于</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国有企业退休人员社会化管理项目。</w:t>
      </w: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三、财政拨款“三公”经费情况说明</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（一）“三公”经费支出总体情况说明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年度“三公”经费支出共计</w:t>
      </w:r>
      <w:r>
        <w:rPr>
          <w:rFonts w:hint="default" w:ascii="Times New Roman" w:hAnsi="Times New Roman" w:eastAsia="方正仿宋_GBK" w:cs="Times New Roman"/>
          <w:sz w:val="32"/>
          <w:szCs w:val="32"/>
          <w:shd w:val="clear" w:color="auto" w:fill="FFFFFF"/>
          <w:lang w:val="en-US" w:eastAsia="zh-CN" w:bidi="ar-SA"/>
        </w:rPr>
        <w:t>21.90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较年初预算数增加5.90万元，增长36.9%</w:t>
      </w:r>
      <w:r>
        <w:rPr>
          <w:rFonts w:hint="eastAsia" w:ascii="方正仿宋_GBK" w:hAnsi="方正仿宋_GBK" w:eastAsia="方正仿宋_GBK" w:cs="方正仿宋_GBK"/>
          <w:sz w:val="32"/>
          <w:szCs w:val="32"/>
          <w:shd w:val="clear" w:color="auto" w:fill="FFFFFF"/>
          <w:lang w:val="en-US" w:eastAsia="zh-CN" w:bidi="ar-SA"/>
        </w:rPr>
        <w:t>，主要原因</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年中增加购买一辆应急保障用车的预算</w:t>
      </w:r>
      <w:r>
        <w:rPr>
          <w:rFonts w:hint="default" w:ascii="Times New Roman" w:hAnsi="Times New Roman" w:eastAsia="方正仿宋_GBK" w:cs="Times New Roman"/>
          <w:sz w:val="32"/>
          <w:szCs w:val="32"/>
          <w:shd w:val="clear" w:color="auto" w:fill="FFFFFF"/>
          <w:lang w:val="en-US" w:eastAsia="zh-CN" w:bidi="ar-SA"/>
        </w:rPr>
        <w:t>。较上年支出数增加16.31万元，增长291.8%</w:t>
      </w:r>
      <w:r>
        <w:rPr>
          <w:rFonts w:hint="eastAsia" w:ascii="方正仿宋_GBK" w:hAnsi="方正仿宋_GBK" w:eastAsia="方正仿宋_GBK" w:cs="方正仿宋_GBK"/>
          <w:sz w:val="32"/>
          <w:szCs w:val="32"/>
          <w:shd w:val="clear" w:color="auto" w:fill="FFFFFF"/>
          <w:lang w:val="en-US" w:eastAsia="zh-CN" w:bidi="ar-SA"/>
        </w:rPr>
        <w:t>，主要原因是新购一辆应急保障用车</w:t>
      </w:r>
      <w:r>
        <w:rPr>
          <w:rFonts w:hint="eastAsia" w:ascii="仿宋_GB2312" w:hAnsi="仿宋" w:eastAsia="仿宋_GB2312" w:cs="仿宋"/>
          <w:sz w:val="32"/>
          <w:szCs w:val="32"/>
          <w:highlight w:val="none"/>
          <w:lang w:val="en-US" w:eastAsia="zh-CN" w:bidi="ar-SA"/>
        </w:rPr>
        <w:t>。</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（二）“三公”经费分项支出情况</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年度本部门因公出国（境）费用</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eastAsia" w:ascii="方正仿宋_GBK" w:hAnsi="方正仿宋_GBK" w:eastAsia="方正仿宋_GBK" w:cs="方正仿宋_GBK"/>
          <w:color w:val="auto"/>
          <w:sz w:val="32"/>
          <w:szCs w:val="32"/>
          <w:shd w:val="clear" w:color="auto" w:fill="FFFFFF"/>
          <w:lang w:val="en-US" w:eastAsia="zh-CN" w:bidi="ar-SA"/>
        </w:rPr>
        <w:t>。费用支出</w:t>
      </w:r>
      <w:r>
        <w:rPr>
          <w:rFonts w:hint="default" w:ascii="Times New Roman" w:hAnsi="Times New Roman" w:eastAsia="方正仿宋_GBK" w:cs="Times New Roman"/>
          <w:color w:val="auto"/>
          <w:sz w:val="32"/>
          <w:szCs w:val="32"/>
          <w:shd w:val="clear" w:color="auto" w:fill="FFFFFF"/>
          <w:lang w:val="en-US" w:eastAsia="zh-CN" w:bidi="ar-SA"/>
        </w:rPr>
        <w:t>较年初预算数无增减</w:t>
      </w:r>
      <w:r>
        <w:rPr>
          <w:rFonts w:hint="eastAsia" w:ascii="方正仿宋_GBK" w:hAnsi="方正仿宋_GBK" w:eastAsia="方正仿宋_GBK" w:cs="方正仿宋_GBK"/>
          <w:color w:val="auto"/>
          <w:sz w:val="32"/>
          <w:szCs w:val="32"/>
          <w:shd w:val="clear" w:color="auto" w:fill="FFFFFF"/>
          <w:lang w:val="en-US" w:eastAsia="zh-CN" w:bidi="ar-SA"/>
        </w:rPr>
        <w:t>，主要原</w:t>
      </w:r>
      <w:r>
        <w:rPr>
          <w:rFonts w:hint="eastAsia" w:ascii="方正仿宋_GBK" w:hAnsi="方正仿宋_GBK" w:eastAsia="方正仿宋_GBK" w:cs="方正仿宋_GBK"/>
          <w:sz w:val="32"/>
          <w:szCs w:val="32"/>
          <w:shd w:val="clear" w:color="auto" w:fill="FFFFFF"/>
          <w:lang w:val="en-US" w:eastAsia="zh-CN" w:bidi="ar-SA"/>
        </w:rPr>
        <w:t>因是</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年度本部门无因公出国（境）的需求</w:t>
      </w:r>
      <w:r>
        <w:rPr>
          <w:rFonts w:hint="eastAsia" w:ascii="方正仿宋_GBK" w:hAnsi="方正仿宋_GBK" w:eastAsia="方正仿宋_GBK" w:cs="方正仿宋_GBK"/>
          <w:color w:val="auto"/>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年度本部门无因公出国（境）的需求。</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公务用车购置费</w:t>
      </w:r>
      <w:r>
        <w:rPr>
          <w:rFonts w:hint="default" w:ascii="Times New Roman" w:hAnsi="Times New Roman" w:eastAsia="方正仿宋_GBK" w:cs="Times New Roman"/>
          <w:sz w:val="32"/>
          <w:szCs w:val="32"/>
          <w:shd w:val="clear" w:color="auto" w:fill="FFFFFF"/>
          <w:lang w:val="en-US" w:eastAsia="zh-CN" w:bidi="ar-SA"/>
        </w:rPr>
        <w:t>16.89</w:t>
      </w:r>
      <w:r>
        <w:rPr>
          <w:rFonts w:hint="eastAsia" w:ascii="方正仿宋_GBK" w:hAnsi="方正仿宋_GBK" w:eastAsia="方正仿宋_GBK" w:cs="方正仿宋_GBK"/>
          <w:sz w:val="32"/>
          <w:szCs w:val="32"/>
          <w:shd w:val="clear" w:color="auto" w:fill="FFFFFF"/>
          <w:lang w:val="en-US" w:eastAsia="zh-CN" w:bidi="ar-SA"/>
        </w:rPr>
        <w:t>万元，主要用于</w:t>
      </w:r>
      <w:r>
        <w:rPr>
          <w:rFonts w:hint="eastAsia" w:ascii="方正仿宋_GBK" w:hAnsi="方正仿宋_GBK" w:eastAsia="方正仿宋_GBK" w:cs="方正仿宋_GBK"/>
          <w:color w:val="auto"/>
          <w:sz w:val="32"/>
          <w:szCs w:val="32"/>
          <w:shd w:val="clear" w:color="auto" w:fill="FFFFFF"/>
          <w:lang w:val="en-US" w:eastAsia="zh-CN" w:bidi="ar-SA"/>
        </w:rPr>
        <w:t>购入一辆应急保障用车，保障日常工作的应急需求。</w:t>
      </w:r>
      <w:r>
        <w:rPr>
          <w:rFonts w:hint="eastAsia" w:ascii="方正仿宋_GBK" w:hAnsi="方正仿宋_GBK" w:eastAsia="方正仿宋_GBK" w:cs="方正仿宋_GBK"/>
          <w:sz w:val="32"/>
          <w:szCs w:val="32"/>
          <w:shd w:val="clear" w:color="auto" w:fill="FFFFFF"/>
          <w:lang w:val="en-US" w:eastAsia="zh-CN" w:bidi="ar-SA"/>
        </w:rPr>
        <w:t>费用支出</w:t>
      </w:r>
      <w:r>
        <w:rPr>
          <w:rFonts w:hint="default" w:ascii="Times New Roman" w:hAnsi="Times New Roman" w:eastAsia="方正仿宋_GBK" w:cs="Times New Roman"/>
          <w:sz w:val="32"/>
          <w:szCs w:val="32"/>
          <w:shd w:val="clear" w:color="auto" w:fill="FFFFFF"/>
          <w:lang w:val="en-US" w:eastAsia="zh-CN" w:bidi="ar-SA"/>
        </w:rPr>
        <w:t>较年初预算数增加16.89万元，增长100.0%</w:t>
      </w:r>
      <w:r>
        <w:rPr>
          <w:rFonts w:hint="eastAsia" w:ascii="方正仿宋_GBK" w:hAnsi="方正仿宋_GBK" w:eastAsia="方正仿宋_GBK" w:cs="方正仿宋_GBK"/>
          <w:sz w:val="32"/>
          <w:szCs w:val="32"/>
          <w:shd w:val="clear" w:color="auto" w:fill="FFFFFF"/>
          <w:lang w:val="en-US" w:eastAsia="zh-CN" w:bidi="ar-SA"/>
        </w:rPr>
        <w:t>，主要原因是年中增加购买一辆应急保障用车的预算。</w:t>
      </w:r>
      <w:r>
        <w:rPr>
          <w:rFonts w:hint="default" w:ascii="Times New Roman" w:hAnsi="Times New Roman" w:eastAsia="方正仿宋_GBK" w:cs="Times New Roman"/>
          <w:sz w:val="32"/>
          <w:szCs w:val="32"/>
          <w:shd w:val="clear" w:color="auto" w:fill="FFFFFF"/>
          <w:lang w:val="en-US" w:eastAsia="zh-CN" w:bidi="ar-SA"/>
        </w:rPr>
        <w:t>较上年支出数增加16.89万元，增长100.0%</w:t>
      </w:r>
      <w:r>
        <w:rPr>
          <w:rFonts w:hint="eastAsia" w:ascii="方正仿宋_GBK" w:hAnsi="方正仿宋_GBK" w:eastAsia="方正仿宋_GBK" w:cs="方正仿宋_GBK"/>
          <w:sz w:val="32"/>
          <w:szCs w:val="32"/>
          <w:shd w:val="clear" w:color="auto" w:fill="FFFFFF"/>
          <w:lang w:val="en-US" w:eastAsia="zh-CN" w:bidi="ar-SA"/>
        </w:rPr>
        <w:t>，主要原因是新购一辆应急保障用车</w:t>
      </w:r>
      <w:r>
        <w:rPr>
          <w:rFonts w:hint="eastAsia" w:ascii="仿宋_GB2312" w:hAnsi="仿宋" w:eastAsia="仿宋_GB2312" w:cs="仿宋"/>
          <w:sz w:val="32"/>
          <w:szCs w:val="32"/>
          <w:highlight w:val="none"/>
          <w:lang w:val="en-US" w:eastAsia="zh-CN" w:bidi="ar-SA"/>
        </w:rPr>
        <w:t>。</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公务用车运行维护费</w:t>
      </w:r>
      <w:r>
        <w:rPr>
          <w:rFonts w:hint="default" w:ascii="Times New Roman" w:hAnsi="Times New Roman" w:eastAsia="方正仿宋_GBK" w:cs="Times New Roman"/>
          <w:sz w:val="32"/>
          <w:szCs w:val="32"/>
          <w:shd w:val="clear" w:color="auto" w:fill="FFFFFF"/>
          <w:lang w:val="en-US" w:eastAsia="zh-CN" w:bidi="ar-SA"/>
        </w:rPr>
        <w:t>4.01</w:t>
      </w:r>
      <w:r>
        <w:rPr>
          <w:rFonts w:hint="eastAsia" w:ascii="方正仿宋_GBK" w:hAnsi="方正仿宋_GBK" w:eastAsia="方正仿宋_GBK" w:cs="方正仿宋_GBK"/>
          <w:sz w:val="32"/>
          <w:szCs w:val="32"/>
          <w:shd w:val="clear" w:color="auto" w:fill="FFFFFF"/>
          <w:lang w:val="en-US" w:eastAsia="zh-CN" w:bidi="ar-SA"/>
        </w:rPr>
        <w:t>万元，主要用于</w:t>
      </w:r>
      <w:r>
        <w:rPr>
          <w:rFonts w:hint="eastAsia" w:ascii="方正仿宋_GBK" w:hAnsi="方正仿宋_GBK" w:eastAsia="方正仿宋_GBK" w:cs="方正仿宋_GBK"/>
          <w:color w:val="auto"/>
          <w:sz w:val="32"/>
          <w:szCs w:val="32"/>
          <w:shd w:val="clear" w:color="auto" w:fill="FFFFFF"/>
          <w:lang w:val="en-US" w:eastAsia="zh-CN" w:bidi="ar-SA"/>
        </w:rPr>
        <w:t>公务车洗车、加油、过路、维修和购买车辆保险。</w:t>
      </w:r>
      <w:r>
        <w:rPr>
          <w:rFonts w:hint="eastAsia" w:ascii="方正仿宋_GBK" w:hAnsi="方正仿宋_GBK" w:eastAsia="方正仿宋_GBK" w:cs="方正仿宋_GBK"/>
          <w:sz w:val="32"/>
          <w:szCs w:val="32"/>
          <w:shd w:val="clear" w:color="auto" w:fill="FFFFFF"/>
          <w:lang w:val="en-US" w:eastAsia="zh-CN" w:bidi="ar-SA"/>
        </w:rPr>
        <w:t>费用支出</w:t>
      </w:r>
      <w:r>
        <w:rPr>
          <w:rFonts w:hint="default" w:ascii="Times New Roman" w:hAnsi="Times New Roman" w:eastAsia="方正仿宋_GBK" w:cs="Times New Roman"/>
          <w:sz w:val="32"/>
          <w:szCs w:val="32"/>
          <w:shd w:val="clear" w:color="auto" w:fill="FFFFFF"/>
          <w:lang w:val="en-US" w:eastAsia="zh-CN" w:bidi="ar-SA"/>
        </w:rPr>
        <w:t>较年初预算数减少10.99万元，下降73.3%</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本年度厉行节约，严控公务车运行及维护费开支。</w:t>
      </w:r>
      <w:r>
        <w:rPr>
          <w:rFonts w:hint="default" w:ascii="Times New Roman" w:hAnsi="Times New Roman" w:eastAsia="方正仿宋_GBK" w:cs="Times New Roman"/>
          <w:sz w:val="32"/>
          <w:szCs w:val="32"/>
          <w:shd w:val="clear" w:color="auto" w:fill="FFFFFF"/>
          <w:lang w:val="en-US" w:eastAsia="zh-CN" w:bidi="ar-SA"/>
        </w:rPr>
        <w:t>较上年支出数减少0.58万元，下降12.6%</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本年度厉行节约，严控公务车运行及维护费开支。</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公务接待费</w:t>
      </w:r>
      <w:r>
        <w:rPr>
          <w:rFonts w:hint="default"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sz w:val="32"/>
          <w:szCs w:val="32"/>
          <w:shd w:val="clear" w:color="auto" w:fill="FFFFFF"/>
          <w:lang w:val="en-US" w:eastAsia="zh-CN" w:bidi="ar-SA"/>
        </w:rPr>
        <w:t>万元，主要用于接待</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招商引资</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费用支出</w:t>
      </w:r>
      <w:r>
        <w:rPr>
          <w:rFonts w:hint="default" w:ascii="Times New Roman" w:hAnsi="Times New Roman" w:eastAsia="方正仿宋_GBK" w:cs="Times New Roman"/>
          <w:sz w:val="32"/>
          <w:szCs w:val="32"/>
          <w:shd w:val="clear" w:color="auto" w:fill="FFFFFF"/>
          <w:lang w:val="en-US" w:eastAsia="zh-CN" w:bidi="ar-SA"/>
        </w:rPr>
        <w:t>较年初预算数无增减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是经费支出严格按预算</w:t>
      </w:r>
      <w:r>
        <w:rPr>
          <w:rFonts w:hint="eastAsia" w:ascii="方正仿宋_GBK" w:hAnsi="方正仿宋_GBK" w:eastAsia="方正仿宋_GBK" w:cs="方正仿宋_GBK"/>
          <w:color w:val="auto"/>
          <w:sz w:val="32"/>
          <w:szCs w:val="32"/>
          <w:shd w:val="clear" w:color="auto" w:fill="FFFFFF"/>
          <w:lang w:val="en-US" w:eastAsia="zh-CN" w:bidi="ar-SA"/>
        </w:rPr>
        <w:t>执行。</w:t>
      </w:r>
      <w:r>
        <w:rPr>
          <w:rFonts w:hint="default" w:ascii="Times New Roman" w:hAnsi="Times New Roman" w:eastAsia="方正仿宋_GBK" w:cs="Times New Roman"/>
          <w:sz w:val="32"/>
          <w:szCs w:val="32"/>
          <w:shd w:val="clear" w:color="auto" w:fill="FFFFFF"/>
          <w:lang w:val="en-US" w:eastAsia="zh-CN" w:bidi="ar-SA"/>
        </w:rPr>
        <w:t>较上年支出数无增减</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是经费支出严格按预算</w:t>
      </w:r>
      <w:r>
        <w:rPr>
          <w:rFonts w:hint="eastAsia" w:ascii="方正仿宋_GBK" w:hAnsi="方正仿宋_GBK" w:eastAsia="方正仿宋_GBK" w:cs="方正仿宋_GBK"/>
          <w:color w:val="auto"/>
          <w:sz w:val="32"/>
          <w:szCs w:val="32"/>
          <w:shd w:val="clear" w:color="auto" w:fill="FFFFFF"/>
          <w:lang w:val="en-US" w:eastAsia="zh-CN" w:bidi="ar-SA"/>
        </w:rPr>
        <w:t>执行。</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（三）“三公”经费实物量情况</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年度本部门因公出国（境）共计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个团组，</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人；公务用车购置</w:t>
      </w:r>
      <w:r>
        <w:rPr>
          <w:rFonts w:hint="default"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sz w:val="32"/>
          <w:szCs w:val="32"/>
          <w:shd w:val="clear" w:color="auto" w:fill="FFFFFF"/>
          <w:lang w:val="en-US" w:eastAsia="zh-CN" w:bidi="ar-SA"/>
        </w:rPr>
        <w:t>辆，公务车保有量为</w:t>
      </w:r>
      <w:r>
        <w:rPr>
          <w:rFonts w:hint="default" w:ascii="Times New Roman" w:hAnsi="Times New Roman" w:eastAsia="方正仿宋_GBK" w:cs="Times New Roman"/>
          <w:sz w:val="32"/>
          <w:szCs w:val="32"/>
          <w:shd w:val="clear" w:color="auto" w:fill="FFFFFF"/>
          <w:lang w:val="en-US" w:eastAsia="zh-CN" w:bidi="ar-SA"/>
        </w:rPr>
        <w:t>3</w:t>
      </w:r>
      <w:r>
        <w:rPr>
          <w:rFonts w:hint="eastAsia" w:ascii="方正仿宋_GBK" w:hAnsi="方正仿宋_GBK" w:eastAsia="方正仿宋_GBK" w:cs="方正仿宋_GBK"/>
          <w:sz w:val="32"/>
          <w:szCs w:val="32"/>
          <w:shd w:val="clear" w:color="auto" w:fill="FFFFFF"/>
          <w:lang w:val="en-US" w:eastAsia="zh-CN" w:bidi="ar-SA"/>
        </w:rPr>
        <w:t>辆；国内公务接待</w:t>
      </w:r>
      <w:r>
        <w:rPr>
          <w:rFonts w:hint="default" w:ascii="Times New Roman" w:hAnsi="Times New Roman" w:eastAsia="方正仿宋_GBK" w:cs="Times New Roman"/>
          <w:sz w:val="32"/>
          <w:szCs w:val="32"/>
          <w:shd w:val="clear" w:color="auto" w:fill="FFFFFF"/>
          <w:lang w:val="en-US" w:eastAsia="zh-CN" w:bidi="ar-SA"/>
        </w:rPr>
        <w:t>10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77</w:t>
      </w:r>
      <w:r>
        <w:rPr>
          <w:rFonts w:hint="eastAsia" w:ascii="方正仿宋_GBK" w:hAnsi="方正仿宋_GBK" w:eastAsia="方正仿宋_GBK" w:cs="方正仿宋_GBK"/>
          <w:sz w:val="32"/>
          <w:szCs w:val="32"/>
          <w:shd w:val="clear" w:color="auto" w:fill="FFFFFF"/>
          <w:lang w:val="en-US" w:eastAsia="zh-CN" w:bidi="ar-SA"/>
        </w:rPr>
        <w:t>人，其中：国内外事接待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人；国（境）外公务接待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年本部门人均接待费</w:t>
      </w:r>
      <w:r>
        <w:rPr>
          <w:rFonts w:hint="default" w:ascii="Times New Roman" w:hAnsi="Times New Roman" w:eastAsia="方正仿宋_GBK" w:cs="Times New Roman"/>
          <w:sz w:val="32"/>
          <w:szCs w:val="32"/>
          <w:shd w:val="clear" w:color="auto" w:fill="FFFFFF"/>
          <w:lang w:val="en-US" w:eastAsia="zh-CN" w:bidi="ar-SA"/>
        </w:rPr>
        <w:t>129.87</w:t>
      </w:r>
      <w:r>
        <w:rPr>
          <w:rFonts w:hint="eastAsia" w:ascii="方正仿宋_GBK" w:hAnsi="方正仿宋_GBK" w:eastAsia="方正仿宋_GBK" w:cs="方正仿宋_GBK"/>
          <w:sz w:val="32"/>
          <w:szCs w:val="32"/>
          <w:shd w:val="clear" w:color="auto" w:fill="FFFFFF"/>
          <w:lang w:val="en-US" w:eastAsia="zh-CN" w:bidi="ar-SA"/>
        </w:rPr>
        <w:t>元，车均购置费</w:t>
      </w:r>
      <w:r>
        <w:rPr>
          <w:rFonts w:hint="default" w:ascii="Times New Roman" w:hAnsi="Times New Roman" w:eastAsia="方正仿宋_GBK" w:cs="Times New Roman"/>
          <w:sz w:val="32"/>
          <w:szCs w:val="32"/>
          <w:shd w:val="clear" w:color="auto" w:fill="FFFFFF"/>
          <w:lang w:val="en-US" w:eastAsia="zh-CN" w:bidi="ar-SA"/>
        </w:rPr>
        <w:t>16.89</w:t>
      </w:r>
      <w:r>
        <w:rPr>
          <w:rFonts w:hint="eastAsia" w:ascii="方正仿宋_GBK" w:hAnsi="方正仿宋_GBK" w:eastAsia="方正仿宋_GBK" w:cs="方正仿宋_GBK"/>
          <w:sz w:val="32"/>
          <w:szCs w:val="32"/>
          <w:shd w:val="clear" w:color="auto" w:fill="FFFFFF"/>
          <w:lang w:val="en-US" w:eastAsia="zh-CN" w:bidi="ar-SA"/>
        </w:rPr>
        <w:t>万元，车均维护费</w:t>
      </w:r>
      <w:r>
        <w:rPr>
          <w:rFonts w:hint="default" w:ascii="Times New Roman" w:hAnsi="Times New Roman" w:eastAsia="方正仿宋_GBK" w:cs="Times New Roman"/>
          <w:sz w:val="32"/>
          <w:szCs w:val="32"/>
          <w:shd w:val="clear" w:color="auto" w:fill="FFFFFF"/>
          <w:lang w:val="en-US" w:eastAsia="zh-CN" w:bidi="ar-SA"/>
        </w:rPr>
        <w:t>1.34</w:t>
      </w:r>
      <w:r>
        <w:rPr>
          <w:rFonts w:hint="eastAsia" w:ascii="方正仿宋_GBK" w:hAnsi="方正仿宋_GBK" w:eastAsia="方正仿宋_GBK" w:cs="方正仿宋_GBK"/>
          <w:sz w:val="32"/>
          <w:szCs w:val="32"/>
          <w:shd w:val="clear" w:color="auto" w:fill="FFFFFF"/>
          <w:lang w:val="en-US" w:eastAsia="zh-CN" w:bidi="ar-SA"/>
        </w:rPr>
        <w:t>万元。</w:t>
      </w: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四、其他需要说明的事项</w:t>
      </w:r>
    </w:p>
    <w:p>
      <w:pPr>
        <w:keepNext/>
        <w:keepLines/>
        <w:bidi w:val="0"/>
        <w:snapToGrid w:val="0"/>
        <w:spacing w:beforeLines="0" w:beforeAutospacing="0" w:afterLines="0" w:afterAutospacing="0" w:line="560" w:lineRule="exact"/>
        <w:ind w:firstLine="640" w:firstLineChars="200"/>
        <w:outlineLvl w:val="1"/>
        <w:rPr>
          <w:rFonts w:hint="default"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（一）财政拨款会议费、培训费和差旅费情况说明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本年度会议费支出</w:t>
      </w:r>
      <w:r>
        <w:rPr>
          <w:rFonts w:hint="default" w:ascii="Times New Roman" w:hAnsi="Times New Roman" w:eastAsia="方正仿宋_GBK" w:cs="Times New Roman"/>
          <w:sz w:val="32"/>
          <w:szCs w:val="32"/>
          <w:shd w:val="clear" w:color="auto" w:fill="FFFFFF"/>
          <w:lang w:val="en-US" w:eastAsia="zh-CN" w:bidi="ar-SA"/>
        </w:rPr>
        <w:t>1.62</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与2023年度相比，减少1.68万元，下降50.9%</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仿宋_GB2312" w:hAnsi="仿宋" w:eastAsia="仿宋_GB2312" w:cs="Times New Roman"/>
          <w:sz w:val="32"/>
          <w:szCs w:val="32"/>
          <w:highlight w:val="none"/>
          <w:lang w:val="en-US" w:eastAsia="zh-CN" w:bidi="ar-SA"/>
        </w:rPr>
        <w:t>厉行节约，减少线下会议。</w:t>
      </w:r>
      <w:r>
        <w:rPr>
          <w:rFonts w:hint="eastAsia" w:ascii="方正仿宋_GBK" w:hAnsi="方正仿宋_GBK" w:eastAsia="方正仿宋_GBK" w:cs="方正仿宋_GBK"/>
          <w:sz w:val="32"/>
          <w:szCs w:val="32"/>
          <w:shd w:val="clear" w:color="auto" w:fill="FFFFFF"/>
          <w:lang w:val="en-US" w:eastAsia="zh-CN" w:bidi="ar-SA"/>
        </w:rPr>
        <w:t>本年度培训费支出</w:t>
      </w:r>
      <w:r>
        <w:rPr>
          <w:rFonts w:hint="default" w:ascii="Times New Roman" w:hAnsi="Times New Roman" w:eastAsia="方正仿宋_GBK" w:cs="Times New Roman"/>
          <w:sz w:val="32"/>
          <w:szCs w:val="32"/>
          <w:shd w:val="clear" w:color="auto" w:fill="FFFFFF"/>
          <w:lang w:val="en-US" w:eastAsia="zh-CN" w:bidi="ar-SA"/>
        </w:rPr>
        <w:t>15.99</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与2023年度相比，减少1.68万元，下降9.5%</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仿宋_GB2312" w:hAnsi="仿宋" w:eastAsia="仿宋_GB2312" w:cs="Times New Roman"/>
          <w:sz w:val="32"/>
          <w:szCs w:val="32"/>
          <w:highlight w:val="none"/>
          <w:lang w:val="en-US" w:eastAsia="zh-CN" w:bidi="ar-SA"/>
        </w:rPr>
        <w:t>厉行节约，减少线下培训。</w:t>
      </w:r>
      <w:r>
        <w:rPr>
          <w:rFonts w:hint="eastAsia" w:ascii="方正仿宋_GBK" w:hAnsi="方正仿宋_GBK" w:eastAsia="方正仿宋_GBK" w:cs="方正仿宋_GBK"/>
          <w:sz w:val="32"/>
          <w:szCs w:val="32"/>
          <w:shd w:val="clear" w:color="auto" w:fill="FFFFFF"/>
          <w:lang w:val="en-US" w:eastAsia="zh-CN" w:bidi="ar-SA"/>
        </w:rPr>
        <w:t>本年度差旅费支出</w:t>
      </w:r>
      <w:r>
        <w:rPr>
          <w:rFonts w:hint="default" w:ascii="Times New Roman" w:hAnsi="Times New Roman" w:eastAsia="方正仿宋_GBK" w:cs="Times New Roman"/>
          <w:sz w:val="32"/>
          <w:szCs w:val="32"/>
          <w:shd w:val="clear" w:color="auto" w:fill="FFFFFF"/>
          <w:lang w:val="en-US" w:eastAsia="zh-CN" w:bidi="ar-SA"/>
        </w:rPr>
        <w:t>4.50</w:t>
      </w:r>
      <w:r>
        <w:rPr>
          <w:rFonts w:hint="eastAsia" w:ascii="方正仿宋_GBK" w:hAnsi="方正仿宋_GBK" w:eastAsia="方正仿宋_GBK" w:cs="方正仿宋_GBK"/>
          <w:sz w:val="32"/>
          <w:szCs w:val="32"/>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与2023年度相比，减少94.59万元，下降95.5%</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厉行节约，公务出差活动减少。</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（二）机关运行经费情况说明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年度本部门机关运行经费支出</w:t>
      </w:r>
      <w:r>
        <w:rPr>
          <w:rFonts w:hint="default" w:ascii="Times New Roman" w:hAnsi="Times New Roman" w:eastAsia="方正仿宋_GBK" w:cs="Times New Roman"/>
          <w:sz w:val="32"/>
          <w:szCs w:val="32"/>
          <w:shd w:val="clear" w:color="auto" w:fill="FFFFFF"/>
          <w:lang w:val="en-US" w:eastAsia="zh-CN" w:bidi="ar-SA"/>
        </w:rPr>
        <w:t>187.58</w:t>
      </w:r>
      <w:r>
        <w:rPr>
          <w:rFonts w:hint="eastAsia" w:ascii="方正仿宋_GBK" w:hAnsi="方正仿宋_GBK" w:eastAsia="方正仿宋_GBK" w:cs="方正仿宋_GBK"/>
          <w:sz w:val="32"/>
          <w:szCs w:val="32"/>
          <w:shd w:val="clear" w:color="auto" w:fill="FFFFFF"/>
          <w:lang w:val="en-US" w:eastAsia="zh-CN" w:bidi="ar-SA"/>
        </w:rPr>
        <w:t>万元，机关运行经费主要用于开支开支</w:t>
      </w:r>
      <w:r>
        <w:rPr>
          <w:rFonts w:hint="eastAsia" w:ascii="方正仿宋_GBK" w:hAnsi="方正仿宋_GBK" w:eastAsia="方正仿宋_GBK" w:cs="方正仿宋_GBK"/>
          <w:color w:val="auto"/>
          <w:sz w:val="32"/>
          <w:szCs w:val="32"/>
          <w:shd w:val="clear" w:color="auto" w:fill="FFFFFF"/>
          <w:lang w:val="en-US" w:eastAsia="zh-CN" w:bidi="ar-SA"/>
        </w:rPr>
        <w:t>办公费</w:t>
      </w:r>
      <w:r>
        <w:rPr>
          <w:rFonts w:hint="eastAsia" w:ascii="Times New Roman" w:hAnsi="Times New Roman" w:eastAsia="方正仿宋_GBK" w:cs="Times New Roman"/>
          <w:sz w:val="32"/>
          <w:szCs w:val="32"/>
          <w:shd w:val="clear" w:color="auto" w:fill="FFFFFF"/>
          <w:lang w:val="en-US" w:eastAsia="zh-CN" w:bidi="ar-SA"/>
        </w:rPr>
        <w:t>4.99</w:t>
      </w:r>
      <w:r>
        <w:rPr>
          <w:rFonts w:hint="eastAsia" w:ascii="方正仿宋_GBK" w:hAnsi="方正仿宋_GBK" w:eastAsia="方正仿宋_GBK" w:cs="方正仿宋_GBK"/>
          <w:color w:val="auto"/>
          <w:sz w:val="32"/>
          <w:szCs w:val="32"/>
          <w:shd w:val="clear" w:color="auto" w:fill="FFFFFF"/>
          <w:lang w:val="en-US" w:eastAsia="zh-CN" w:bidi="ar-SA"/>
        </w:rPr>
        <w:t>万元、水费</w:t>
      </w:r>
      <w:r>
        <w:rPr>
          <w:rFonts w:hint="eastAsia" w:ascii="Times New Roman" w:hAnsi="Times New Roman" w:eastAsia="方正仿宋_GBK" w:cs="Times New Roman"/>
          <w:sz w:val="32"/>
          <w:szCs w:val="32"/>
          <w:shd w:val="clear" w:color="auto" w:fill="FFFFFF"/>
          <w:lang w:val="en-US" w:eastAsia="zh-CN" w:bidi="ar-SA"/>
        </w:rPr>
        <w:t>3</w:t>
      </w:r>
      <w:r>
        <w:rPr>
          <w:rFonts w:hint="eastAsia" w:ascii="方正仿宋_GBK" w:hAnsi="方正仿宋_GBK" w:eastAsia="方正仿宋_GBK" w:cs="方正仿宋_GBK"/>
          <w:color w:val="auto"/>
          <w:sz w:val="32"/>
          <w:szCs w:val="32"/>
          <w:shd w:val="clear" w:color="auto" w:fill="FFFFFF"/>
          <w:lang w:val="en-US" w:eastAsia="zh-CN" w:bidi="ar-SA"/>
        </w:rPr>
        <w:t>万元、电费</w:t>
      </w:r>
      <w:r>
        <w:rPr>
          <w:rFonts w:hint="eastAsia" w:ascii="Times New Roman" w:hAnsi="Times New Roman" w:eastAsia="方正仿宋_GBK" w:cs="Times New Roman"/>
          <w:sz w:val="32"/>
          <w:szCs w:val="32"/>
          <w:shd w:val="clear" w:color="auto" w:fill="FFFFFF"/>
          <w:lang w:val="en-US" w:eastAsia="zh-CN" w:bidi="ar-SA"/>
        </w:rPr>
        <w:t>18.76</w:t>
      </w:r>
      <w:r>
        <w:rPr>
          <w:rFonts w:hint="eastAsia" w:ascii="方正仿宋_GBK" w:hAnsi="方正仿宋_GBK" w:eastAsia="方正仿宋_GBK" w:cs="方正仿宋_GBK"/>
          <w:color w:val="auto"/>
          <w:sz w:val="32"/>
          <w:szCs w:val="32"/>
          <w:shd w:val="clear" w:color="auto" w:fill="FFFFFF"/>
          <w:lang w:val="en-US" w:eastAsia="zh-CN" w:bidi="ar-SA"/>
        </w:rPr>
        <w:t>万元、邮电费</w:t>
      </w:r>
      <w:r>
        <w:rPr>
          <w:rFonts w:hint="eastAsia" w:ascii="Times New Roman" w:hAnsi="Times New Roman" w:eastAsia="方正仿宋_GBK" w:cs="Times New Roman"/>
          <w:sz w:val="32"/>
          <w:szCs w:val="32"/>
          <w:shd w:val="clear" w:color="auto" w:fill="FFFFFF"/>
          <w:lang w:val="en-US" w:eastAsia="zh-CN" w:bidi="ar-SA"/>
        </w:rPr>
        <w:t>11.91</w:t>
      </w:r>
      <w:r>
        <w:rPr>
          <w:rFonts w:hint="eastAsia" w:ascii="方正仿宋_GBK" w:hAnsi="方正仿宋_GBK" w:eastAsia="方正仿宋_GBK" w:cs="方正仿宋_GBK"/>
          <w:color w:val="auto"/>
          <w:sz w:val="32"/>
          <w:szCs w:val="32"/>
          <w:shd w:val="clear" w:color="auto" w:fill="FFFFFF"/>
          <w:lang w:val="en-US" w:eastAsia="zh-CN" w:bidi="ar-SA"/>
        </w:rPr>
        <w:t>万元、物业管理费</w:t>
      </w:r>
      <w:r>
        <w:rPr>
          <w:rFonts w:hint="eastAsia" w:ascii="Times New Roman" w:hAnsi="Times New Roman" w:eastAsia="方正仿宋_GBK" w:cs="Times New Roman"/>
          <w:sz w:val="32"/>
          <w:szCs w:val="32"/>
          <w:shd w:val="clear" w:color="auto" w:fill="FFFFFF"/>
          <w:lang w:val="en-US" w:eastAsia="zh-CN" w:bidi="ar-SA"/>
        </w:rPr>
        <w:t>0.01</w:t>
      </w:r>
      <w:r>
        <w:rPr>
          <w:rFonts w:hint="eastAsia" w:ascii="方正仿宋_GBK" w:hAnsi="方正仿宋_GBK" w:eastAsia="方正仿宋_GBK" w:cs="方正仿宋_GBK"/>
          <w:color w:val="auto"/>
          <w:sz w:val="32"/>
          <w:szCs w:val="32"/>
          <w:shd w:val="clear" w:color="auto" w:fill="FFFFFF"/>
          <w:lang w:val="en-US" w:eastAsia="zh-CN" w:bidi="ar-SA"/>
        </w:rPr>
        <w:t>万元、差旅费</w:t>
      </w:r>
      <w:r>
        <w:rPr>
          <w:rFonts w:hint="eastAsia" w:ascii="Times New Roman" w:hAnsi="Times New Roman" w:eastAsia="方正仿宋_GBK" w:cs="Times New Roman"/>
          <w:sz w:val="32"/>
          <w:szCs w:val="32"/>
          <w:shd w:val="clear" w:color="auto" w:fill="FFFFFF"/>
          <w:lang w:val="en-US" w:eastAsia="zh-CN" w:bidi="ar-SA"/>
        </w:rPr>
        <w:t>0.03</w:t>
      </w:r>
      <w:r>
        <w:rPr>
          <w:rFonts w:hint="eastAsia" w:ascii="方正仿宋_GBK" w:hAnsi="方正仿宋_GBK" w:eastAsia="方正仿宋_GBK" w:cs="方正仿宋_GBK"/>
          <w:color w:val="auto"/>
          <w:sz w:val="32"/>
          <w:szCs w:val="32"/>
          <w:shd w:val="clear" w:color="auto" w:fill="FFFFFF"/>
          <w:lang w:val="en-US" w:eastAsia="zh-CN" w:bidi="ar-SA"/>
        </w:rPr>
        <w:t>万元、会议费</w:t>
      </w:r>
      <w:r>
        <w:rPr>
          <w:rFonts w:hint="eastAsia" w:ascii="Times New Roman" w:hAnsi="Times New Roman" w:eastAsia="方正仿宋_GBK" w:cs="Times New Roman"/>
          <w:sz w:val="32"/>
          <w:szCs w:val="32"/>
          <w:shd w:val="clear" w:color="auto" w:fill="FFFFFF"/>
          <w:lang w:val="en-US" w:eastAsia="zh-CN" w:bidi="ar-SA"/>
        </w:rPr>
        <w:t>0.39</w:t>
      </w:r>
      <w:r>
        <w:rPr>
          <w:rFonts w:hint="eastAsia" w:ascii="方正仿宋_GBK" w:hAnsi="方正仿宋_GBK" w:eastAsia="方正仿宋_GBK" w:cs="方正仿宋_GBK"/>
          <w:color w:val="auto"/>
          <w:sz w:val="32"/>
          <w:szCs w:val="32"/>
          <w:shd w:val="clear" w:color="auto" w:fill="FFFFFF"/>
          <w:lang w:val="en-US" w:eastAsia="zh-CN" w:bidi="ar-SA"/>
        </w:rPr>
        <w:t>万元、培训费</w:t>
      </w:r>
      <w:r>
        <w:rPr>
          <w:rFonts w:hint="eastAsia" w:ascii="Times New Roman" w:hAnsi="Times New Roman" w:eastAsia="方正仿宋_GBK" w:cs="Times New Roman"/>
          <w:sz w:val="32"/>
          <w:szCs w:val="32"/>
          <w:shd w:val="clear" w:color="auto" w:fill="FFFFFF"/>
          <w:lang w:val="en-US" w:eastAsia="zh-CN" w:bidi="ar-SA"/>
        </w:rPr>
        <w:t>5.21</w:t>
      </w:r>
      <w:r>
        <w:rPr>
          <w:rFonts w:hint="eastAsia" w:ascii="方正仿宋_GBK" w:hAnsi="方正仿宋_GBK" w:eastAsia="方正仿宋_GBK" w:cs="方正仿宋_GBK"/>
          <w:color w:val="auto"/>
          <w:sz w:val="32"/>
          <w:szCs w:val="32"/>
          <w:shd w:val="clear" w:color="auto" w:fill="FFFFFF"/>
          <w:lang w:val="en-US" w:eastAsia="zh-CN" w:bidi="ar-SA"/>
        </w:rPr>
        <w:t>万元、公务接待费</w:t>
      </w:r>
      <w:r>
        <w:rPr>
          <w:rFonts w:hint="eastAsia"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color w:val="auto"/>
          <w:sz w:val="32"/>
          <w:szCs w:val="32"/>
          <w:shd w:val="clear" w:color="auto" w:fill="FFFFFF"/>
          <w:lang w:val="en-US" w:eastAsia="zh-CN" w:bidi="ar-SA"/>
        </w:rPr>
        <w:t>万元、劳务费</w:t>
      </w:r>
      <w:r>
        <w:rPr>
          <w:rFonts w:hint="eastAsia" w:ascii="Times New Roman" w:hAnsi="Times New Roman" w:eastAsia="方正仿宋_GBK" w:cs="Times New Roman"/>
          <w:sz w:val="32"/>
          <w:szCs w:val="32"/>
          <w:shd w:val="clear" w:color="auto" w:fill="FFFFFF"/>
          <w:lang w:val="en-US" w:eastAsia="zh-CN" w:bidi="ar-SA"/>
        </w:rPr>
        <w:t>0.37</w:t>
      </w:r>
      <w:r>
        <w:rPr>
          <w:rFonts w:hint="eastAsia" w:ascii="方正仿宋_GBK" w:hAnsi="方正仿宋_GBK" w:eastAsia="方正仿宋_GBK" w:cs="方正仿宋_GBK"/>
          <w:color w:val="auto"/>
          <w:sz w:val="32"/>
          <w:szCs w:val="32"/>
          <w:shd w:val="clear" w:color="auto" w:fill="FFFFFF"/>
          <w:lang w:val="en-US" w:eastAsia="zh-CN" w:bidi="ar-SA"/>
        </w:rPr>
        <w:t>万元、工会经费</w:t>
      </w:r>
      <w:r>
        <w:rPr>
          <w:rFonts w:hint="eastAsia" w:ascii="Times New Roman" w:hAnsi="Times New Roman" w:eastAsia="方正仿宋_GBK" w:cs="Times New Roman"/>
          <w:sz w:val="32"/>
          <w:szCs w:val="32"/>
          <w:shd w:val="clear" w:color="auto" w:fill="FFFFFF"/>
          <w:lang w:val="en-US" w:eastAsia="zh-CN" w:bidi="ar-SA"/>
        </w:rPr>
        <w:t>54.17</w:t>
      </w:r>
      <w:r>
        <w:rPr>
          <w:rFonts w:hint="eastAsia" w:ascii="方正仿宋_GBK" w:hAnsi="方正仿宋_GBK" w:eastAsia="方正仿宋_GBK" w:cs="方正仿宋_GBK"/>
          <w:color w:val="auto"/>
          <w:sz w:val="32"/>
          <w:szCs w:val="32"/>
          <w:shd w:val="clear" w:color="auto" w:fill="FFFFFF"/>
          <w:lang w:val="en-US" w:eastAsia="zh-CN" w:bidi="ar-SA"/>
        </w:rPr>
        <w:t>万元、福利费</w:t>
      </w:r>
      <w:r>
        <w:rPr>
          <w:rFonts w:hint="eastAsia" w:ascii="Times New Roman" w:hAnsi="Times New Roman" w:eastAsia="方正仿宋_GBK" w:cs="Times New Roman"/>
          <w:sz w:val="32"/>
          <w:szCs w:val="32"/>
          <w:shd w:val="clear" w:color="auto" w:fill="FFFFFF"/>
          <w:lang w:val="en-US" w:eastAsia="zh-CN" w:bidi="ar-SA"/>
        </w:rPr>
        <w:t>10.43</w:t>
      </w:r>
      <w:r>
        <w:rPr>
          <w:rFonts w:hint="eastAsia" w:ascii="方正仿宋_GBK" w:hAnsi="方正仿宋_GBK" w:eastAsia="方正仿宋_GBK" w:cs="方正仿宋_GBK"/>
          <w:color w:val="auto"/>
          <w:sz w:val="32"/>
          <w:szCs w:val="32"/>
          <w:shd w:val="clear" w:color="auto" w:fill="FFFFFF"/>
          <w:lang w:val="en-US" w:eastAsia="zh-CN" w:bidi="ar-SA"/>
        </w:rPr>
        <w:t>万元、公务用车运行维护费</w:t>
      </w:r>
      <w:r>
        <w:rPr>
          <w:rFonts w:hint="eastAsia" w:ascii="Times New Roman" w:hAnsi="Times New Roman" w:eastAsia="方正仿宋_GBK" w:cs="Times New Roman"/>
          <w:sz w:val="32"/>
          <w:szCs w:val="32"/>
          <w:shd w:val="clear" w:color="auto" w:fill="FFFFFF"/>
          <w:lang w:val="en-US" w:eastAsia="zh-CN" w:bidi="ar-SA"/>
        </w:rPr>
        <w:t>3.51</w:t>
      </w:r>
      <w:r>
        <w:rPr>
          <w:rFonts w:hint="eastAsia" w:ascii="方正仿宋_GBK" w:hAnsi="方正仿宋_GBK" w:eastAsia="方正仿宋_GBK" w:cs="方正仿宋_GBK"/>
          <w:color w:val="auto"/>
          <w:sz w:val="32"/>
          <w:szCs w:val="32"/>
          <w:shd w:val="clear" w:color="auto" w:fill="FFFFFF"/>
          <w:lang w:val="en-US" w:eastAsia="zh-CN" w:bidi="ar-SA"/>
        </w:rPr>
        <w:t>万元、其他交通费用</w:t>
      </w:r>
      <w:r>
        <w:rPr>
          <w:rFonts w:hint="eastAsia" w:ascii="Times New Roman" w:hAnsi="Times New Roman" w:eastAsia="方正仿宋_GBK" w:cs="Times New Roman"/>
          <w:sz w:val="32"/>
          <w:szCs w:val="32"/>
          <w:shd w:val="clear" w:color="auto" w:fill="FFFFFF"/>
          <w:lang w:val="en-US" w:eastAsia="zh-CN" w:bidi="ar-SA"/>
        </w:rPr>
        <w:t>38.54</w:t>
      </w:r>
      <w:r>
        <w:rPr>
          <w:rFonts w:hint="eastAsia" w:ascii="方正仿宋_GBK" w:hAnsi="方正仿宋_GBK" w:eastAsia="方正仿宋_GBK" w:cs="方正仿宋_GBK"/>
          <w:color w:val="auto"/>
          <w:sz w:val="32"/>
          <w:szCs w:val="32"/>
          <w:shd w:val="clear" w:color="auto" w:fill="FFFFFF"/>
          <w:lang w:val="en-US" w:eastAsia="zh-CN" w:bidi="ar-SA"/>
        </w:rPr>
        <w:t>万元、税金及附加费用</w:t>
      </w:r>
      <w:r>
        <w:rPr>
          <w:rFonts w:hint="eastAsia" w:ascii="Times New Roman" w:hAnsi="Times New Roman" w:eastAsia="方正仿宋_GBK" w:cs="Times New Roman"/>
          <w:sz w:val="32"/>
          <w:szCs w:val="32"/>
          <w:shd w:val="clear" w:color="auto" w:fill="FFFFFF"/>
          <w:lang w:val="en-US" w:eastAsia="zh-CN" w:bidi="ar-SA"/>
        </w:rPr>
        <w:t>0.01</w:t>
      </w:r>
      <w:r>
        <w:rPr>
          <w:rFonts w:hint="eastAsia" w:ascii="方正仿宋_GBK" w:hAnsi="方正仿宋_GBK" w:eastAsia="方正仿宋_GBK" w:cs="方正仿宋_GBK"/>
          <w:color w:val="auto"/>
          <w:sz w:val="32"/>
          <w:szCs w:val="32"/>
          <w:shd w:val="clear" w:color="auto" w:fill="FFFFFF"/>
          <w:lang w:val="en-US" w:eastAsia="zh-CN" w:bidi="ar-SA"/>
        </w:rPr>
        <w:t>万元、其他商品和服务支出</w:t>
      </w:r>
      <w:r>
        <w:rPr>
          <w:rFonts w:hint="eastAsia" w:ascii="Times New Roman" w:hAnsi="Times New Roman" w:eastAsia="方正仿宋_GBK" w:cs="Times New Roman"/>
          <w:sz w:val="32"/>
          <w:szCs w:val="32"/>
          <w:shd w:val="clear" w:color="auto" w:fill="FFFFFF"/>
          <w:lang w:val="en-US" w:eastAsia="zh-CN" w:bidi="ar-SA"/>
        </w:rPr>
        <w:t>35.25</w:t>
      </w:r>
      <w:r>
        <w:rPr>
          <w:rFonts w:hint="eastAsia" w:ascii="方正仿宋_GBK" w:hAnsi="方正仿宋_GBK" w:eastAsia="方正仿宋_GBK" w:cs="方正仿宋_GBK"/>
          <w:color w:val="auto"/>
          <w:sz w:val="32"/>
          <w:szCs w:val="32"/>
          <w:shd w:val="clear" w:color="auto" w:fill="FFFFFF"/>
          <w:lang w:val="en-US" w:eastAsia="zh-CN" w:bidi="ar-SA"/>
        </w:rPr>
        <w:t>万元。</w:t>
      </w:r>
      <w:r>
        <w:rPr>
          <w:rFonts w:hint="eastAsia" w:ascii="方正仿宋_GBK" w:hAnsi="方正仿宋_GBK" w:eastAsia="方正仿宋_GBK" w:cs="方正仿宋_GBK"/>
          <w:sz w:val="32"/>
          <w:szCs w:val="32"/>
          <w:shd w:val="clear" w:color="auto" w:fill="FFFFFF"/>
          <w:lang w:val="en-US" w:eastAsia="zh-CN" w:bidi="ar-SA"/>
        </w:rPr>
        <w:t>机关运行经费</w:t>
      </w:r>
      <w:r>
        <w:rPr>
          <w:rFonts w:hint="default" w:ascii="Times New Roman" w:hAnsi="Times New Roman" w:eastAsia="方正仿宋_GBK" w:cs="Times New Roman"/>
          <w:sz w:val="32"/>
          <w:szCs w:val="32"/>
          <w:shd w:val="clear" w:color="auto" w:fill="FFFFFF"/>
          <w:lang w:val="en-US" w:eastAsia="zh-CN" w:bidi="ar-SA"/>
        </w:rPr>
        <w:t>较上年支出数减少70.83万元，下降27.4%</w:t>
      </w:r>
      <w:r>
        <w:rPr>
          <w:rFonts w:hint="eastAsia"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color w:val="auto"/>
          <w:sz w:val="32"/>
          <w:szCs w:val="32"/>
          <w:shd w:val="clear" w:color="auto" w:fill="FFFFFF"/>
          <w:lang w:val="en-US" w:eastAsia="zh-CN" w:bidi="ar-SA"/>
        </w:rPr>
        <w:t>认真贯彻落实中央八项规定精神和厉行节约要求，严控机关运行经费支出，邮电费、差旅费等基本支出减少。</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（三）国有资产占用情况说明</w:t>
      </w:r>
    </w:p>
    <w:p>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截至</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w:t>
      </w:r>
      <w:r>
        <w:rPr>
          <w:rFonts w:hint="default" w:ascii="Times New Roman" w:hAnsi="Times New Roman" w:eastAsia="方正仿宋_GBK" w:cs="Times New Roman"/>
          <w:sz w:val="32"/>
          <w:szCs w:val="32"/>
          <w:shd w:val="clear" w:color="auto" w:fill="FFFFFF"/>
          <w:lang w:val="en-US" w:eastAsia="zh-CN" w:bidi="ar-SA"/>
        </w:rPr>
        <w:t>12</w:t>
      </w:r>
      <w:r>
        <w:rPr>
          <w:rFonts w:hint="eastAsia" w:ascii="方正仿宋_GBK" w:hAnsi="方正仿宋_GBK" w:eastAsia="方正仿宋_GBK" w:cs="方正仿宋_GBK"/>
          <w:sz w:val="32"/>
          <w:szCs w:val="32"/>
          <w:shd w:val="clear" w:color="auto" w:fill="FFFFFF"/>
          <w:lang w:val="en-US" w:eastAsia="zh-CN" w:bidi="ar-SA"/>
        </w:rPr>
        <w:t>月</w:t>
      </w:r>
      <w:r>
        <w:rPr>
          <w:rFonts w:hint="default" w:ascii="Times New Roman" w:hAnsi="Times New Roman" w:eastAsia="方正仿宋_GBK" w:cs="Times New Roman"/>
          <w:sz w:val="32"/>
          <w:szCs w:val="32"/>
          <w:shd w:val="clear" w:color="auto" w:fill="FFFFFF"/>
          <w:lang w:val="en-US" w:eastAsia="zh-CN" w:bidi="ar-SA"/>
        </w:rPr>
        <w:t>31</w:t>
      </w:r>
      <w:r>
        <w:rPr>
          <w:rFonts w:hint="eastAsia" w:ascii="方正仿宋_GBK" w:hAnsi="方正仿宋_GBK" w:eastAsia="方正仿宋_GBK" w:cs="方正仿宋_GBK"/>
          <w:sz w:val="32"/>
          <w:szCs w:val="32"/>
          <w:shd w:val="clear" w:color="auto" w:fill="FFFFFF"/>
          <w:lang w:val="en-US" w:eastAsia="zh-CN" w:bidi="ar-SA"/>
        </w:rPr>
        <w:t>日，本部门共有车辆</w:t>
      </w:r>
      <w:r>
        <w:rPr>
          <w:rFonts w:hint="default" w:ascii="Times New Roman" w:hAnsi="Times New Roman" w:eastAsia="方正仿宋_GBK" w:cs="Times New Roman"/>
          <w:sz w:val="32"/>
          <w:szCs w:val="32"/>
          <w:shd w:val="clear" w:color="auto" w:fill="FFFFFF"/>
          <w:lang w:val="en-US" w:eastAsia="zh-CN" w:bidi="ar-SA"/>
        </w:rPr>
        <w:t>8</w:t>
      </w:r>
      <w:r>
        <w:rPr>
          <w:rFonts w:hint="eastAsia" w:ascii="方正仿宋_GBK" w:hAnsi="方正仿宋_GBK" w:eastAsia="方正仿宋_GBK" w:cs="方正仿宋_GBK"/>
          <w:sz w:val="32"/>
          <w:szCs w:val="32"/>
          <w:shd w:val="clear" w:color="auto" w:fill="FFFFFF"/>
          <w:lang w:val="en-US" w:eastAsia="zh-CN" w:bidi="ar-SA"/>
        </w:rPr>
        <w:t>辆，其中，副部（省）级及以上领导用车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辆、主要负责人用车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辆、机要通信用车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辆、应急保障用车</w:t>
      </w:r>
      <w:r>
        <w:rPr>
          <w:rFonts w:hint="default" w:ascii="Times New Roman" w:hAnsi="Times New Roman" w:eastAsia="方正仿宋_GBK" w:cs="Times New Roman"/>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辆、执法执勤用车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辆，特种专业技术用车</w:t>
      </w:r>
      <w:r>
        <w:rPr>
          <w:rFonts w:hint="default" w:ascii="Times New Roman" w:hAnsi="Times New Roman" w:eastAsia="方正仿宋_GBK" w:cs="Times New Roman"/>
          <w:sz w:val="32"/>
          <w:szCs w:val="32"/>
          <w:shd w:val="clear" w:color="auto" w:fill="FFFFFF"/>
          <w:lang w:val="en-US" w:eastAsia="zh-CN" w:bidi="ar-SA"/>
        </w:rPr>
        <w:t>4</w:t>
      </w:r>
      <w:r>
        <w:rPr>
          <w:rFonts w:hint="eastAsia" w:ascii="方正仿宋_GBK" w:hAnsi="方正仿宋_GBK" w:eastAsia="方正仿宋_GBK" w:cs="方正仿宋_GBK"/>
          <w:sz w:val="32"/>
          <w:szCs w:val="32"/>
          <w:shd w:val="clear" w:color="auto" w:fill="FFFFFF"/>
          <w:lang w:val="en-US" w:eastAsia="zh-CN" w:bidi="ar-SA"/>
        </w:rPr>
        <w:t>辆，离退休干部用车</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辆。单价</w:t>
      </w:r>
      <w:r>
        <w:rPr>
          <w:rFonts w:hint="default"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sz w:val="32"/>
          <w:szCs w:val="32"/>
          <w:shd w:val="clear" w:color="auto" w:fill="FFFFFF"/>
          <w:lang w:val="en-US" w:eastAsia="zh-CN" w:bidi="ar-SA"/>
        </w:rPr>
        <w:t>万元（含）以上专用设备</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台（套）。</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（四）政府采购支出情况说明</w:t>
      </w:r>
    </w:p>
    <w:p>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年度本部门政府采购支出总额</w:t>
      </w:r>
      <w:r>
        <w:rPr>
          <w:rFonts w:hint="default" w:ascii="Times New Roman" w:hAnsi="Times New Roman" w:eastAsia="方正仿宋_GBK" w:cs="Times New Roman"/>
          <w:sz w:val="32"/>
          <w:szCs w:val="32"/>
          <w:shd w:val="clear" w:color="auto" w:fill="FFFFFF"/>
          <w:lang w:val="en-US" w:eastAsia="zh-CN" w:bidi="ar-SA"/>
        </w:rPr>
        <w:t>3.20</w:t>
      </w:r>
      <w:r>
        <w:rPr>
          <w:rFonts w:hint="eastAsia" w:ascii="方正仿宋_GBK" w:hAnsi="方正仿宋_GBK" w:eastAsia="方正仿宋_GBK" w:cs="方正仿宋_GBK"/>
          <w:sz w:val="32"/>
          <w:szCs w:val="32"/>
          <w:shd w:val="clear" w:color="auto" w:fill="FFFFFF"/>
          <w:lang w:val="en-US" w:eastAsia="zh-CN" w:bidi="ar-SA"/>
        </w:rPr>
        <w:t>万元，其中：政府采购货物支出</w:t>
      </w:r>
      <w:r>
        <w:rPr>
          <w:rFonts w:hint="default" w:ascii="Times New Roman" w:hAnsi="Times New Roman" w:eastAsia="方正仿宋_GBK" w:cs="Times New Roman"/>
          <w:sz w:val="32"/>
          <w:szCs w:val="32"/>
          <w:shd w:val="clear" w:color="auto" w:fill="FFFFFF"/>
          <w:lang w:val="en-US" w:eastAsia="zh-CN" w:bidi="ar-SA"/>
        </w:rPr>
        <w:t>3.20</w:t>
      </w:r>
      <w:r>
        <w:rPr>
          <w:rFonts w:hint="eastAsia" w:ascii="方正仿宋_GBK" w:hAnsi="方正仿宋_GBK" w:eastAsia="方正仿宋_GBK" w:cs="方正仿宋_GBK"/>
          <w:sz w:val="32"/>
          <w:szCs w:val="32"/>
          <w:shd w:val="clear" w:color="auto" w:fill="FFFFFF"/>
          <w:lang w:val="en-US" w:eastAsia="zh-CN" w:bidi="ar-SA"/>
        </w:rPr>
        <w:t>万元、政府采购工程支出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万元、政府采购服务支出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万元。授予中小企业合同金额</w:t>
      </w:r>
      <w:r>
        <w:rPr>
          <w:rFonts w:hint="default" w:ascii="Times New Roman" w:hAnsi="Times New Roman" w:eastAsia="方正仿宋_GBK" w:cs="Times New Roman"/>
          <w:sz w:val="32"/>
          <w:szCs w:val="32"/>
          <w:shd w:val="clear" w:color="auto" w:fill="FFFFFF"/>
          <w:lang w:val="en-US" w:eastAsia="zh-CN" w:bidi="ar-SA"/>
        </w:rPr>
        <w:t>3.20</w:t>
      </w:r>
      <w:r>
        <w:rPr>
          <w:rFonts w:hint="eastAsia" w:ascii="方正仿宋_GBK" w:hAnsi="方正仿宋_GBK" w:eastAsia="方正仿宋_GBK" w:cs="方正仿宋_GBK"/>
          <w:sz w:val="32"/>
          <w:szCs w:val="32"/>
          <w:lang w:val="en-US" w:eastAsia="zh-CN" w:bidi="ar-SA"/>
        </w:rPr>
        <w:t>万</w:t>
      </w:r>
      <w:r>
        <w:rPr>
          <w:rFonts w:hint="eastAsia" w:ascii="方正仿宋_GBK" w:hAnsi="方正仿宋_GBK" w:eastAsia="方正仿宋_GBK" w:cs="方正仿宋_GBK"/>
          <w:sz w:val="32"/>
          <w:szCs w:val="32"/>
          <w:shd w:val="clear" w:color="auto" w:fill="FFFFFF"/>
          <w:lang w:val="en-US" w:eastAsia="zh-CN" w:bidi="ar-SA"/>
        </w:rPr>
        <w:t>元，占政府采购支出总额的</w:t>
      </w:r>
      <w:r>
        <w:rPr>
          <w:rFonts w:hint="default" w:ascii="Times New Roman" w:hAnsi="Times New Roman" w:eastAsia="方正仿宋_GBK" w:cs="Times New Roman"/>
          <w:sz w:val="32"/>
          <w:szCs w:val="32"/>
          <w:shd w:val="clear" w:color="auto" w:fill="FFFFFF"/>
          <w:lang w:val="en-US" w:eastAsia="zh-CN" w:bidi="ar-SA"/>
        </w:rPr>
        <w:t>100.0%</w:t>
      </w:r>
      <w:r>
        <w:rPr>
          <w:rFonts w:hint="eastAsia" w:ascii="方正仿宋_GBK" w:hAnsi="方正仿宋_GBK" w:eastAsia="方正仿宋_GBK" w:cs="方正仿宋_GBK"/>
          <w:sz w:val="32"/>
          <w:szCs w:val="32"/>
          <w:shd w:val="clear" w:color="auto" w:fill="FFFFFF"/>
          <w:lang w:val="en-US" w:eastAsia="zh-CN" w:bidi="ar-SA"/>
        </w:rPr>
        <w:t>，其中：授予小微企业合同金额</w:t>
      </w:r>
      <w:r>
        <w:rPr>
          <w:rFonts w:hint="default" w:ascii="Times New Roman" w:hAnsi="Times New Roman" w:eastAsia="方正仿宋_GBK" w:cs="Times New Roman"/>
          <w:sz w:val="32"/>
          <w:szCs w:val="32"/>
          <w:shd w:val="clear" w:color="auto" w:fill="FFFFFF"/>
          <w:lang w:val="en-US" w:eastAsia="zh-CN" w:bidi="ar-SA"/>
        </w:rPr>
        <w:t>2.68</w:t>
      </w:r>
      <w:r>
        <w:rPr>
          <w:rFonts w:hint="eastAsia" w:ascii="方正仿宋_GBK" w:hAnsi="方正仿宋_GBK" w:eastAsia="方正仿宋_GBK" w:cs="方正仿宋_GBK"/>
          <w:sz w:val="32"/>
          <w:szCs w:val="32"/>
          <w:shd w:val="clear" w:color="auto" w:fill="FFFFFF"/>
          <w:lang w:val="en-US" w:eastAsia="zh-CN" w:bidi="ar-SA"/>
        </w:rPr>
        <w:t>万元，占政府采购支出总额的</w:t>
      </w:r>
      <w:r>
        <w:rPr>
          <w:rFonts w:hint="default" w:ascii="Times New Roman" w:hAnsi="Times New Roman" w:eastAsia="方正仿宋_GBK" w:cs="Times New Roman"/>
          <w:sz w:val="32"/>
          <w:szCs w:val="32"/>
          <w:shd w:val="clear" w:color="auto" w:fill="FFFFFF"/>
          <w:lang w:val="en-US" w:eastAsia="zh-CN" w:bidi="ar-SA"/>
        </w:rPr>
        <w:t>83.9 %</w:t>
      </w:r>
      <w:r>
        <w:rPr>
          <w:rFonts w:hint="eastAsia" w:ascii="方正仿宋_GBK" w:hAnsi="方正仿宋_GBK" w:eastAsia="方正仿宋_GBK" w:cs="方正仿宋_GBK"/>
          <w:sz w:val="32"/>
          <w:szCs w:val="32"/>
          <w:shd w:val="clear" w:color="auto" w:fill="FFFFFF"/>
          <w:lang w:val="en-US" w:eastAsia="zh-CN" w:bidi="ar-SA"/>
        </w:rPr>
        <w:t>。主要用于采购采购</w:t>
      </w:r>
      <w:r>
        <w:rPr>
          <w:rFonts w:hint="eastAsia" w:ascii="Times New Roman" w:hAnsi="Times New Roman" w:eastAsia="方正仿宋_GBK" w:cs="Times New Roman"/>
          <w:sz w:val="32"/>
          <w:szCs w:val="32"/>
          <w:shd w:val="clear" w:color="auto" w:fill="FFFFFF"/>
          <w:lang w:val="en-US" w:eastAsia="zh-CN" w:bidi="ar-SA"/>
        </w:rPr>
        <w:t>2</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台空调机、</w:t>
      </w:r>
      <w:r>
        <w:rPr>
          <w:rFonts w:hint="eastAsia" w:ascii="Times New Roman" w:hAnsi="Times New Roman" w:eastAsia="方正仿宋_GBK" w:cs="Times New Roman"/>
          <w:sz w:val="32"/>
          <w:szCs w:val="32"/>
          <w:shd w:val="clear" w:color="auto" w:fill="FFFFFF"/>
          <w:lang w:val="en-US" w:eastAsia="zh-CN" w:bidi="ar-SA"/>
        </w:rPr>
        <w:t>20</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盒复印纸、</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台</w:t>
      </w:r>
      <w:r>
        <w:rPr>
          <w:rFonts w:hint="eastAsia" w:ascii="Times New Roman" w:hAnsi="Times New Roman" w:eastAsia="方正仿宋_GBK" w:cs="Times New Roman"/>
          <w:sz w:val="32"/>
          <w:szCs w:val="32"/>
          <w:shd w:val="clear" w:color="auto" w:fill="FFFFFF"/>
          <w:lang w:val="en-US" w:eastAsia="zh-CN" w:bidi="ar-SA"/>
        </w:rPr>
        <w:t>A4</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黑白打印机和</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台</w:t>
      </w:r>
      <w:r>
        <w:rPr>
          <w:rFonts w:hint="eastAsia" w:ascii="Times New Roman" w:hAnsi="Times New Roman" w:eastAsia="方正仿宋_GBK" w:cs="Times New Roman"/>
          <w:sz w:val="32"/>
          <w:szCs w:val="32"/>
          <w:shd w:val="clear" w:color="auto" w:fill="FFFFFF"/>
          <w:lang w:val="en-US" w:eastAsia="zh-CN" w:bidi="ar-SA"/>
        </w:rPr>
        <w:t>A3</w:t>
      </w: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彩色打印机。</w:t>
      </w:r>
    </w:p>
    <w:p>
      <w:pPr>
        <w:keepNext/>
        <w:keepLines/>
        <w:numPr>
          <w:ilvl w:val="0"/>
          <w:numId w:val="1"/>
        </w:numPr>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预算绩效管理情况说明</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（一）部门自评情况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根据预算绩效管理要求，我部门开展了部门整体绩效自评，涉及财政拨款资金9755.29万元。</w:t>
      </w:r>
      <w:r>
        <w:rPr>
          <w:rFonts w:hint="eastAsia" w:ascii="方正仿宋_GBK" w:hAnsi="方正仿宋_GBK" w:eastAsia="方正仿宋_GBK" w:cs="方正仿宋_GBK"/>
          <w:color w:val="000000" w:themeColor="text1"/>
          <w:sz w:val="32"/>
          <w:szCs w:val="32"/>
          <w:lang w:val="en-US" w:eastAsia="zh-CN" w:bidi="ar-SA"/>
          <w14:textFill>
            <w14:solidFill>
              <w14:schemeClr w14:val="tx1"/>
            </w14:solidFill>
          </w14:textFill>
        </w:rPr>
        <w:t>部门整体绩效自评表，详见公开10表。</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（二）部门绩效评价情况</w:t>
      </w:r>
    </w:p>
    <w:p>
      <w:pPr>
        <w:keepNext w:val="0"/>
        <w:keepLines w:val="0"/>
        <w:pageBreakBefore w:val="0"/>
        <w:widowControl/>
        <w:kinsoku/>
        <w:wordWrap/>
        <w:overflowPunct/>
        <w:topLinePunct w:val="0"/>
        <w:autoSpaceDE w:val="0"/>
        <w:autoSpaceDN/>
        <w:bidi w:val="0"/>
        <w:adjustRightInd/>
        <w:spacing w:line="594" w:lineRule="exact"/>
        <w:ind w:firstLine="640" w:firstLineChars="200"/>
        <w:textAlignment w:val="auto"/>
        <w:outlineLvl w:val="1"/>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我部门未组织开展绩效评价。</w:t>
      </w:r>
    </w:p>
    <w:p>
      <w:pPr>
        <w:keepNext/>
        <w:keepLines/>
        <w:bidi w:val="0"/>
        <w:snapToGrid w:val="0"/>
        <w:spacing w:beforeLines="0" w:beforeAutospacing="0" w:afterLines="0" w:afterAutospacing="0" w:line="560" w:lineRule="exact"/>
        <w:ind w:firstLine="640" w:firstLineChars="200"/>
        <w:outlineLvl w:val="1"/>
        <w:rPr>
          <w:rFonts w:hint="eastAsia" w:ascii="Arial" w:hAnsi="Arial" w:eastAsia="方正楷体_GBK" w:cs="Times New Roman"/>
          <w:color w:val="000000" w:themeColor="text1"/>
          <w:sz w:val="32"/>
          <w:szCs w:val="24"/>
          <w:lang w:val="en-US" w:eastAsia="zh-CN" w:bidi="ar-SA"/>
          <w14:textFill>
            <w14:solidFill>
              <w14:schemeClr w14:val="tx1"/>
            </w14:solidFill>
          </w14:textFill>
        </w:rPr>
      </w:pPr>
      <w:r>
        <w:rPr>
          <w:rFonts w:hint="eastAsia" w:ascii="Arial" w:hAnsi="Arial" w:eastAsia="方正楷体_GBK" w:cs="Times New Roman"/>
          <w:color w:val="000000" w:themeColor="text1"/>
          <w:sz w:val="32"/>
          <w:szCs w:val="24"/>
          <w:lang w:val="en-US" w:eastAsia="zh-CN" w:bidi="ar-SA"/>
          <w14:textFill>
            <w14:solidFill>
              <w14:schemeClr w14:val="tx1"/>
            </w14:solidFill>
          </w14:textFill>
        </w:rPr>
        <w:t>（三）财政绩效评价情况</w:t>
      </w:r>
    </w:p>
    <w:p>
      <w:pPr>
        <w:keepNext w:val="0"/>
        <w:keepLines w:val="0"/>
        <w:pageBreakBefore w:val="0"/>
        <w:widowControl/>
        <w:kinsoku/>
        <w:wordWrap/>
        <w:overflowPunct/>
        <w:topLinePunct w:val="0"/>
        <w:autoSpaceDE w:val="0"/>
        <w:autoSpaceDN/>
        <w:bidi w:val="0"/>
        <w:adjustRightInd/>
        <w:spacing w:line="594" w:lineRule="exact"/>
        <w:ind w:firstLine="640" w:firstLineChars="200"/>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区财政局未委托第三方对我部门开展绩效评价。</w:t>
      </w: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六、专业名词解释</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（一）财政拨款收入：</w:t>
      </w:r>
      <w:r>
        <w:rPr>
          <w:rFonts w:hint="eastAsia" w:ascii="方正仿宋_GBK" w:hAnsi="方正仿宋_GBK" w:eastAsia="方正仿宋_GBK" w:cs="方正仿宋_GBK"/>
          <w:color w:val="auto"/>
          <w:sz w:val="32"/>
          <w:szCs w:val="32"/>
          <w:shd w:val="clear" w:color="auto" w:fill="FFFFFF"/>
          <w:lang w:val="en-US" w:eastAsia="zh-CN" w:bidi="ar-SA"/>
        </w:rPr>
        <w:t>指本年度从本级财政部门取得的财政拨款。</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（二）事业收入：</w:t>
      </w:r>
      <w:r>
        <w:rPr>
          <w:rFonts w:hint="eastAsia" w:ascii="方正仿宋_GBK" w:hAnsi="方正仿宋_GBK" w:eastAsia="方正仿宋_GBK" w:cs="方正仿宋_GBK"/>
          <w:color w:val="auto"/>
          <w:sz w:val="32"/>
          <w:szCs w:val="32"/>
          <w:shd w:val="clear" w:color="auto" w:fill="FFFFFF"/>
          <w:lang w:val="en-US" w:eastAsia="zh-CN" w:bidi="ar-SA"/>
        </w:rPr>
        <w:t>指事业单位开展专业业务活动及其辅助活动取得的收入。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（三）经营收入：</w:t>
      </w:r>
      <w:r>
        <w:rPr>
          <w:rFonts w:hint="eastAsia" w:ascii="方正仿宋_GBK" w:hAnsi="方正仿宋_GBK" w:eastAsia="方正仿宋_GBK" w:cs="方正仿宋_GBK"/>
          <w:color w:val="auto"/>
          <w:sz w:val="32"/>
          <w:szCs w:val="32"/>
          <w:shd w:val="clear" w:color="auto" w:fill="FFFFFF"/>
          <w:lang w:val="en-US" w:eastAsia="zh-CN" w:bidi="ar-SA"/>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（四）其他收入：</w:t>
      </w:r>
      <w:r>
        <w:rPr>
          <w:rFonts w:hint="eastAsia" w:ascii="方正仿宋_GBK" w:hAnsi="方正仿宋_GBK" w:eastAsia="方正仿宋_GBK" w:cs="方正仿宋_GBK"/>
          <w:color w:val="auto"/>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（五）使用非财政拨款结余（含专用结余）：</w:t>
      </w:r>
      <w:r>
        <w:rPr>
          <w:rFonts w:hint="eastAsia" w:ascii="方正仿宋_GBK" w:hAnsi="方正仿宋_GBK" w:eastAsia="方正仿宋_GBK" w:cs="方正仿宋_GBK"/>
          <w:color w:val="auto"/>
          <w:sz w:val="32"/>
          <w:szCs w:val="32"/>
          <w:shd w:val="clear" w:color="auto" w:fill="FFFFFF"/>
          <w:lang w:val="en-US" w:eastAsia="zh-CN" w:bidi="ar-SA"/>
        </w:rPr>
        <w:t>指事业单位按照预算管理要求使用非财政拨款结余弥补收支差额的金额，以及使用专用结余安排支出的金额。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（六）年初结转和结余：</w:t>
      </w:r>
      <w:r>
        <w:rPr>
          <w:rFonts w:hint="eastAsia" w:ascii="方正仿宋_GBK" w:hAnsi="方正仿宋_GBK" w:eastAsia="方正仿宋_GBK" w:cs="方正仿宋_GBK"/>
          <w:color w:val="auto"/>
          <w:sz w:val="32"/>
          <w:szCs w:val="32"/>
          <w:shd w:val="clear" w:color="auto" w:fill="FFFFFF"/>
          <w:lang w:val="en-US" w:eastAsia="zh-CN" w:bidi="ar-SA"/>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（七）结余分配：</w:t>
      </w:r>
      <w:r>
        <w:rPr>
          <w:rFonts w:hint="eastAsia" w:ascii="方正仿宋_GBK" w:hAnsi="方正仿宋_GBK" w:eastAsia="方正仿宋_GBK" w:cs="方正仿宋_GBK"/>
          <w:color w:val="auto"/>
          <w:sz w:val="32"/>
          <w:szCs w:val="32"/>
          <w:shd w:val="clear" w:color="auto" w:fill="FFFFFF"/>
          <w:lang w:val="en-US" w:eastAsia="zh-CN" w:bidi="ar-SA"/>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（八）年末结转和结余：</w:t>
      </w:r>
      <w:r>
        <w:rPr>
          <w:rFonts w:hint="eastAsia" w:ascii="方正仿宋_GBK" w:hAnsi="方正仿宋_GBK" w:eastAsia="方正仿宋_GBK" w:cs="方正仿宋_GBK"/>
          <w:color w:val="auto"/>
          <w:sz w:val="32"/>
          <w:szCs w:val="32"/>
          <w:shd w:val="clear" w:color="auto" w:fill="FFFFFF"/>
          <w:lang w:val="en-US" w:eastAsia="zh-CN" w:bidi="ar-SA"/>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（九）基本支出：</w:t>
      </w:r>
      <w:r>
        <w:rPr>
          <w:rFonts w:hint="eastAsia" w:ascii="方正仿宋_GBK" w:hAnsi="方正仿宋_GBK" w:eastAsia="方正仿宋_GBK" w:cs="方正仿宋_GBK"/>
          <w:color w:val="auto"/>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（十）项目支出：</w:t>
      </w:r>
      <w:r>
        <w:rPr>
          <w:rFonts w:hint="eastAsia" w:ascii="方正仿宋_GBK" w:hAnsi="方正仿宋_GBK" w:eastAsia="方正仿宋_GBK" w:cs="方正仿宋_GBK"/>
          <w:color w:val="auto"/>
          <w:sz w:val="32"/>
          <w:szCs w:val="32"/>
          <w:shd w:val="clear" w:color="auto" w:fill="FFFFFF"/>
          <w:lang w:val="en-US" w:eastAsia="zh-CN" w:bidi="ar-SA"/>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（十一）经营支出：</w:t>
      </w:r>
      <w:r>
        <w:rPr>
          <w:rFonts w:hint="eastAsia" w:ascii="方正仿宋_GBK" w:hAnsi="方正仿宋_GBK" w:eastAsia="方正仿宋_GBK" w:cs="方正仿宋_GBK"/>
          <w:color w:val="auto"/>
          <w:sz w:val="32"/>
          <w:szCs w:val="32"/>
          <w:shd w:val="clear" w:color="auto" w:fill="FFFFFF"/>
          <w:lang w:val="en-US" w:eastAsia="zh-CN" w:bidi="ar-SA"/>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（十二）“三公”经费：</w:t>
      </w:r>
      <w:r>
        <w:rPr>
          <w:rFonts w:hint="eastAsia" w:ascii="方正仿宋_GBK" w:hAnsi="方正仿宋_GBK" w:eastAsia="方正仿宋_GBK" w:cs="方正仿宋_GBK"/>
          <w:color w:val="auto"/>
          <w:sz w:val="32"/>
          <w:szCs w:val="32"/>
          <w:shd w:val="clear" w:color="auto" w:fill="FFFFFF"/>
          <w:lang w:val="en-US" w:eastAsia="zh-CN" w:bidi="ar-SA"/>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（十三）机关运行经费：</w:t>
      </w:r>
      <w:r>
        <w:rPr>
          <w:rFonts w:hint="eastAsia" w:ascii="方正仿宋_GBK" w:hAnsi="方正仿宋_GBK" w:eastAsia="方正仿宋_GBK" w:cs="方正仿宋_GBK"/>
          <w:color w:val="auto"/>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（十四）工资福利支出（支出经济分类科目类级）：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（十五）商品和服务支出（支出经济分类科目类级）：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（十六）对个人和家庭的补助（支出经济分类科目类级）：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反映用于对个人和家庭的补助支出。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Arial" w:hAnsi="Arial" w:eastAsia="方正楷体_GBK" w:cs="Times New Roman"/>
          <w:color w:val="auto"/>
          <w:sz w:val="32"/>
          <w:szCs w:val="24"/>
          <w:lang w:val="en-US" w:eastAsia="zh-CN" w:bidi="ar-SA"/>
        </w:rPr>
        <w:t>（十七）其他资本性支出（支出经济分类科目类级）：</w:t>
      </w:r>
      <w:r>
        <w:rPr>
          <w:rFonts w:hint="eastAsia" w:ascii="方正仿宋_GBK" w:hAnsi="方正仿宋_GBK" w:eastAsia="方正仿宋_GBK" w:cs="方正仿宋_GBK"/>
          <w:color w:val="auto"/>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pPr>
        <w:keepNext/>
        <w:keepLines/>
        <w:bidi w:val="0"/>
        <w:snapToGrid w:val="0"/>
        <w:spacing w:beforeLines="0" w:beforeAutospacing="0" w:afterLines="0" w:afterAutospacing="0" w:line="560" w:lineRule="exact"/>
        <w:ind w:firstLine="640" w:firstLineChars="200"/>
        <w:outlineLvl w:val="0"/>
        <w:rPr>
          <w:rFonts w:hint="default" w:ascii="宋体" w:hAnsi="宋体" w:eastAsia="方正黑体_GBK" w:cs="Times New Roman"/>
          <w:color w:val="000000" w:themeColor="text1"/>
          <w:kern w:val="44"/>
          <w:sz w:val="32"/>
          <w:szCs w:val="24"/>
          <w:lang w:val="en-US" w:eastAsia="zh-CN" w:bidi="ar-SA"/>
          <w14:textFill>
            <w14:solidFill>
              <w14:schemeClr w14:val="tx1"/>
            </w14:solidFill>
          </w14:textFill>
        </w:rPr>
      </w:pPr>
      <w:r>
        <w:rPr>
          <w:rFonts w:hint="eastAsia" w:ascii="宋体" w:hAnsi="宋体" w:eastAsia="方正黑体_GBK" w:cs="Times New Roman"/>
          <w:color w:val="000000" w:themeColor="text1"/>
          <w:kern w:val="44"/>
          <w:sz w:val="32"/>
          <w:szCs w:val="24"/>
          <w:lang w:val="en-US" w:eastAsia="zh-CN" w:bidi="ar-SA"/>
          <w14:textFill>
            <w14:solidFill>
              <w14:schemeClr w14:val="tx1"/>
            </w14:solidFill>
          </w14:textFill>
        </w:rPr>
        <w:t>七、决算公开联系方式及信息反馈渠道</w:t>
      </w:r>
    </w:p>
    <w:p>
      <w:pPr>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本部门</w:t>
      </w:r>
      <w:bookmarkStart w:id="0" w:name="_GoBack"/>
      <w:bookmarkEnd w:id="0"/>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决算公开信息反馈和联系方式：</w:t>
      </w:r>
    </w:p>
    <w:p>
      <w:pPr>
        <w:keepNext w:val="0"/>
        <w:keepLines w:val="0"/>
        <w:pageBreakBefore w:val="0"/>
        <w:widowControl/>
        <w:kinsoku/>
        <w:wordWrap/>
        <w:overflowPunct/>
        <w:topLinePunct w:val="0"/>
        <w:autoSpaceDE w:val="0"/>
        <w:autoSpaceDN/>
        <w:bidi w:val="0"/>
        <w:adjustRightInd/>
        <w:spacing w:line="594" w:lineRule="exact"/>
        <w:ind w:left="0" w:leftChars="0" w:firstLine="640" w:firstLineChars="200"/>
        <w:textAlignment w:val="auto"/>
        <w:rPr>
          <w:rFonts w:hint="default"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t>王雪，联系电话：023-61478293</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重庆市荣昌区人民政府昌元街道办事处</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8,037.62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2,131.96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1,196.93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551.78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1,636.55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324.93</w:t>
            </w:r>
            <w:r>
              <w:rPr>
                <w:rFonts w:ascii="Times New Roman" w:hAnsi="Times New Roman"/>
                <w:color w:val="000000"/>
                <w:sz w:val="20"/>
                <w:u w:color="auto"/>
              </w:rPr>
              <w:t xml:space="preserve"> </w:t>
            </w:r>
          </w:p>
        </w:tc>
      </w:tr>
      <w:tr>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2,538.43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9,239.52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9,755.29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9,755.29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9,755.29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重庆市荣昌区人民政府昌元街道办事处</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9,239.52</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9,239.52</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2,131.96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2,131.96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2,024.77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2,024.77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969.78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969.78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551.78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551.78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259.70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259.70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1,325.58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1,325.58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544.81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544.81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519.48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519.48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2,333.64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2,333.64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2,205.67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2,205.67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2,205.67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2,205.67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重庆市荣昌区人民政府昌元街道办事处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9,755.29</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2,773.56</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6,981.73</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2,131.96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2,024.77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1,012.78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1,011.98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969.78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725.64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244.14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25.42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551.78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1,636.55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1,166.25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818.26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347.95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557.00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2,538.43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重庆市荣昌区人民政府昌元街道办事处</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8,037.62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2,131.96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551.78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1,636.55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2,538.43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2,538.43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9,239.52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8,553.39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515.76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9,755.29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9,755.29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8,553.39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1,196.93</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4.97</w:t>
            </w: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重庆市荣昌区人民政府昌元街道办事处</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8,553.39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2,773.56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5,779.83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2,131.96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1,119.18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政协事务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2010206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参政议政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2,024.77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1,012.78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809.97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1,011.98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44.97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26.66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725.64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义务兵优待</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142.49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551.78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253.90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1,636.55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1,166.25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818.26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470.31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347.95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470.31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农产品质量安全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水利工程建设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水资源节约管理与保护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478.54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2,538.43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2,410.46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重庆市荣昌区人民政府昌元街道办事处</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2,149.75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367.51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90.93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127.97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2,406.05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367.51</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重庆市荣昌区人民政府昌元街道办事处</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1,196.93</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1,196.93</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其他政府性基金及对应专项债务收入安排的支出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1,061.32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2290402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其他地方自行试点项目收益专项债券收入安排的支出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1,061.32</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135.62</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135.62</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重庆市荣昌区人民政府昌元街道办事处</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国有资本经营预算支出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22301</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解决历史遗留问题及改革成本支出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4.97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2230105</w:t>
            </w: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国有企业退休人员社会化管理补助支出</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4.97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4.97 </w:t>
            </w:r>
          </w:p>
        </w:tc>
      </w:tr>
    </w:tbl>
    <w:p>
      <w:pPr>
        <w:rPr>
          <w:rFonts w:hint="default" w:cs="宋体"/>
          <w:sz w:val="21"/>
          <w:szCs w:val="21"/>
        </w:rPr>
      </w:pPr>
      <w:r>
        <w:rPr>
          <w:rFonts w:cs="宋体"/>
          <w:sz w:val="20"/>
          <w:szCs w:val="20"/>
        </w:rPr>
        <w:t>备注：1.本表反映部门本年度国有资本经营预算财政拨款支出情况。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重庆市荣昌区人民政府昌元街道办事处</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21.90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187.58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16.89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16.89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90"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p>
      <w:pPr>
        <w:rPr>
          <w:rFonts w:cs="宋体"/>
          <w:sz w:val="18"/>
          <w:szCs w:val="18"/>
        </w:rPr>
      </w:pPr>
      <w:r>
        <w:rPr>
          <w:rFonts w:cs="宋体"/>
          <w:sz w:val="18"/>
          <w:szCs w:val="18"/>
        </w:rPr>
        <w:br w:type="page"/>
      </w:r>
    </w:p>
    <w:tbl>
      <w:tblPr>
        <w:tblStyle w:val="9"/>
        <w:tblW w:w="48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581"/>
        <w:gridCol w:w="1358"/>
        <w:gridCol w:w="1187"/>
        <w:gridCol w:w="558"/>
        <w:gridCol w:w="73"/>
        <w:gridCol w:w="126"/>
        <w:gridCol w:w="1373"/>
        <w:gridCol w:w="244"/>
        <w:gridCol w:w="469"/>
        <w:gridCol w:w="137"/>
        <w:gridCol w:w="727"/>
        <w:gridCol w:w="872"/>
        <w:gridCol w:w="532"/>
        <w:gridCol w:w="775"/>
        <w:gridCol w:w="314"/>
        <w:gridCol w:w="244"/>
        <w:gridCol w:w="1091"/>
        <w:gridCol w:w="1228"/>
        <w:gridCol w:w="28"/>
        <w:gridCol w:w="271"/>
        <w:gridCol w:w="597"/>
        <w:gridCol w:w="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5000" w:type="pct"/>
            <w:gridSpan w:val="2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宋体" w:hAnsi="宋体" w:eastAsia="宋体" w:cs="宋体"/>
                <w:b/>
                <w:bCs/>
                <w:i w:val="0"/>
                <w:iCs w:val="0"/>
                <w:color w:val="000000"/>
                <w:kern w:val="0"/>
                <w:sz w:val="30"/>
                <w:szCs w:val="3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2500" w:type="pct"/>
            <w:gridSpan w:val="10"/>
            <w:tcBorders>
              <w:top w:val="nil"/>
              <w:left w:val="nil"/>
              <w:bottom w:val="nil"/>
              <w:right w:val="nil"/>
            </w:tcBorders>
            <w:shd w:val="clear" w:color="auto" w:fill="auto"/>
            <w:noWrap/>
            <w:vAlign w:val="center"/>
          </w:tcPr>
          <w:p>
            <w:pPr>
              <w:jc w:val="right"/>
              <w:rPr>
                <w:rFonts w:hint="eastAsia" w:cs="宋体"/>
                <w:i w:val="0"/>
                <w:iCs w:val="0"/>
                <w:color w:val="000000"/>
                <w:sz w:val="16"/>
                <w:szCs w:val="16"/>
                <w:u w:val="none"/>
                <w:lang w:val="en-US" w:eastAsia="zh-CN"/>
              </w:rPr>
            </w:pPr>
          </w:p>
        </w:tc>
        <w:tc>
          <w:tcPr>
            <w:tcW w:w="2499" w:type="pct"/>
            <w:gridSpan w:val="13"/>
            <w:tcBorders>
              <w:top w:val="nil"/>
              <w:left w:val="nil"/>
              <w:bottom w:val="nil"/>
              <w:right w:val="nil"/>
            </w:tcBorders>
            <w:shd w:val="clear" w:color="auto" w:fill="auto"/>
            <w:noWrap/>
            <w:vAlign w:val="center"/>
          </w:tcPr>
          <w:p>
            <w:pPr>
              <w:jc w:val="right"/>
              <w:rPr>
                <w:rFonts w:hint="eastAsia" w:cs="宋体"/>
                <w:i w:val="0"/>
                <w:iCs w:val="0"/>
                <w:color w:val="000000"/>
                <w:sz w:val="16"/>
                <w:szCs w:val="16"/>
                <w:u w:val="none"/>
                <w:lang w:val="en-US" w:eastAsia="zh-CN"/>
              </w:rPr>
            </w:pPr>
            <w:r>
              <w:rPr>
                <w:rFonts w:hint="eastAsia" w:cs="宋体"/>
                <w:i w:val="0"/>
                <w:iCs w:val="0"/>
                <w:color w:val="000000"/>
                <w:sz w:val="16"/>
                <w:szCs w:val="16"/>
                <w:u w:val="none"/>
                <w:lang w:val="en-US" w:eastAsia="zh-CN"/>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500" w:type="pct"/>
            <w:gridSpan w:val="10"/>
            <w:tcBorders>
              <w:top w:val="nil"/>
              <w:left w:val="nil"/>
              <w:bottom w:val="single" w:color="000000" w:sz="4" w:space="0"/>
              <w:right w:val="nil"/>
            </w:tcBorders>
            <w:shd w:val="clear" w:color="auto" w:fill="auto"/>
            <w:noWrap/>
            <w:vAlign w:val="center"/>
          </w:tcPr>
          <w:p>
            <w:pPr>
              <w:jc w:val="left"/>
              <w:rPr>
                <w:rFonts w:hint="default" w:ascii="宋体" w:hAnsi="宋体" w:eastAsia="宋体" w:cs="宋体"/>
                <w:i w:val="0"/>
                <w:iCs w:val="0"/>
                <w:color w:val="000000"/>
                <w:sz w:val="16"/>
                <w:szCs w:val="16"/>
                <w:u w:val="none"/>
                <w:lang w:val="en-US" w:eastAsia="zh-CN"/>
              </w:rPr>
            </w:pPr>
            <w:r>
              <w:rPr>
                <w:rFonts w:hint="eastAsia" w:cs="宋体"/>
                <w:color w:val="000000"/>
                <w:sz w:val="20"/>
                <w:szCs w:val="20"/>
                <w:lang w:eastAsia="zh-CN"/>
              </w:rPr>
              <w:t>部门</w:t>
            </w:r>
            <w:r>
              <w:rPr>
                <w:rFonts w:cs="宋体"/>
                <w:color w:val="000000"/>
                <w:sz w:val="20"/>
                <w:szCs w:val="20"/>
              </w:rPr>
              <w:t>：</w:t>
            </w:r>
            <w:r>
              <w:rPr>
                <w:color w:val="000000"/>
                <w:sz w:val="20"/>
                <w:u w:color="auto"/>
              </w:rPr>
              <w:t>重庆市荣昌区人民政府昌元街道办事处</w:t>
            </w:r>
          </w:p>
        </w:tc>
        <w:tc>
          <w:tcPr>
            <w:tcW w:w="2499" w:type="pct"/>
            <w:gridSpan w:val="13"/>
            <w:tcBorders>
              <w:top w:val="nil"/>
              <w:left w:val="nil"/>
              <w:bottom w:val="single" w:color="000000" w:sz="4" w:space="0"/>
              <w:right w:val="nil"/>
            </w:tcBorders>
            <w:shd w:val="clear" w:color="auto" w:fill="auto"/>
            <w:noWrap/>
            <w:vAlign w:val="center"/>
          </w:tcPr>
          <w:p>
            <w:pPr>
              <w:jc w:val="right"/>
              <w:rPr>
                <w:rFonts w:hint="default" w:cs="宋体"/>
                <w:i w:val="0"/>
                <w:iCs w:val="0"/>
                <w:color w:val="000000"/>
                <w:sz w:val="16"/>
                <w:szCs w:val="16"/>
                <w:u w:val="none"/>
                <w:lang w:val="en-US" w:eastAsia="zh-CN"/>
              </w:rPr>
            </w:pPr>
            <w:r>
              <w:rPr>
                <w:rFonts w:hint="eastAsia" w:cs="宋体"/>
                <w:i w:val="0"/>
                <w:iCs w:val="0"/>
                <w:color w:val="000000"/>
                <w:sz w:val="16"/>
                <w:szCs w:val="16"/>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25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重庆市荣昌区人民政府昌元街道办事处整体自评</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50015300024P000065</w:t>
            </w:r>
          </w:p>
        </w:tc>
        <w:tc>
          <w:tcPr>
            <w:tcW w:w="6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8"/>
                <w:szCs w:val="18"/>
                <w:u w:val="none"/>
              </w:rPr>
            </w:pP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25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901-重庆市荣昌区人民政府昌元街道办事处</w:t>
            </w:r>
          </w:p>
        </w:tc>
        <w:tc>
          <w:tcPr>
            <w:tcW w:w="58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7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002-预算科</w:t>
            </w:r>
          </w:p>
        </w:tc>
        <w:tc>
          <w:tcPr>
            <w:tcW w:w="6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毛世刚</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5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13609403138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9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9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5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5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9877.71 </w:t>
            </w:r>
          </w:p>
        </w:tc>
        <w:tc>
          <w:tcPr>
            <w:tcW w:w="9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9755.29 </w:t>
            </w:r>
          </w:p>
        </w:tc>
        <w:tc>
          <w:tcPr>
            <w:tcW w:w="9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9755.29 </w:t>
            </w:r>
          </w:p>
        </w:tc>
        <w:tc>
          <w:tcPr>
            <w:tcW w:w="5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5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9877.71 </w:t>
            </w:r>
          </w:p>
        </w:tc>
        <w:tc>
          <w:tcPr>
            <w:tcW w:w="9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9755.29 </w:t>
            </w:r>
          </w:p>
        </w:tc>
        <w:tc>
          <w:tcPr>
            <w:tcW w:w="9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9755.29 </w:t>
            </w:r>
          </w:p>
        </w:tc>
        <w:tc>
          <w:tcPr>
            <w:tcW w:w="5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8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8740.38 </w:t>
            </w:r>
          </w:p>
        </w:tc>
        <w:tc>
          <w:tcPr>
            <w:tcW w:w="99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8553.39 </w:t>
            </w:r>
          </w:p>
        </w:tc>
        <w:tc>
          <w:tcPr>
            <w:tcW w:w="96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8553.39 </w:t>
            </w:r>
          </w:p>
        </w:tc>
        <w:tc>
          <w:tcPr>
            <w:tcW w:w="5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04"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145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1743"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trPr>
        <w:tc>
          <w:tcPr>
            <w:tcW w:w="1804"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举中国特色社会主义伟大旗帜，深学笃用习近平新时代中国特色社会主义思想，坚持稳中求进，统筹发展和安全，主动融入成渝地区双城经济圈建设“一号工程”等重大战略，按照“11123”工作思路，努力推动高质量发展、创造高品质生活、实现高效能治理，积极在新时代新征程全面建设社会主义现代化新荣昌中扛起“首善担当”、展现“头雁风采”。（一）强党建聚活力，展现担当作为新面貌；（二）抓项目优服务，拼出经济发展新局面；（三）抓三农促振兴，拼出城乡融合新态势；（四）抓改革促创新，拼出经济增长新极点；（五）办实事惠民生，拼出幸福指数新跃升；（六）筑底线强治理，拼出和谐发展新篇章；（七）强生态抓保护，探索生态发展新模式。</w:t>
            </w:r>
          </w:p>
        </w:tc>
        <w:tc>
          <w:tcPr>
            <w:tcW w:w="1452" w:type="pct"/>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18"/>
                <w:szCs w:val="18"/>
                <w:u w:val="none"/>
              </w:rPr>
            </w:pPr>
          </w:p>
        </w:tc>
        <w:tc>
          <w:tcPr>
            <w:tcW w:w="1743" w:type="pct"/>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举中国特色社会主义伟大旗帜，深学笃用习近平新时代中国特色社会主义思想，坚持稳中求进，统筹发展和安全，主动融入成渝地区双城经济圈建设“一号工程”等重大战略，按照“11123”工作思路，努力推动高质量发展、创造高品质生活、实现高效能治理，积极在新时代新征程全面建设社会主义现代化新荣昌中扛起“首善担当”、展现“头雁风采”。（一）强党建聚活力，展现担当作为新面貌；（二）抓项目优服务，拼出经济发展新局面；（三）抓三农促振兴，拼出城乡融合新态势；（四）抓改革促创新，拼出经济增长新极点；（五）办实事惠民生，拼出幸福指数新跃升；（六）筑底线强治理，拼出和谐发展新篇章；（七）强生态抓保护，探索生态发展新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1"/>
                <w:szCs w:val="21"/>
                <w:u w:val="none"/>
              </w:rPr>
            </w:pPr>
            <w:r>
              <w:rPr>
                <w:rFonts w:hint="eastAsia" w:ascii="微软雅黑" w:hAnsi="微软雅黑" w:eastAsia="微软雅黑" w:cs="微软雅黑"/>
                <w:b/>
                <w:bCs/>
                <w:i w:val="0"/>
                <w:iCs w:val="0"/>
                <w:color w:val="808080"/>
                <w:kern w:val="0"/>
                <w:sz w:val="21"/>
                <w:szCs w:val="21"/>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宣传教育示范活动场次</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场次</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第五次全国经济普查统计数据差错率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人员补助及时发放率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农村垃圾清运和保洁率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修复灾毁农田受益人口</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群众对镇街工作满意度</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2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r>
    </w:tbl>
    <w:p>
      <w:pPr>
        <w:rPr>
          <w:rFonts w:hint="default" w:cs="宋体"/>
          <w:sz w:val="18"/>
          <w:szCs w:val="18"/>
        </w:rPr>
      </w:pPr>
      <w:r>
        <w:rPr>
          <w:rFonts w:cs="宋体"/>
          <w:sz w:val="18"/>
          <w:szCs w:val="18"/>
        </w:rPr>
        <w:br w:type="textWrapping"/>
      </w:r>
    </w:p>
    <w:sectPr>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 PAGE  \* MERGEFORMAT </w:instrText>
                          </w:r>
                          <w:r>
                            <w:rPr>
                              <w:rFonts w:hint="eastAsia" w:ascii="宋体" w:hAnsi="宋体" w:eastAsia="宋体" w:cs="Times New Roman"/>
                              <w:sz w:val="18"/>
                              <w:szCs w:val="18"/>
                              <w:lang w:val="en-US" w:eastAsia="zh-CN" w:bidi="ar-SA"/>
                            </w:rPr>
                            <w:fldChar w:fldCharType="separate"/>
                          </w:r>
                          <w:r>
                            <w:rPr>
                              <w:rFonts w:hint="eastAsia" w:ascii="宋体" w:hAnsi="宋体" w:eastAsia="宋体" w:cs="Times New Roman"/>
                              <w:sz w:val="18"/>
                              <w:szCs w:val="18"/>
                              <w:lang w:val="en-US" w:eastAsia="zh-CN" w:bidi="ar-SA"/>
                            </w:rPr>
                            <w:t>1</w:t>
                          </w:r>
                          <w:r>
                            <w:rPr>
                              <w:rFonts w:hint="eastAsia" w:ascii="宋体" w:hAnsi="宋体"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snapToGrid w:val="0"/>
                      <w:rPr>
                        <w:rFonts w:hint="eastAsia" w:ascii="宋体" w:hAnsi="宋体" w:eastAsia="宋体" w:cs="Times New Roman"/>
                        <w:sz w:val="18"/>
                        <w:szCs w:val="18"/>
                        <w:lang w:val="en-US" w:eastAsia="zh-CN" w:bidi="ar-SA"/>
                      </w:rPr>
                    </w:pPr>
                    <w:r>
                      <w:rPr>
                        <w:rFonts w:hint="eastAsia" w:ascii="宋体" w:hAnsi="宋体" w:eastAsia="宋体" w:cs="Times New Roman"/>
                        <w:sz w:val="18"/>
                        <w:szCs w:val="18"/>
                        <w:lang w:val="en-US" w:eastAsia="zh-CN" w:bidi="ar-SA"/>
                      </w:rPr>
                      <w:fldChar w:fldCharType="begin"/>
                    </w:r>
                    <w:r>
                      <w:rPr>
                        <w:rFonts w:hint="eastAsia" w:ascii="宋体" w:hAnsi="宋体" w:eastAsia="宋体" w:cs="Times New Roman"/>
                        <w:sz w:val="18"/>
                        <w:szCs w:val="18"/>
                        <w:lang w:val="en-US" w:eastAsia="zh-CN" w:bidi="ar-SA"/>
                      </w:rPr>
                      <w:instrText xml:space="preserve"> PAGE  \* MERGEFORMAT </w:instrText>
                    </w:r>
                    <w:r>
                      <w:rPr>
                        <w:rFonts w:hint="eastAsia" w:ascii="宋体" w:hAnsi="宋体" w:eastAsia="宋体" w:cs="Times New Roman"/>
                        <w:sz w:val="18"/>
                        <w:szCs w:val="18"/>
                        <w:lang w:val="en-US" w:eastAsia="zh-CN" w:bidi="ar-SA"/>
                      </w:rPr>
                      <w:fldChar w:fldCharType="separate"/>
                    </w:r>
                    <w:r>
                      <w:rPr>
                        <w:rFonts w:hint="eastAsia" w:ascii="宋体" w:hAnsi="宋体" w:eastAsia="宋体" w:cs="Times New Roman"/>
                        <w:sz w:val="18"/>
                        <w:szCs w:val="18"/>
                        <w:lang w:val="en-US" w:eastAsia="zh-CN" w:bidi="ar-SA"/>
                      </w:rPr>
                      <w:t>1</w:t>
                    </w:r>
                    <w:r>
                      <w:rPr>
                        <w:rFonts w:hint="eastAsia" w:ascii="宋体" w:hAnsi="宋体" w:eastAsia="宋体"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27236"/>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6B556B"/>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475383"/>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70503A"/>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5FE7623"/>
    <w:rsid w:val="26377E78"/>
    <w:rsid w:val="26396DF4"/>
    <w:rsid w:val="27167136"/>
    <w:rsid w:val="27B23302"/>
    <w:rsid w:val="29310A5F"/>
    <w:rsid w:val="293939F7"/>
    <w:rsid w:val="29C37A35"/>
    <w:rsid w:val="2A076083"/>
    <w:rsid w:val="2A73162E"/>
    <w:rsid w:val="2B09466C"/>
    <w:rsid w:val="2B167953"/>
    <w:rsid w:val="2B200583"/>
    <w:rsid w:val="2B220436"/>
    <w:rsid w:val="2B8209DE"/>
    <w:rsid w:val="2B8A7B14"/>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D84388"/>
    <w:rsid w:val="33E31118"/>
    <w:rsid w:val="33EF59D3"/>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CF4761"/>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3D9573E"/>
    <w:rsid w:val="44494994"/>
    <w:rsid w:val="44B96DCF"/>
    <w:rsid w:val="44C37687"/>
    <w:rsid w:val="45AE149C"/>
    <w:rsid w:val="45CB699A"/>
    <w:rsid w:val="465B470D"/>
    <w:rsid w:val="469D6AD4"/>
    <w:rsid w:val="471E6C84"/>
    <w:rsid w:val="4748792B"/>
    <w:rsid w:val="475D719D"/>
    <w:rsid w:val="47674801"/>
    <w:rsid w:val="48225EF7"/>
    <w:rsid w:val="48725976"/>
    <w:rsid w:val="488F422B"/>
    <w:rsid w:val="48E36915"/>
    <w:rsid w:val="495C4A24"/>
    <w:rsid w:val="497135DF"/>
    <w:rsid w:val="4A1605D9"/>
    <w:rsid w:val="4A263DF2"/>
    <w:rsid w:val="4A6F6675"/>
    <w:rsid w:val="4ABF0746"/>
    <w:rsid w:val="4B0502DF"/>
    <w:rsid w:val="4B135857"/>
    <w:rsid w:val="4B7951CB"/>
    <w:rsid w:val="4B7C315C"/>
    <w:rsid w:val="4C7B5CBE"/>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8F37C3"/>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1A440E"/>
    <w:rsid w:val="6F5A53AC"/>
    <w:rsid w:val="6FAC003D"/>
    <w:rsid w:val="6FE55E12"/>
    <w:rsid w:val="6FFB2E76"/>
    <w:rsid w:val="708F6F7F"/>
    <w:rsid w:val="70D94BD3"/>
    <w:rsid w:val="711F2178"/>
    <w:rsid w:val="71C34D91"/>
    <w:rsid w:val="72DB435C"/>
    <w:rsid w:val="72E2613A"/>
    <w:rsid w:val="72F771F4"/>
    <w:rsid w:val="734150D5"/>
    <w:rsid w:val="735F12CF"/>
    <w:rsid w:val="736650B0"/>
    <w:rsid w:val="73825C16"/>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napToGrid w:val="0"/>
      <w:spacing w:beforeLines="0" w:beforeAutospacing="0" w:afterLines="0" w:afterAutospacing="0" w:line="560" w:lineRule="exact"/>
      <w:ind w:firstLine="880" w:firstLineChars="200"/>
      <w:outlineLvl w:val="0"/>
    </w:pPr>
    <w:rPr>
      <w:rFonts w:ascii="宋体" w:hAnsi="宋体" w:eastAsia="方正黑体_GBK"/>
      <w:kern w:val="44"/>
      <w:sz w:val="32"/>
    </w:rPr>
  </w:style>
  <w:style w:type="paragraph" w:styleId="3">
    <w:name w:val="heading 2"/>
    <w:basedOn w:val="1"/>
    <w:next w:val="1"/>
    <w:unhideWhenUsed/>
    <w:qFormat/>
    <w:uiPriority w:val="0"/>
    <w:pPr>
      <w:keepNext/>
      <w:keepLines/>
      <w:snapToGrid w:val="0"/>
      <w:spacing w:beforeLines="0" w:beforeAutospacing="0" w:afterLines="0" w:afterAutospacing="0" w:line="560" w:lineRule="exact"/>
      <w:ind w:firstLine="880" w:firstLineChars="200"/>
      <w:outlineLvl w:val="1"/>
    </w:pPr>
    <w:rPr>
      <w:rFonts w:ascii="Arial" w:hAnsi="Arial" w:eastAsia="方正楷体_GBK"/>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24</TotalTime>
  <ScaleCrop>false</ScaleCrop>
  <LinksUpToDate>false</LinksUpToDate>
  <CharactersWithSpaces>26302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2025-09-26T05:34:54Z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BB46EABDBB2749749395447164B066B3_12</vt:lpwstr>
  </property>
</Properties>
</file>