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bookmarkStart w:id="0" w:name="_GoBack"/>
      <w:bookmarkEnd w:id="0"/>
      <w:r>
        <w:rPr>
          <w:rFonts w:hint="eastAsia" w:ascii="方正小标宋_GBK" w:hAnsi="方正小标宋_GBK" w:eastAsia="方正小标宋_GBK" w:cs="方正小标宋_GBK"/>
          <w:sz w:val="44"/>
          <w:szCs w:val="44"/>
        </w:rPr>
        <w:t>重庆市荣昌区昌元街道劳动就业和社会保障服务所</w:t>
      </w: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w:t>
      </w:r>
      <w:r>
        <w:rPr>
          <w:rFonts w:hint="eastAsia" w:ascii="方正小标宋_GBK" w:hAnsi="方正小标宋_GBK" w:eastAsia="方正小标宋_GBK" w:cs="方正小标宋_GBK"/>
          <w:sz w:val="44"/>
          <w:szCs w:val="44"/>
          <w:shd w:val="clear" w:color="auto" w:fill="FFFFFF"/>
          <w:lang w:eastAsia="zh-CN"/>
        </w:rPr>
        <w:t>公开</w:t>
      </w:r>
      <w:r>
        <w:rPr>
          <w:rFonts w:hint="eastAsia" w:ascii="方正小标宋_GBK" w:hAnsi="方正小标宋_GBK" w:eastAsia="方正小标宋_GBK" w:cs="方正小标宋_GBK"/>
          <w:sz w:val="44"/>
          <w:szCs w:val="44"/>
          <w:shd w:val="clear" w:color="auto" w:fill="FFFFFF"/>
        </w:rPr>
        <w:t>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ascii="黑体" w:hAnsi="黑体" w:eastAsia="黑体" w:cs="黑体"/>
          <w:sz w:val="32"/>
          <w:szCs w:val="32"/>
          <w:shd w:val="clear" w:color="auto" w:fill="FFFFFF"/>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一、</w:t>
      </w:r>
      <w:r>
        <w:rPr>
          <w:rStyle w:val="12"/>
          <w:rFonts w:hint="eastAsia" w:ascii="黑体" w:hAnsi="黑体" w:eastAsia="黑体" w:cs="黑体"/>
          <w:sz w:val="32"/>
          <w:szCs w:val="32"/>
          <w:shd w:val="clear" w:color="auto" w:fill="FFFFFF"/>
          <w:lang w:eastAsia="zh-CN"/>
        </w:rPr>
        <w:t>单位</w:t>
      </w:r>
      <w:r>
        <w:rPr>
          <w:rStyle w:val="12"/>
          <w:rFonts w:ascii="黑体" w:hAnsi="黑体" w:eastAsia="黑体" w:cs="黑体"/>
          <w:sz w:val="32"/>
          <w:szCs w:val="32"/>
          <w:shd w:val="clear" w:color="auto" w:fill="FFFFFF"/>
        </w:rPr>
        <w:t>基本情况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pPr>
        <w:pStyle w:val="8"/>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val="en-US" w:eastAsia="zh-CN"/>
        </w:rPr>
        <w:t>昌元街道</w:t>
      </w:r>
      <w:r>
        <w:rPr>
          <w:rFonts w:hint="eastAsia" w:ascii="方正仿宋_GBK" w:hAnsi="方正仿宋_GBK" w:eastAsia="方正仿宋_GBK" w:cs="方正仿宋_GBK"/>
          <w:color w:val="auto"/>
          <w:sz w:val="32"/>
          <w:szCs w:val="32"/>
          <w:shd w:val="clear" w:color="auto" w:fill="FFFFFF"/>
        </w:rPr>
        <w:t>劳动就业和社会保障服务所作为重庆市荣昌区人民政府昌元街道办事处二级预算单位进行预算编制。主要负责承担就业、再就业、农村富余劳动力转移、劳动和社会保障、社会救助等方面的事务性服务工作。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年，昌元街道</w:t>
      </w:r>
      <w:r>
        <w:rPr>
          <w:rFonts w:hint="eastAsia" w:ascii="方正仿宋_GBK" w:hAnsi="方正仿宋_GBK" w:eastAsia="方正仿宋_GBK" w:cs="方正仿宋_GBK"/>
          <w:color w:val="auto"/>
          <w:sz w:val="32"/>
          <w:szCs w:val="32"/>
          <w:shd w:val="clear" w:color="auto" w:fill="FFFFFF"/>
        </w:rPr>
        <w:t>劳动就业和社会保障服务所</w:t>
      </w:r>
      <w:r>
        <w:rPr>
          <w:rFonts w:hint="eastAsia" w:ascii="方正仿宋_GBK" w:hAnsi="方正仿宋_GBK" w:eastAsia="方正仿宋_GBK" w:cs="方正仿宋_GBK"/>
          <w:color w:val="auto"/>
          <w:sz w:val="32"/>
          <w:szCs w:val="32"/>
          <w:shd w:val="clear" w:color="auto" w:fill="FFFFFF"/>
          <w:lang w:val="en-US" w:eastAsia="zh-CN"/>
        </w:rPr>
        <w:t>未设置内设机构。</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w:t>
      </w:r>
      <w:r>
        <w:rPr>
          <w:rStyle w:val="12"/>
          <w:rFonts w:hint="eastAsia" w:ascii="黑体" w:hAnsi="黑体" w:eastAsia="黑体" w:cs="黑体"/>
          <w:sz w:val="32"/>
          <w:szCs w:val="32"/>
          <w:shd w:val="clear" w:color="auto" w:fill="FFFFFF"/>
          <w:lang w:eastAsia="zh-CN"/>
        </w:rPr>
        <w:t>单位</w:t>
      </w:r>
      <w:r>
        <w:rPr>
          <w:rStyle w:val="12"/>
          <w:rFonts w:ascii="黑体" w:hAnsi="黑体" w:eastAsia="黑体" w:cs="黑体"/>
          <w:sz w:val="32"/>
          <w:szCs w:val="32"/>
          <w:shd w:val="clear" w:color="auto" w:fill="FFFFFF"/>
        </w:rPr>
        <w:t>决算</w:t>
      </w:r>
      <w:r>
        <w:rPr>
          <w:rStyle w:val="12"/>
          <w:rFonts w:hint="eastAsia" w:ascii="黑体" w:hAnsi="黑体" w:eastAsia="黑体" w:cs="黑体"/>
          <w:sz w:val="32"/>
          <w:szCs w:val="32"/>
          <w:shd w:val="clear" w:color="auto" w:fill="FFFFFF"/>
          <w:lang w:eastAsia="zh-CN"/>
        </w:rPr>
        <w:t>收支</w:t>
      </w:r>
      <w:r>
        <w:rPr>
          <w:rStyle w:val="12"/>
          <w:rFonts w:ascii="黑体" w:hAnsi="黑体" w:eastAsia="黑体" w:cs="黑体"/>
          <w:sz w:val="32"/>
          <w:szCs w:val="32"/>
          <w:shd w:val="clear" w:color="auto" w:fill="FFFFFF"/>
        </w:rPr>
        <w:t>情况说明</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8"/>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113.50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收、支与2023年度相比，减少47.89万元，下降29.7%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2024年度人员减少及厉行节约压减公用经费</w:t>
      </w:r>
      <w:r>
        <w:rPr>
          <w:rFonts w:hint="eastAsia" w:ascii="方正仿宋_GBK" w:hAnsi="方正仿宋_GBK" w:eastAsia="方正仿宋_GBK" w:cs="方正仿宋_GBK"/>
          <w:sz w:val="32"/>
          <w:szCs w:val="32"/>
          <w:shd w:val="clear" w:color="auto" w:fill="FFFFFF"/>
          <w:lang w:eastAsia="zh-CN"/>
        </w:rPr>
        <w:t>。</w:t>
      </w:r>
    </w:p>
    <w:p>
      <w:pPr>
        <w:pStyle w:val="8"/>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hint="eastAsia" w:ascii="Times New Roman" w:hAnsi="Times New Roman" w:eastAsia="方正仿宋_GBK"/>
          <w:sz w:val="32"/>
          <w:szCs w:val="32"/>
          <w:shd w:val="clear" w:color="auto" w:fill="FFFFFF"/>
          <w:lang w:val="en-US" w:eastAsia="zh-CN"/>
        </w:rPr>
        <w:t>1</w:t>
      </w:r>
      <w:r>
        <w:rPr>
          <w:rStyle w:val="12"/>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113.50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与2023年度相比，减少47.89万元，下降29.7%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2024年度人员减少及厉行节约压减公用经费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113.50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hint="eastAsia" w:ascii="Times New Roman" w:hAnsi="Times New Roman" w:eastAsia="方正仿宋_GBK"/>
          <w:sz w:val="32"/>
          <w:szCs w:val="32"/>
          <w:shd w:val="clear" w:color="auto" w:fill="FFFFFF"/>
          <w:lang w:val="en-US" w:eastAsia="zh-CN"/>
        </w:rPr>
        <w:t>2</w:t>
      </w:r>
      <w:r>
        <w:rPr>
          <w:rStyle w:val="12"/>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113.50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与2023年度相比，减少47.89万元，下降29.7%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2024年度人员减少及厉行节约压减公用经费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113.50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2"/>
          <w:rFonts w:hint="eastAsia" w:ascii="Times New Roman" w:hAnsi="Times New Roman" w:eastAsia="方正仿宋_GBK"/>
          <w:sz w:val="32"/>
          <w:szCs w:val="32"/>
          <w:shd w:val="clear" w:color="auto" w:fill="FFFFFF"/>
          <w:lang w:val="en-US" w:eastAsia="zh-CN"/>
        </w:rPr>
        <w:t>3</w:t>
      </w:r>
      <w:r>
        <w:rPr>
          <w:rStyle w:val="12"/>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113.50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财政拨款收、支总计各减少47.89万元，下降29.7%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2024年度人员减少及厉行节约压减公用经费</w:t>
      </w:r>
      <w:r>
        <w:rPr>
          <w:rFonts w:ascii="方正仿宋_GBK" w:hAnsi="方正仿宋_GBK" w:eastAsia="方正仿宋_GBK" w:cs="方正仿宋_GBK"/>
          <w:color w:val="auto"/>
          <w:sz w:val="32"/>
          <w:szCs w:val="32"/>
          <w:shd w:val="clear" w:color="auto" w:fill="FFFFFF"/>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hint="default" w:ascii="Times New Roman" w:hAnsi="Times New Roman" w:eastAsia="方正仿宋_GBK"/>
          <w:sz w:val="32"/>
          <w:szCs w:val="32"/>
          <w:shd w:val="clear" w:color="auto" w:fill="FFFFFF"/>
        </w:rPr>
        <w:t>1</w:t>
      </w:r>
      <w:r>
        <w:rPr>
          <w:rStyle w:val="12"/>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113.50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与2023年度相比，减少47.89万元，下降29.7%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2024年度人员减少及厉行节约压减公用经费</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较年初预算数减少18.52万元，下降14.0%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2024年度人员减少及厉行节约压减公用经费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2"/>
          <w:rFonts w:hint="default" w:ascii="Times New Roman" w:hAnsi="Times New Roman" w:eastAsia="方正仿宋_GBK"/>
          <w:sz w:val="32"/>
          <w:szCs w:val="32"/>
          <w:shd w:val="clear" w:color="auto" w:fill="FFFFFF"/>
        </w:rPr>
        <w:t>2</w:t>
      </w:r>
      <w:r>
        <w:rPr>
          <w:rStyle w:val="12"/>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113.50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与2023年度相比，减少47.89万元，下降29.7%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年度人员减少及厉行节约压减公用经费</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较年初预算数减少18.52万元，下降14.0%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2024年度人员减少及厉行节约压减公用经费</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0.72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103.17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较年初预算数减少16.68万元，下降13.9%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人员减少，工资、社保支出减少。</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4.99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较年初预算数减少0.74万元，下降12.9%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人员减少，医保支出减少。</w:t>
      </w:r>
    </w:p>
    <w:p>
      <w:pPr>
        <w:spacing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较年初预算数减少1.10万元，下降19.2%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人员减少，住房公积金支出减少。</w:t>
      </w:r>
    </w:p>
    <w:p>
      <w:pPr>
        <w:pStyle w:val="8"/>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2"/>
          <w:rFonts w:hint="default" w:ascii="Times New Roman" w:hAnsi="Times New Roman" w:eastAsia="方正仿宋_GBK"/>
          <w:sz w:val="32"/>
          <w:szCs w:val="32"/>
          <w:shd w:val="clear" w:color="auto" w:fill="FFFFFF"/>
        </w:rPr>
        <w:t>3</w:t>
      </w:r>
      <w:r>
        <w:rPr>
          <w:rStyle w:val="12"/>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113.50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96.95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与2023年度相比，减少29.59万元，下降23.4%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2024年度人员减少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在编人员工资、绩效、津补贴、各项保险、公积金、未休假补贴支出，退休人员健康休养费</w:t>
      </w:r>
      <w:r>
        <w:rPr>
          <w:rFonts w:ascii="方正仿宋_GBK" w:hAnsi="方正仿宋_GBK" w:eastAsia="方正仿宋_GBK" w:cs="方正仿宋_GBK"/>
          <w:color w:val="auto"/>
          <w:sz w:val="32"/>
          <w:szCs w:val="32"/>
          <w:shd w:val="clear" w:color="auto" w:fill="FFFFFF"/>
        </w:rPr>
        <w:t>。</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16.55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与2023年度相比，减少10.30万元，下降38.4%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2024年厉行节约、压减公用经费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工会经费、日常办公费、网络费、劳务费、食堂餐费、退休干部慰问等</w:t>
      </w:r>
      <w:r>
        <w:rPr>
          <w:rFonts w:ascii="方正仿宋_GBK" w:hAnsi="方正仿宋_GBK" w:eastAsia="方正仿宋_GBK" w:cs="方正仿宋_GBK"/>
          <w:color w:val="auto"/>
          <w:sz w:val="32"/>
          <w:szCs w:val="32"/>
          <w:shd w:val="clear" w:color="auto" w:fill="FFFFFF"/>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本单位</w:t>
      </w:r>
      <w:r>
        <w:rPr>
          <w:rFonts w:hint="default" w:ascii="Times New Roman" w:hAnsi="Times New Roman" w:eastAsia="方正仿宋_GBK"/>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年度无政府性基金预算财政拨款收支。</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FFFFFF"/>
          <w:lang w:eastAsia="zh-CN"/>
        </w:rPr>
        <w:t>本单位</w:t>
      </w:r>
      <w:r>
        <w:rPr>
          <w:rFonts w:hint="default" w:ascii="Times New Roman" w:hAnsi="Times New Roman" w:eastAsia="方正仿宋_GBK"/>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w:t>
      </w:r>
      <w:r>
        <w:rPr>
          <w:rStyle w:val="12"/>
          <w:rFonts w:hint="eastAsia" w:ascii="黑体" w:hAnsi="黑体" w:eastAsia="黑体" w:cs="黑体"/>
          <w:sz w:val="32"/>
          <w:szCs w:val="32"/>
          <w:shd w:val="clear" w:color="auto" w:fill="FFFFFF"/>
          <w:lang w:eastAsia="zh-CN"/>
        </w:rPr>
        <w:t>财政拨款</w:t>
      </w:r>
      <w:r>
        <w:rPr>
          <w:rStyle w:val="12"/>
          <w:rFonts w:ascii="黑体" w:hAnsi="黑体" w:eastAsia="黑体" w:cs="黑体"/>
          <w:sz w:val="32"/>
          <w:szCs w:val="32"/>
          <w:shd w:val="clear" w:color="auto" w:fill="FFFFFF"/>
        </w:rPr>
        <w:t>“三公”经费情况说明</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lang w:eastAsia="zh-CN"/>
        </w:rPr>
        <w:t>2024</w:t>
      </w:r>
      <w:r>
        <w:rPr>
          <w:rFonts w:ascii="方正仿宋_GBK" w:hAnsi="方正仿宋_GBK" w:eastAsia="方正仿宋_GBK" w:cs="方正仿宋_GBK"/>
          <w:color w:val="auto"/>
          <w:sz w:val="32"/>
          <w:szCs w:val="32"/>
          <w:shd w:val="clear" w:color="auto" w:fill="FFFFFF"/>
        </w:rPr>
        <w:t>年度本单位</w:t>
      </w:r>
      <w:r>
        <w:rPr>
          <w:rFonts w:hint="eastAsia" w:ascii="方正仿宋_GBK" w:hAnsi="方正仿宋_GBK" w:eastAsia="方正仿宋_GBK" w:cs="方正仿宋_GBK"/>
          <w:color w:val="auto"/>
          <w:sz w:val="32"/>
          <w:szCs w:val="32"/>
          <w:shd w:val="clear" w:color="auto" w:fill="FFFFFF"/>
          <w:lang w:val="en-US" w:eastAsia="zh-CN"/>
        </w:rPr>
        <w:t>未发生</w:t>
      </w:r>
      <w:r>
        <w:rPr>
          <w:rFonts w:ascii="方正仿宋_GBK" w:hAnsi="方正仿宋_GBK" w:eastAsia="方正仿宋_GBK" w:cs="方正仿宋_GBK"/>
          <w:color w:val="auto"/>
          <w:sz w:val="32"/>
          <w:szCs w:val="32"/>
          <w:shd w:val="clear" w:color="auto" w:fill="FFFFFF"/>
        </w:rPr>
        <w:t>“三公”经费支出</w:t>
      </w:r>
      <w:r>
        <w:rPr>
          <w:rFonts w:hint="eastAsia" w:ascii="方正仿宋_GBK" w:hAnsi="方正仿宋_GBK" w:eastAsia="方正仿宋_GBK" w:cs="方正仿宋_GBK"/>
          <w:color w:val="auto"/>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sz w:val="32"/>
          <w:szCs w:val="32"/>
          <w:shd w:val="clear" w:color="auto" w:fill="FFFFFF"/>
          <w:lang w:eastAsia="zh-CN"/>
        </w:rPr>
        <w:t>202</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年度本单位</w:t>
      </w:r>
      <w:r>
        <w:rPr>
          <w:rFonts w:hint="eastAsia" w:ascii="方正仿宋_GBK" w:hAnsi="方正仿宋_GBK" w:eastAsia="方正仿宋_GBK" w:cs="方正仿宋_GBK"/>
          <w:color w:val="auto"/>
          <w:sz w:val="32"/>
          <w:szCs w:val="32"/>
          <w:shd w:val="clear" w:color="auto" w:fill="FFFFFF"/>
          <w:lang w:val="en-US" w:eastAsia="zh-CN"/>
        </w:rPr>
        <w:t>未发生</w:t>
      </w:r>
      <w:r>
        <w:rPr>
          <w:rFonts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val="en-US" w:eastAsia="zh-CN"/>
        </w:rPr>
        <w:t>支出</w:t>
      </w:r>
      <w:r>
        <w:rPr>
          <w:rFonts w:hint="eastAsia" w:ascii="方正仿宋_GBK" w:hAnsi="方正仿宋_GBK" w:eastAsia="方正仿宋_GBK" w:cs="方正仿宋_GBK"/>
          <w:color w:val="auto"/>
          <w:sz w:val="32"/>
          <w:szCs w:val="32"/>
          <w:shd w:val="clear" w:color="auto" w:fill="FFFFFF"/>
          <w:lang w:eastAsia="zh-CN"/>
        </w:rPr>
        <w:t>。</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sz w:val="32"/>
          <w:szCs w:val="32"/>
          <w:shd w:val="clear" w:color="auto" w:fill="FFFFFF"/>
          <w:lang w:eastAsia="zh-CN"/>
        </w:rPr>
        <w:t>202</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年度本单位</w:t>
      </w:r>
      <w:r>
        <w:rPr>
          <w:rFonts w:hint="eastAsia" w:ascii="方正仿宋_GBK" w:hAnsi="方正仿宋_GBK" w:eastAsia="方正仿宋_GBK" w:cs="方正仿宋_GBK"/>
          <w:color w:val="auto"/>
          <w:sz w:val="32"/>
          <w:szCs w:val="32"/>
          <w:shd w:val="clear" w:color="auto" w:fill="FFFFFF"/>
          <w:lang w:val="en-US" w:eastAsia="zh-CN"/>
        </w:rPr>
        <w:t>未发生</w:t>
      </w:r>
      <w:r>
        <w:rPr>
          <w:rFonts w:ascii="方正仿宋_GBK" w:hAnsi="方正仿宋_GBK" w:eastAsia="方正仿宋_GBK" w:cs="方正仿宋_GBK"/>
          <w:color w:val="auto"/>
          <w:sz w:val="32"/>
          <w:szCs w:val="32"/>
          <w:shd w:val="clear" w:color="auto" w:fill="FFFFFF"/>
        </w:rPr>
        <w:t>公务车购置费</w:t>
      </w:r>
      <w:r>
        <w:rPr>
          <w:rFonts w:hint="eastAsia" w:ascii="方正仿宋_GBK" w:hAnsi="方正仿宋_GBK" w:eastAsia="方正仿宋_GBK" w:cs="方正仿宋_GBK"/>
          <w:color w:val="auto"/>
          <w:sz w:val="32"/>
          <w:szCs w:val="32"/>
          <w:lang w:val="en-US" w:eastAsia="zh-CN"/>
        </w:rPr>
        <w:t>支出</w:t>
      </w:r>
      <w:r>
        <w:rPr>
          <w:rFonts w:ascii="方正仿宋_GBK" w:hAnsi="方正仿宋_GBK" w:eastAsia="方正仿宋_GBK" w:cs="方正仿宋_GBK"/>
          <w:color w:val="auto"/>
          <w:sz w:val="32"/>
          <w:szCs w:val="32"/>
          <w:shd w:val="clear" w:color="auto" w:fill="FFFFFF"/>
        </w:rPr>
        <w:t>。</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sz w:val="32"/>
          <w:szCs w:val="32"/>
          <w:shd w:val="clear" w:color="auto" w:fill="FFFFFF"/>
          <w:lang w:eastAsia="zh-CN"/>
        </w:rPr>
        <w:t>202</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年度本单位</w:t>
      </w:r>
      <w:r>
        <w:rPr>
          <w:rFonts w:hint="eastAsia" w:ascii="方正仿宋_GBK" w:hAnsi="方正仿宋_GBK" w:eastAsia="方正仿宋_GBK" w:cs="方正仿宋_GBK"/>
          <w:color w:val="auto"/>
          <w:sz w:val="32"/>
          <w:szCs w:val="32"/>
          <w:shd w:val="clear" w:color="auto" w:fill="FFFFFF"/>
          <w:lang w:val="en-US" w:eastAsia="zh-CN"/>
        </w:rPr>
        <w:t>未发生</w:t>
      </w:r>
      <w:r>
        <w:rPr>
          <w:rFonts w:ascii="方正仿宋_GBK" w:hAnsi="方正仿宋_GBK" w:eastAsia="方正仿宋_GBK" w:cs="方正仿宋_GBK"/>
          <w:color w:val="auto"/>
          <w:sz w:val="32"/>
          <w:szCs w:val="32"/>
          <w:shd w:val="clear" w:color="auto" w:fill="FFFFFF"/>
        </w:rPr>
        <w:t>公务车运行维护费</w:t>
      </w:r>
      <w:r>
        <w:rPr>
          <w:rFonts w:hint="eastAsia" w:ascii="方正仿宋_GBK" w:hAnsi="方正仿宋_GBK" w:eastAsia="方正仿宋_GBK" w:cs="方正仿宋_GBK"/>
          <w:color w:val="auto"/>
          <w:sz w:val="32"/>
          <w:szCs w:val="32"/>
          <w:lang w:val="en-US" w:eastAsia="zh-CN"/>
        </w:rPr>
        <w:t>支出</w:t>
      </w:r>
      <w:r>
        <w:rPr>
          <w:rFonts w:hint="eastAsia" w:ascii="方正仿宋_GBK" w:hAnsi="方正仿宋_GBK" w:eastAsia="方正仿宋_GBK" w:cs="方正仿宋_GBK"/>
          <w:color w:val="auto"/>
          <w:sz w:val="32"/>
          <w:szCs w:val="32"/>
          <w:shd w:val="clear" w:color="auto" w:fill="FFFFFF"/>
          <w:lang w:eastAsia="zh-CN"/>
        </w:rPr>
        <w:t>。</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sz w:val="32"/>
          <w:szCs w:val="32"/>
          <w:shd w:val="clear" w:color="auto" w:fill="FFFFFF"/>
          <w:lang w:eastAsia="zh-CN"/>
        </w:rPr>
        <w:t>202</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年度本单位</w:t>
      </w:r>
      <w:r>
        <w:rPr>
          <w:rFonts w:hint="eastAsia" w:ascii="方正仿宋_GBK" w:hAnsi="方正仿宋_GBK" w:eastAsia="方正仿宋_GBK" w:cs="方正仿宋_GBK"/>
          <w:color w:val="auto"/>
          <w:sz w:val="32"/>
          <w:szCs w:val="32"/>
          <w:shd w:val="clear" w:color="auto" w:fill="FFFFFF"/>
          <w:lang w:val="en-US" w:eastAsia="zh-CN"/>
        </w:rPr>
        <w:t>未发生</w:t>
      </w:r>
      <w:r>
        <w:rPr>
          <w:rFonts w:ascii="方正仿宋_GBK" w:hAnsi="方正仿宋_GBK" w:eastAsia="方正仿宋_GBK" w:cs="方正仿宋_GBK"/>
          <w:color w:val="auto"/>
          <w:sz w:val="32"/>
          <w:szCs w:val="32"/>
          <w:shd w:val="clear" w:color="auto" w:fill="FFFFFF"/>
        </w:rPr>
        <w:t>公务接待费</w:t>
      </w:r>
      <w:r>
        <w:rPr>
          <w:rFonts w:hint="eastAsia" w:ascii="方正仿宋_GBK" w:hAnsi="方正仿宋_GBK" w:eastAsia="方正仿宋_GBK" w:cs="方正仿宋_GBK"/>
          <w:color w:val="auto"/>
          <w:sz w:val="32"/>
          <w:szCs w:val="32"/>
          <w:lang w:val="en-US" w:eastAsia="zh-CN"/>
        </w:rPr>
        <w:t>支出。</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与2023年度相比，减少0.07万元，下降100.0%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本年度未召开会议</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与2023年度相比，增加0.02万元，增长2.9%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党员教育支出增加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3"/>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按照部门决算列报口径，我单位不在机关运行经费统计范围之内。</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3"/>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lang w:eastAsia="zh-CN"/>
        </w:rPr>
        <w:t>五、</w:t>
      </w:r>
      <w:r>
        <w:rPr>
          <w:rStyle w:val="12"/>
          <w:rFonts w:ascii="黑体" w:hAnsi="黑体" w:eastAsia="黑体" w:cs="黑体"/>
          <w:sz w:val="32"/>
          <w:szCs w:val="32"/>
          <w:shd w:val="clear" w:color="auto" w:fill="FFFFFF"/>
        </w:rPr>
        <w:t>预算绩效管理情况说明</w:t>
      </w:r>
    </w:p>
    <w:p>
      <w:pPr>
        <w:pStyle w:val="3"/>
        <w:pageBreakBefore w:val="0"/>
        <w:widowControl/>
        <w:numPr>
          <w:ilvl w:val="0"/>
          <w:numId w:val="0"/>
        </w:numPr>
        <w:kinsoku/>
        <w:wordWrap/>
        <w:overflowPunct/>
        <w:topLinePunct w:val="0"/>
        <w:autoSpaceDN/>
        <w:bidi w:val="0"/>
        <w:adjustRightInd/>
        <w:spacing w:line="560" w:lineRule="exact"/>
        <w:ind w:firstLine="640" w:firstLineChars="200"/>
        <w:textAlignment w:val="auto"/>
        <w:rPr>
          <w:rFonts w:hint="eastAsia"/>
          <w:color w:val="auto"/>
        </w:rPr>
      </w:pPr>
      <w:r>
        <w:rPr>
          <w:rFonts w:hint="eastAsia"/>
          <w:color w:val="auto"/>
          <w:lang w:eastAsia="zh-CN"/>
        </w:rPr>
        <w:t>（一）</w:t>
      </w:r>
      <w:r>
        <w:rPr>
          <w:rFonts w:hint="eastAsia"/>
          <w:color w:val="auto"/>
        </w:rPr>
        <w:t>单位自评情况</w:t>
      </w:r>
    </w:p>
    <w:p>
      <w:pPr>
        <w:pStyle w:val="3"/>
        <w:pageBreakBefore w:val="0"/>
        <w:widowControl/>
        <w:kinsoku/>
        <w:wordWrap/>
        <w:overflowPunct/>
        <w:topLinePunct w:val="0"/>
        <w:autoSpaceDN/>
        <w:bidi w:val="0"/>
        <w:adjustRightInd/>
        <w:spacing w:line="560" w:lineRule="exact"/>
        <w:textAlignment w:val="auto"/>
        <w:rPr>
          <w:rFonts w:hint="eastAsia"/>
          <w:color w:val="auto"/>
        </w:rPr>
      </w:pPr>
      <w:r>
        <w:rPr>
          <w:rFonts w:hint="eastAsia" w:ascii="方正仿宋_GBK" w:hAnsi="方正仿宋_GBK" w:eastAsia="方正仿宋_GBK" w:cs="方正仿宋_GBK"/>
          <w:color w:val="auto"/>
          <w:sz w:val="32"/>
          <w:szCs w:val="32"/>
          <w:shd w:val="clear" w:color="auto" w:fill="FFFFFF"/>
          <w:lang w:val="en-US" w:eastAsia="zh-CN" w:bidi="ar-SA"/>
        </w:rPr>
        <w:t>我单位开展了单位整体绩效自评，涉及财政拨款资金</w:t>
      </w:r>
      <w:r>
        <w:rPr>
          <w:rFonts w:hint="default" w:ascii="Times New Roman" w:hAnsi="Times New Roman" w:eastAsia="方正仿宋_GBK"/>
          <w:sz w:val="32"/>
          <w:szCs w:val="32"/>
          <w:shd w:val="clear" w:color="auto" w:fill="FFFFFF"/>
        </w:rPr>
        <w:t>113.50</w:t>
      </w:r>
      <w:r>
        <w:rPr>
          <w:rFonts w:hint="eastAsia" w:ascii="方正仿宋_GBK" w:hAnsi="方正仿宋_GBK" w:eastAsia="方正仿宋_GBK" w:cs="方正仿宋_GBK"/>
          <w:color w:val="auto"/>
          <w:sz w:val="32"/>
          <w:szCs w:val="32"/>
          <w:shd w:val="clear" w:color="auto" w:fill="FFFFFF"/>
          <w:lang w:val="en-US" w:eastAsia="zh-CN" w:bidi="ar-SA"/>
        </w:rPr>
        <w:t>万元，单位</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整体绩效自评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表，详见公开10表</w:t>
      </w:r>
      <w:r>
        <w:rPr>
          <w:rFonts w:hint="eastAsia" w:ascii="方正仿宋_GBK" w:hAnsi="方正仿宋_GBK" w:eastAsia="方正仿宋_GBK" w:cs="方正仿宋_GBK"/>
          <w:color w:val="auto"/>
          <w:sz w:val="32"/>
          <w:szCs w:val="32"/>
          <w:shd w:val="clear" w:color="auto" w:fill="FFFFFF"/>
          <w:lang w:val="en-US" w:eastAsia="zh-CN" w:bidi="ar-SA"/>
        </w:rPr>
        <w:t>。</w:t>
      </w:r>
    </w:p>
    <w:p>
      <w:pPr>
        <w:pStyle w:val="3"/>
        <w:pageBreakBefore w:val="0"/>
        <w:widowControl/>
        <w:kinsoku/>
        <w:wordWrap/>
        <w:overflowPunct/>
        <w:topLinePunct w:val="0"/>
        <w:autoSpaceDN/>
        <w:bidi w:val="0"/>
        <w:adjustRightInd/>
        <w:spacing w:line="560" w:lineRule="exact"/>
        <w:textAlignment w:val="auto"/>
        <w:rPr>
          <w:color w:val="auto"/>
        </w:rPr>
      </w:pPr>
      <w:r>
        <w:rPr>
          <w:rFonts w:hint="eastAsia"/>
          <w:color w:val="auto"/>
        </w:rPr>
        <w:t>（二）单位绩效评价情况</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我单位</w:t>
      </w:r>
      <w:r>
        <w:rPr>
          <w:rFonts w:hint="eastAsia" w:ascii="方正仿宋_GBK" w:hAnsi="方正仿宋_GBK" w:eastAsia="方正仿宋_GBK" w:cs="方正仿宋_GBK"/>
          <w:color w:val="auto"/>
          <w:sz w:val="32"/>
          <w:szCs w:val="32"/>
          <w:shd w:val="clear" w:color="auto" w:fill="FFFFFF"/>
          <w:lang w:eastAsia="zh-CN"/>
        </w:rPr>
        <w:t>未组织开</w:t>
      </w:r>
      <w:r>
        <w:rPr>
          <w:rFonts w:hint="eastAsia" w:ascii="方正仿宋_GBK" w:hAnsi="方正仿宋_GBK" w:eastAsia="方正仿宋_GBK" w:cs="方正仿宋_GBK"/>
          <w:color w:val="auto"/>
          <w:sz w:val="32"/>
          <w:szCs w:val="32"/>
          <w:shd w:val="clear" w:color="auto" w:fill="FFFFFF"/>
        </w:rPr>
        <w:t>展绩效评价</w:t>
      </w:r>
      <w:r>
        <w:rPr>
          <w:rFonts w:hint="eastAsia" w:ascii="方正仿宋_GBK" w:hAnsi="方正仿宋_GBK" w:eastAsia="方正仿宋_GBK" w:cs="方正仿宋_GBK"/>
          <w:color w:val="auto"/>
          <w:sz w:val="32"/>
          <w:szCs w:val="32"/>
          <w:shd w:val="clear" w:color="auto" w:fill="FFFFFF"/>
          <w:lang w:eastAsia="zh-CN"/>
        </w:rPr>
        <w:t>。</w:t>
      </w:r>
    </w:p>
    <w:p>
      <w:pPr>
        <w:pStyle w:val="8"/>
        <w:snapToGrid w:val="0"/>
        <w:spacing w:before="0" w:beforeAutospacing="0" w:after="0" w:afterAutospacing="0" w:line="596" w:lineRule="exact"/>
        <w:ind w:firstLine="640" w:firstLineChars="200"/>
        <w:jc w:val="both"/>
        <w:rPr>
          <w:rFonts w:hint="eastAsia" w:ascii="Arial" w:hAnsi="Arial" w:eastAsia="方正楷体_GBK" w:cs="Times New Roman"/>
          <w:color w:val="auto"/>
          <w:sz w:val="32"/>
          <w:szCs w:val="24"/>
          <w:lang w:val="en-US" w:eastAsia="zh-CN" w:bidi="ar-SA"/>
        </w:rPr>
      </w:pPr>
      <w:r>
        <w:rPr>
          <w:rFonts w:hint="eastAsia" w:ascii="Arial" w:hAnsi="Arial" w:eastAsia="方正楷体_GBK" w:cs="Times New Roman"/>
          <w:color w:val="auto"/>
          <w:sz w:val="32"/>
          <w:szCs w:val="24"/>
          <w:lang w:val="en-US" w:eastAsia="zh-CN" w:bidi="ar-SA"/>
        </w:rPr>
        <w:t>（三）财政绩效评价情况</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区财政局未委托第三方对我单位开展绩效评价</w:t>
      </w:r>
      <w:r>
        <w:rPr>
          <w:rFonts w:hint="eastAsia" w:ascii="方正仿宋_GBK" w:hAnsi="方正仿宋_GBK" w:eastAsia="方正仿宋_GBK" w:cs="方正仿宋_GBK"/>
          <w:color w:val="auto"/>
          <w:sz w:val="32"/>
          <w:szCs w:val="32"/>
          <w:shd w:val="clear" w:color="auto" w:fill="FFFFFF"/>
          <w:lang w:eastAsia="zh-CN"/>
        </w:rPr>
        <w:t>。</w:t>
      </w:r>
    </w:p>
    <w:p>
      <w:pPr>
        <w:pStyle w:val="2"/>
        <w:pageBreakBefore w:val="0"/>
        <w:widowControl/>
        <w:kinsoku/>
        <w:wordWrap/>
        <w:overflowPunct/>
        <w:topLinePunct w:val="0"/>
        <w:autoSpaceDN/>
        <w:bidi w:val="0"/>
        <w:adjustRightInd/>
        <w:spacing w:line="560" w:lineRule="exact"/>
        <w:textAlignment w:val="auto"/>
        <w:rPr>
          <w:rStyle w:val="12"/>
          <w:rFonts w:hint="default" w:ascii="黑体" w:hAnsi="黑体" w:eastAsia="黑体" w:cs="黑体"/>
          <w:kern w:val="0"/>
          <w:sz w:val="32"/>
          <w:szCs w:val="32"/>
          <w:shd w:val="clear" w:color="auto" w:fill="FFFFFF"/>
          <w:lang w:val="en-US" w:eastAsia="zh-CN" w:bidi="ar-SA"/>
        </w:rPr>
      </w:pPr>
      <w:r>
        <w:rPr>
          <w:rStyle w:val="12"/>
          <w:rFonts w:hint="eastAsia" w:ascii="黑体" w:hAnsi="黑体" w:eastAsia="黑体" w:cs="黑体"/>
          <w:kern w:val="0"/>
          <w:sz w:val="32"/>
          <w:szCs w:val="32"/>
          <w:shd w:val="clear" w:color="auto" w:fill="FFFFFF"/>
          <w:lang w:val="en-US" w:eastAsia="zh-CN" w:bidi="ar-SA"/>
        </w:rPr>
        <w:t>六、专业名词解释</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（二）事业收入：</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（三）经营收入：</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（四）其他收入：</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（五）使用非财政拨款结余：</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（六）年初结转和结余：</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（七）结余分配：</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（八）年末结转和结余：</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（九）基本支出：</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（十）项目支出：</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（十一）经营支出：</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（十二）“三公”经费：</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（十三）机关运行经费：</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（十四）工资福利支出（支出经济分类科目类级）：</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（十五）商品和服务支出（支出经济分类科目类级）：</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（十六）对个人和家庭的补助（支出经济分类科目类级）：</w:t>
      </w:r>
      <w:r>
        <w:rPr>
          <w:rFonts w:ascii="方正仿宋_GBK" w:hAnsi="方正仿宋_GBK" w:eastAsia="方正仿宋_GBK" w:cs="方正仿宋_GBK"/>
          <w:color w:val="auto"/>
          <w:sz w:val="32"/>
          <w:szCs w:val="32"/>
          <w:shd w:val="clear" w:color="auto" w:fill="FFFFFF"/>
        </w:rPr>
        <w:t>反映用于对个人和家庭的补助支出。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9"/>
          <w:color w:val="auto"/>
        </w:rPr>
        <w:t>（十七）其他资本性支出（支出经济分类科目类级）：</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2"/>
        <w:pageBreakBefore w:val="0"/>
        <w:widowControl/>
        <w:kinsoku/>
        <w:wordWrap/>
        <w:overflowPunct/>
        <w:topLinePunct w:val="0"/>
        <w:autoSpaceDN/>
        <w:bidi w:val="0"/>
        <w:adjustRightInd/>
        <w:spacing w:line="560" w:lineRule="exact"/>
        <w:textAlignment w:val="auto"/>
        <w:rPr>
          <w:rFonts w:hint="default"/>
          <w:color w:val="auto"/>
        </w:rPr>
      </w:pPr>
      <w:r>
        <w:rPr>
          <w:color w:val="auto"/>
        </w:rPr>
        <w:t>七、决算公开联系方式及信息反馈渠道</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本单位决算公开信息反馈和联系方式：</w:t>
      </w:r>
    </w:p>
    <w:p>
      <w:pPr>
        <w:pStyle w:val="13"/>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sz w:val="32"/>
          <w:szCs w:val="32"/>
          <w:shd w:val="clear" w:color="auto" w:fill="FFFFFF"/>
          <w:lang w:val="en-US" w:eastAsia="zh-CN"/>
        </w:rPr>
        <w:t>王俊美，联系电话：023-61478264</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重庆市荣昌区昌元街道劳动就业和社会保障服务所</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重庆市荣昌区昌元街道劳动就业和社会保障服务所</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113.50</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113.50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103.17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103.17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重庆市荣昌区昌元街道劳动就业和社会保障服务所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113.50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113.50</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103.17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103.17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重庆市荣昌区昌元街道劳动就业和社会保障服务所</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113.50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113.50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113.50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重庆市荣昌区昌元街道劳动就业和社会保障服务所</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113.50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113.50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103.17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85.15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85.15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重庆市荣昌区昌元街道劳动就业和社会保障服务所</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96.95</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16.55</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重庆市荣昌区昌元街道劳动就业和社会保障服务所</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重庆市荣昌区昌元街道劳动就业和社会保障服务所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重庆市荣昌区昌元街道劳动就业和社会保障服务所</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pPr>
        <w:spacing w:line="400" w:lineRule="exact"/>
        <w:jc w:val="center"/>
        <w:textAlignment w:val="bottom"/>
        <w:rPr>
          <w:rFonts w:ascii="宋体" w:hAnsi="宋体" w:eastAsia="宋体" w:cs="宋体"/>
          <w:b/>
          <w:color w:val="000000"/>
          <w:kern w:val="2"/>
          <w:sz w:val="32"/>
          <w:szCs w:val="32"/>
        </w:rPr>
      </w:pPr>
      <w:r>
        <w:rPr>
          <w:rFonts w:hint="eastAsia" w:ascii="宋体" w:hAnsi="宋体" w:eastAsia="宋体" w:cs="宋体"/>
          <w:b/>
          <w:color w:val="000000"/>
          <w:kern w:val="2"/>
          <w:sz w:val="32"/>
          <w:szCs w:val="32"/>
          <w:lang w:val="en-US" w:eastAsia="zh-CN"/>
        </w:rPr>
        <w:t>2024年度单位整体绩效自评表</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32"/>
        <w:gridCol w:w="1082"/>
        <w:gridCol w:w="1082"/>
        <w:gridCol w:w="1732"/>
        <w:gridCol w:w="1299"/>
        <w:gridCol w:w="1509"/>
        <w:gridCol w:w="1624"/>
        <w:gridCol w:w="1509"/>
        <w:gridCol w:w="1082"/>
        <w:gridCol w:w="1294"/>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628" w:type="dxa"/>
            <w:gridSpan w:val="4"/>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重庆市荣昌区昌元街道劳动就业和社会保障服务所</w:t>
            </w:r>
          </w:p>
        </w:tc>
        <w:tc>
          <w:tcPr>
            <w:tcW w:w="129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0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2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0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8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9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12" w:type="dxa"/>
            <w:tcBorders>
              <w:top w:val="nil"/>
              <w:left w:val="nil"/>
              <w:bottom w:val="nil"/>
              <w:right w:val="nil"/>
            </w:tcBorders>
            <w:shd w:val="clear" w:color="auto" w:fill="auto"/>
            <w:noWrap/>
            <w:vAlign w:val="center"/>
          </w:tcPr>
          <w:p>
            <w:pPr>
              <w:spacing w:line="280" w:lineRule="exact"/>
              <w:jc w:val="right"/>
              <w:textAlignment w:val="bottom"/>
              <w:rPr>
                <w:rFonts w:hint="eastAsia" w:ascii="宋体" w:hAnsi="宋体" w:eastAsia="宋体" w:cs="宋体"/>
                <w:color w:val="000000"/>
                <w:kern w:val="2"/>
                <w:sz w:val="20"/>
                <w:szCs w:val="20"/>
                <w:lang w:val="en-US" w:eastAsia="zh-CN"/>
              </w:rPr>
            </w:pPr>
            <w:r>
              <w:rPr>
                <w:rFonts w:hint="eastAsia" w:ascii="宋体" w:hAnsi="宋体" w:eastAsia="宋体" w:cs="宋体"/>
                <w:color w:val="000000"/>
                <w:kern w:val="2"/>
                <w:sz w:val="20"/>
                <w:szCs w:val="20"/>
                <w:lang w:val="en-US" w:eastAsia="zh-CN"/>
              </w:rPr>
              <w:t>公开10表</w:t>
            </w:r>
          </w:p>
          <w:p>
            <w:pPr>
              <w:spacing w:line="280" w:lineRule="exact"/>
              <w:jc w:val="right"/>
              <w:textAlignment w:val="bottom"/>
              <w:rPr>
                <w:rFonts w:hint="eastAsia" w:ascii="宋体" w:hAnsi="宋体" w:eastAsia="宋体" w:cs="宋体"/>
                <w:color w:val="000000"/>
                <w:kern w:val="2"/>
                <w:sz w:val="20"/>
                <w:szCs w:val="20"/>
                <w:lang w:val="en-US" w:eastAsia="zh-CN"/>
              </w:rPr>
            </w:pPr>
            <w:r>
              <w:rPr>
                <w:rFonts w:hint="eastAsia" w:ascii="宋体" w:hAnsi="宋体" w:eastAsia="宋体" w:cs="宋体"/>
                <w:color w:val="000000"/>
                <w:kern w:val="2"/>
                <w:sz w:val="20"/>
                <w:szCs w:val="20"/>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重庆市荣昌区昌元街道劳动就业和社会保障服务所整体自评</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901-重庆市荣昌区人民政府昌元街道办事处</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002-预算科</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毛世刚</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13609403138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8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3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3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082"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2"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3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132.02 </w:t>
            </w:r>
          </w:p>
        </w:tc>
        <w:tc>
          <w:tcPr>
            <w:tcW w:w="1299"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113.50</w:t>
            </w:r>
          </w:p>
        </w:tc>
        <w:tc>
          <w:tcPr>
            <w:tcW w:w="1624"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113.50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3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082"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2"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3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132.02  </w:t>
            </w:r>
          </w:p>
        </w:tc>
        <w:tc>
          <w:tcPr>
            <w:tcW w:w="1299"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113.50</w:t>
            </w:r>
          </w:p>
        </w:tc>
        <w:tc>
          <w:tcPr>
            <w:tcW w:w="1624"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113.50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3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082"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2"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3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132.02  </w:t>
            </w:r>
          </w:p>
        </w:tc>
        <w:tc>
          <w:tcPr>
            <w:tcW w:w="1299"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113.50 </w:t>
            </w:r>
          </w:p>
        </w:tc>
        <w:tc>
          <w:tcPr>
            <w:tcW w:w="1624"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113.50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6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59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39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0" w:hRule="atLeast"/>
        </w:trPr>
        <w:tc>
          <w:tcPr>
            <w:tcW w:w="56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1.扎实做好社会救助，临时救济困难群众，发放救济金；补贴高龄失能老人，发放高龄津贴；兜底保障特困人员、困境儿童。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2.推进低保增效扩围，发放低保金。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3.推动全民参保，完成城乡居民合作医疗保险征收。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4.推动社区养老服务发展。做好65岁及以上老年人健康体检，建立完善孕产妇信息库，有序开展儿童免疫接种服务。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5.实施优化生育政策，落实独生子女家庭奖励扶助，发放各类奖补。促进托育服务发展。</w:t>
            </w:r>
          </w:p>
        </w:tc>
        <w:tc>
          <w:tcPr>
            <w:tcW w:w="594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393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1.扎实做好社会救助，临时救济92名困难群众，发放救济金45.26万元；补贴高龄失能老人101人，发放高龄津贴11.7万元；兜底保障296名特困人员、21名困境儿童。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2.推进低保增效扩围，发放低保金645.9万元，新增低保户56户80人。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3.推动全民参保，完成城乡居民合作医疗保险征收约7.6万人次，筹资2027万余元，入库金额位列全区第一。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4.推动社区养老服务发展，海棠社区荣昌首个区级示范老年食堂平均日就餐人数超500人次。做好65岁及以上老年人健康体检，建立完善孕产妇信息库，有序开展儿童免疫接种服务。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5.实施优化生育政策，落实独生子女家庭奖励扶助，发放各类奖补822人，奖励金额312.55万元。促进托育服务发展，辖区内11家托育机构已全部注册备案，备案率达100%。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补贴高龄失能老人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补助资金及时发放率</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城乡居民医疗参保人数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76000</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老年食堂每日就餐人数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群众政策知晓率</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r>
    </w:tbl>
    <w:p>
      <w:pPr>
        <w:rPr>
          <w:rFonts w:hint="default" w:cs="宋体"/>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383688"/>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27554D"/>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768" w:firstLineChars="200"/>
      <w:outlineLvl w:val="0"/>
    </w:pPr>
    <w:rPr>
      <w:rFonts w:hint="eastAsia" w:ascii="宋体" w:hAnsi="宋体" w:eastAsia="方正黑体_GBK" w:cs="Times New Roman"/>
      <w:kern w:val="44"/>
      <w:sz w:val="32"/>
    </w:rPr>
  </w:style>
  <w:style w:type="paragraph" w:styleId="3">
    <w:name w:val="heading 2"/>
    <w:basedOn w:val="1"/>
    <w:next w:val="1"/>
    <w:link w:val="19"/>
    <w:unhideWhenUsed/>
    <w:qFormat/>
    <w:uiPriority w:val="0"/>
    <w:pPr>
      <w:keepNext/>
      <w:keepLines/>
      <w:spacing w:beforeLines="0" w:beforeAutospacing="0" w:afterLines="0" w:afterAutospacing="0" w:line="560" w:lineRule="exact"/>
      <w:ind w:firstLine="768" w:firstLineChars="200"/>
      <w:outlineLvl w:val="1"/>
    </w:pPr>
    <w:rPr>
      <w:rFonts w:hint="eastAsia" w:ascii="Arial" w:hAnsi="Arial" w:eastAsia="方正楷体_GBK" w:cs="Times New Roman"/>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 w:type="character" w:customStyle="1" w:styleId="19">
    <w:name w:val="标题 2 Char"/>
    <w:link w:val="3"/>
    <w:qFormat/>
    <w:uiPriority w:val="0"/>
    <w:rPr>
      <w:rFonts w:hint="eastAsia" w:ascii="Arial" w:hAnsi="Arial" w:eastAsia="方正楷体_GBK" w:cs="Times New Roman"/>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8668</Words>
  <Characters>11064</Characters>
  <Lines>186</Lines>
  <Paragraphs>52</Paragraphs>
  <TotalTime>0</TotalTime>
  <ScaleCrop>false</ScaleCrop>
  <LinksUpToDate>false</LinksUpToDate>
  <CharactersWithSpaces>12122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2025-09-25T08:11:27Z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BB46EABDBB2749749395447164B066B3_12</vt:lpwstr>
  </property>
</Properties>
</file>