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重庆市荣昌区昌元街道农业服务中心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农业服务中心作为重庆市荣昌区人民政府昌元街道办事处二级预算单位进行预算编制。主要负责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实施动物疫病的防疫、强制免疫，协助做好动物、动物产品检疫、兽药、饲料等养殖业投入品及畜产品的技术服务等工作；负责动物疫情调查、监测、报告，畜牧生产指导，畜牧兽医技术推广和畜牧业生产信息统计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0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仿宋_GBK"/>
          <w:sz w:val="30"/>
          <w:szCs w:val="30"/>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年，昌元街道农业服务中心未设置内设机构。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收、支与2023年度相比，减少153.90万元，下降16.9%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本年度厉行节约、压减公用经费</w:t>
      </w:r>
      <w:r>
        <w:rPr>
          <w:rFonts w:hint="eastAsia" w:ascii="方正仿宋_GBK" w:hAnsi="方正仿宋_GBK" w:eastAsia="方正仿宋_GBK" w:cs="方正仿宋_GBK"/>
          <w:sz w:val="32"/>
          <w:szCs w:val="32"/>
          <w:shd w:val="clear" w:color="auto" w:fill="FFFFFF"/>
          <w:lang w:eastAsia="zh-CN"/>
        </w:rPr>
        <w:t>以及因年度考核等次变动、超额绩效核定总量减少。</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与2023年度相比，减少153.90万元，下降16.9%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本年度厉行节约、压减公用经费</w:t>
      </w:r>
      <w:r>
        <w:rPr>
          <w:rFonts w:hint="eastAsia" w:ascii="方正仿宋_GBK" w:hAnsi="方正仿宋_GBK" w:eastAsia="方正仿宋_GBK" w:cs="方正仿宋_GBK"/>
          <w:sz w:val="32"/>
          <w:szCs w:val="32"/>
          <w:shd w:val="clear" w:color="auto" w:fill="FFFFFF"/>
          <w:lang w:eastAsia="zh-CN"/>
        </w:rPr>
        <w:t>以及因年度考核等次变动、超额绩效核定总量减少。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与2023年度相比，减少153.90万元，下降16.9%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本年度厉行节约、压减公用经费</w:t>
      </w:r>
      <w:r>
        <w:rPr>
          <w:rFonts w:hint="eastAsia" w:ascii="方正仿宋_GBK" w:hAnsi="方正仿宋_GBK" w:eastAsia="方正仿宋_GBK" w:cs="方正仿宋_GBK"/>
          <w:sz w:val="32"/>
          <w:szCs w:val="32"/>
          <w:shd w:val="clear" w:color="auto" w:fill="FFFFFF"/>
          <w:lang w:eastAsia="zh-CN"/>
        </w:rPr>
        <w:t>以及因年度考核等次变动、超额绩效核定总量减少。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728.70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bCs/>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财政拨款收、支总计各减少153.90万元，下降16.9%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本年度厉行节约、压减公用经费</w:t>
      </w:r>
      <w:r>
        <w:rPr>
          <w:rFonts w:hint="eastAsia" w:ascii="方正仿宋_GBK" w:hAnsi="方正仿宋_GBK" w:eastAsia="方正仿宋_GBK" w:cs="方正仿宋_GBK"/>
          <w:sz w:val="32"/>
          <w:szCs w:val="32"/>
          <w:shd w:val="clear" w:color="auto" w:fill="FFFFFF"/>
          <w:lang w:eastAsia="zh-CN"/>
        </w:rPr>
        <w:t>以及因年度考核等次变动、超额绩效核定总量减少。</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与2023年度相比，减少153.90万元，下降16.9%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本年度厉行节约、压减公用经费</w:t>
      </w:r>
      <w:r>
        <w:rPr>
          <w:rFonts w:hint="eastAsia" w:ascii="方正仿宋_GBK" w:hAnsi="方正仿宋_GBK" w:eastAsia="方正仿宋_GBK" w:cs="方正仿宋_GBK"/>
          <w:sz w:val="32"/>
          <w:szCs w:val="32"/>
          <w:shd w:val="clear" w:color="auto" w:fill="FFFFFF"/>
          <w:lang w:eastAsia="zh-CN"/>
        </w:rPr>
        <w:t>以及因年度考核等次变动、超额绩效核定总量减少。</w:t>
      </w:r>
      <w:r>
        <w:rPr>
          <w:rFonts w:hint="default" w:ascii="Times New Roman" w:hAnsi="Times New Roman" w:eastAsia="方正仿宋_GBK"/>
          <w:sz w:val="32"/>
          <w:szCs w:val="32"/>
          <w:shd w:val="clear" w:color="auto" w:fill="FFFFFF"/>
        </w:rPr>
        <w:t>较年初预算数减少21.98万元，下降2.8%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本年度厉行节约，压减公用经费。</w:t>
      </w:r>
      <w:r>
        <w:rPr>
          <w:rFonts w:ascii="方正仿宋_GBK" w:hAnsi="方正仿宋_GBK" w:eastAsia="方正仿宋_GBK" w:cs="方正仿宋_GBK"/>
          <w:color w:val="auto"/>
          <w:sz w:val="32"/>
          <w:szCs w:val="32"/>
          <w:shd w:val="clear" w:color="auto" w:fill="FFFFFF"/>
        </w:rPr>
        <w:t>此外，年初财</w:t>
      </w:r>
      <w:r>
        <w:rPr>
          <w:rFonts w:ascii="方正仿宋_GBK" w:hAnsi="方正仿宋_GBK" w:eastAsia="方正仿宋_GBK" w:cs="方正仿宋_GBK"/>
          <w:sz w:val="32"/>
          <w:szCs w:val="32"/>
          <w:shd w:val="clear" w:color="auto" w:fill="FFFFFF"/>
        </w:rPr>
        <w:t>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759.01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与2023年度相比，减少153.90万元，下降16.9%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本年度厉行节约、压减公用经费</w:t>
      </w:r>
      <w:r>
        <w:rPr>
          <w:rFonts w:hint="eastAsia" w:ascii="方正仿宋_GBK" w:hAnsi="方正仿宋_GBK" w:eastAsia="方正仿宋_GBK" w:cs="方正仿宋_GBK"/>
          <w:sz w:val="32"/>
          <w:szCs w:val="32"/>
          <w:shd w:val="clear" w:color="auto" w:fill="FFFFFF"/>
          <w:lang w:eastAsia="zh-CN"/>
        </w:rPr>
        <w:t>以及因年度考核等次变动、超额绩效核定总量减少。</w:t>
      </w:r>
      <w:r>
        <w:rPr>
          <w:rFonts w:hint="default" w:ascii="Times New Roman" w:hAnsi="Times New Roman" w:eastAsia="方正仿宋_GBK"/>
          <w:sz w:val="32"/>
          <w:szCs w:val="32"/>
          <w:shd w:val="clear" w:color="auto" w:fill="FFFFFF"/>
        </w:rPr>
        <w:t>较年初预算数减少21.98万元，下降2.8%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本年度厉行节约，压减公用经费。</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3.92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195.79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较年初预算数增加25.32万元，增长14.9%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养老保险基数调增。</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30.21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较年初预算数减少0.58万元，下降1.9%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w:t>
      </w:r>
      <w:r>
        <w:rPr>
          <w:rFonts w:hint="eastAsia" w:ascii="方正仿宋_GBK" w:hAnsi="方正仿宋_GBK" w:eastAsia="方正仿宋_GBK" w:cs="方正仿宋_GBK"/>
          <w:color w:val="auto"/>
          <w:sz w:val="32"/>
          <w:szCs w:val="32"/>
          <w:shd w:val="clear" w:color="auto" w:fill="FFFFFF"/>
          <w:lang w:eastAsia="zh-CN"/>
        </w:rPr>
        <w:t>医保基数调增，医保缴费支出减少。</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较年初预算数减少43.80万元，下降8.1%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因年度考核等次变动、超额绩效核定总量减少以及压减公用经费。</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较年初预算数减少2.90万元，下降9.2%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住房公积金基数调整，公积金支出减少。</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728.70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659.25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与2023年度相比，减少132.17万元，下降16.7%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因年度考核等次变动、超额绩效核定总量减少。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w:t>
      </w:r>
      <w:r>
        <w:rPr>
          <w:rFonts w:hint="eastAsia" w:ascii="方正仿宋_GBK" w:hAnsi="方正仿宋_GBK" w:eastAsia="方正仿宋_GBK" w:cs="方正仿宋_GBK"/>
          <w:color w:val="auto"/>
          <w:sz w:val="32"/>
          <w:szCs w:val="32"/>
          <w:shd w:val="clear" w:color="auto" w:fill="FFFFFF"/>
          <w:lang w:eastAsia="zh-CN"/>
        </w:rPr>
        <w:t>人员工资、绩效、津补贴、社保、公积金</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69.45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与2023年度相比，减少52.04万元，下降42.8%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本年度厉行节约，压减公用会经费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工会经费、职工教育培训费、日常水、电、办公费用、劳务费用、食堂餐费、退休人员慰问、休养费等</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较年初预算数减少2.00万元，下降80.0%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本单位在本年度对</w:t>
      </w:r>
      <w:r>
        <w:rPr>
          <w:rFonts w:hint="eastAsia" w:ascii="方正仿宋_GBK" w:hAnsi="方正仿宋_GBK" w:eastAsia="方正仿宋_GBK" w:cs="方正仿宋_GBK"/>
          <w:color w:val="auto"/>
          <w:sz w:val="32"/>
          <w:szCs w:val="32"/>
          <w:shd w:val="clear" w:color="auto" w:fill="FFFFFF"/>
          <w:lang w:val="en-US" w:eastAsia="zh-CN"/>
        </w:rPr>
        <w:t>1辆公车进行了拍卖处理</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较上年支出数增加0.50万元，增长100.0%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上年度未预算公务用车运行维护费</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公务车购置费</w:t>
      </w:r>
      <w:r>
        <w:rPr>
          <w:rFonts w:hint="eastAsia" w:ascii="方正仿宋_GBK" w:hAnsi="方正仿宋_GBK" w:eastAsia="方正仿宋_GBK" w:cs="方正仿宋_GBK"/>
          <w:color w:val="auto"/>
          <w:sz w:val="32"/>
          <w:szCs w:val="32"/>
          <w:lang w:val="en-US" w:eastAsia="zh-CN"/>
        </w:rPr>
        <w:t>支出</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公务车过路费、洗车费以及评估费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较年初预算数减少2.00万元，下降80.0%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本单位在本年度对</w:t>
      </w:r>
      <w:r>
        <w:rPr>
          <w:rFonts w:hint="eastAsia" w:ascii="方正仿宋_GBK" w:hAnsi="方正仿宋_GBK" w:eastAsia="方正仿宋_GBK" w:cs="方正仿宋_GBK"/>
          <w:color w:val="auto"/>
          <w:sz w:val="32"/>
          <w:szCs w:val="32"/>
          <w:shd w:val="clear" w:color="auto" w:fill="FFFFFF"/>
          <w:lang w:val="en-US" w:eastAsia="zh-CN"/>
        </w:rPr>
        <w:t>1辆公车进行了拍卖处理</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较上年支出数增加0.50万元，增长100.0%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上年度未预算公务用车运行维护费</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lang w:val="en-US" w:eastAsia="zh-CN"/>
        </w:rPr>
        <w:t>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与2023年度相比，减少2.34万元，下降100.0%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lang w:val="en-US" w:eastAsia="zh-CN"/>
        </w:rPr>
        <w:t>2024</w:t>
      </w:r>
      <w:r>
        <w:rPr>
          <w:rFonts w:hint="default" w:ascii="方正仿宋_GBK" w:hAnsi="方正仿宋_GBK" w:eastAsia="方正仿宋_GBK" w:cs="方正仿宋_GBK"/>
          <w:sz w:val="32"/>
          <w:szCs w:val="32"/>
          <w:shd w:val="clear" w:color="auto" w:fill="FFFFFF"/>
          <w:lang w:val="en-US" w:eastAsia="zh-CN"/>
        </w:rPr>
        <w:t>年厉行节约、会议费减少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与2023年度相比，减少1.42万元，下降25.5%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w:t>
      </w:r>
      <w:r>
        <w:rPr>
          <w:rFonts w:hint="eastAsia" w:ascii="Times New Roman" w:hAnsi="Times New Roman" w:eastAsia="方正仿宋_GBK"/>
          <w:sz w:val="32"/>
          <w:szCs w:val="32"/>
          <w:shd w:val="clear" w:color="auto" w:fill="FFFFFF"/>
        </w:rPr>
        <w:t>024</w:t>
      </w:r>
      <w:r>
        <w:rPr>
          <w:rFonts w:hint="eastAsia" w:ascii="方正仿宋_GBK" w:hAnsi="方正仿宋_GBK" w:eastAsia="方正仿宋_GBK" w:cs="方正仿宋_GBK"/>
          <w:sz w:val="32"/>
          <w:szCs w:val="32"/>
          <w:shd w:val="clear" w:color="auto" w:fill="FFFFFF"/>
        </w:rPr>
        <w:t>年厉行节约、培训费减少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0.82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与2023年度相比，减少23.25万元，下降96.6%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w:t>
      </w:r>
      <w:r>
        <w:rPr>
          <w:rFonts w:hint="eastAsia" w:ascii="Times New Roman" w:hAnsi="Times New Roman" w:eastAsia="方正仿宋_GBK"/>
          <w:sz w:val="32"/>
          <w:szCs w:val="32"/>
          <w:shd w:val="clear" w:color="auto" w:fill="FFFFFF"/>
        </w:rPr>
        <w:t>024</w:t>
      </w:r>
      <w:r>
        <w:rPr>
          <w:rFonts w:hint="eastAsia" w:ascii="方正仿宋_GBK" w:hAnsi="方正仿宋_GBK" w:eastAsia="方正仿宋_GBK" w:cs="方正仿宋_GBK"/>
          <w:sz w:val="32"/>
          <w:szCs w:val="32"/>
          <w:shd w:val="clear" w:color="auto" w:fill="FFFFFF"/>
        </w:rPr>
        <w:t>年厉行节约</w:t>
      </w:r>
      <w:r>
        <w:rPr>
          <w:rFonts w:hint="eastAsia" w:ascii="方正仿宋_GBK" w:hAnsi="方正仿宋_GBK" w:eastAsia="方正仿宋_GBK" w:cs="方正仿宋_GBK"/>
          <w:sz w:val="32"/>
          <w:szCs w:val="32"/>
          <w:shd w:val="clear" w:color="auto" w:fill="FFFFFF"/>
          <w:lang w:eastAsia="zh-CN"/>
        </w:rPr>
        <w:t>，公务出差活动减少。</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2"/>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default"/>
          <w:color w:val="auto"/>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五、</w:t>
      </w:r>
      <w:r>
        <w:rPr>
          <w:rStyle w:val="12"/>
          <w:rFonts w:ascii="黑体" w:hAnsi="黑体" w:eastAsia="黑体" w:cs="黑体"/>
          <w:sz w:val="32"/>
          <w:szCs w:val="32"/>
          <w:shd w:val="clear" w:color="auto" w:fill="FFFFFF"/>
        </w:rPr>
        <w:t>预算绩效管理情况说明</w:t>
      </w:r>
    </w:p>
    <w:p>
      <w:pPr>
        <w:pStyle w:val="3"/>
        <w:pageBreakBefore w:val="0"/>
        <w:widowControl/>
        <w:numPr>
          <w:ilvl w:val="0"/>
          <w:numId w:val="1"/>
        </w:numPr>
        <w:kinsoku/>
        <w:wordWrap/>
        <w:overflowPunct/>
        <w:topLinePunct w:val="0"/>
        <w:autoSpaceDN/>
        <w:bidi w:val="0"/>
        <w:adjustRightInd/>
        <w:spacing w:line="560" w:lineRule="exact"/>
        <w:textAlignment w:val="auto"/>
        <w:rPr>
          <w:rFonts w:hint="eastAsia"/>
          <w:color w:val="auto"/>
        </w:rPr>
      </w:pPr>
      <w:r>
        <w:rPr>
          <w:rFonts w:hint="eastAsia"/>
          <w:color w:val="auto"/>
        </w:rPr>
        <w:t>单位自评情况</w:t>
      </w:r>
    </w:p>
    <w:p>
      <w:pPr>
        <w:pStyle w:val="3"/>
        <w:pageBreakBefore w:val="0"/>
        <w:widowControl/>
        <w:kinsoku/>
        <w:wordWrap/>
        <w:overflowPunct/>
        <w:topLinePunct w:val="0"/>
        <w:autoSpaceDN/>
        <w:bidi w:val="0"/>
        <w:adjustRightInd/>
        <w:spacing w:line="560" w:lineRule="exact"/>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根据预算绩效管理要求，我单位对整体绩效和</w:t>
      </w:r>
      <w:r>
        <w:rPr>
          <w:rFonts w:hint="eastAsia" w:ascii="Times New Roman" w:hAnsi="Times New Roman" w:eastAsia="方正仿宋_GBK" w:cs="Times New Roman"/>
          <w:kern w:val="44"/>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个项目开展了绩效自评，整体绩效涉及财政拨款资金</w:t>
      </w:r>
      <w:r>
        <w:rPr>
          <w:rFonts w:hint="eastAsia" w:ascii="Times New Roman" w:hAnsi="Times New Roman" w:eastAsia="方正仿宋_GBK" w:cs="Times New Roman"/>
          <w:kern w:val="44"/>
          <w:sz w:val="32"/>
          <w:szCs w:val="32"/>
          <w:shd w:val="clear" w:color="auto" w:fill="FFFFFF"/>
          <w:lang w:val="en-US" w:eastAsia="zh-CN" w:bidi="ar-SA"/>
        </w:rPr>
        <w:t>759.01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万元，项目绩效涉及财政拨款资金</w:t>
      </w:r>
      <w:r>
        <w:rPr>
          <w:rFonts w:hint="eastAsia" w:ascii="Times New Roman" w:hAnsi="Times New Roman" w:eastAsia="方正仿宋_GBK" w:cs="Times New Roman"/>
          <w:kern w:val="44"/>
          <w:sz w:val="32"/>
          <w:szCs w:val="32"/>
          <w:shd w:val="clear" w:color="auto" w:fill="FFFFFF"/>
          <w:lang w:val="en-US" w:eastAsia="zh-CN" w:bidi="ar-SA"/>
        </w:rPr>
        <w:t>30.31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万元。整体绩效自评表详见公开10表，项目绩效自评表详见公开11表。</w:t>
      </w:r>
    </w:p>
    <w:p>
      <w:pPr>
        <w:pStyle w:val="3"/>
        <w:pageBreakBefore w:val="0"/>
        <w:widowControl/>
        <w:kinsoku/>
        <w:wordWrap/>
        <w:overflowPunct/>
        <w:topLinePunct w:val="0"/>
        <w:autoSpaceDN/>
        <w:bidi w:val="0"/>
        <w:adjustRightInd/>
        <w:spacing w:line="560" w:lineRule="exact"/>
        <w:textAlignment w:val="auto"/>
        <w:rPr>
          <w:color w:val="auto"/>
        </w:rPr>
      </w:pPr>
      <w:r>
        <w:rPr>
          <w:rFonts w:hint="eastAsia"/>
          <w:color w:val="auto"/>
        </w:rPr>
        <w:t>（二）单位绩效评价情况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未组织开</w:t>
      </w:r>
      <w:r>
        <w:rPr>
          <w:rFonts w:hint="eastAsia" w:ascii="方正仿宋_GBK" w:hAnsi="方正仿宋_GBK" w:eastAsia="方正仿宋_GBK" w:cs="方正仿宋_GBK"/>
          <w:color w:val="auto"/>
          <w:sz w:val="32"/>
          <w:szCs w:val="32"/>
          <w:shd w:val="clear" w:color="auto" w:fill="FFFFFF"/>
        </w:rPr>
        <w:t>展绩效评价</w:t>
      </w:r>
      <w:r>
        <w:rPr>
          <w:rFonts w:hint="eastAsia" w:ascii="方正仿宋_GBK" w:hAnsi="方正仿宋_GBK" w:eastAsia="方正仿宋_GBK" w:cs="方正仿宋_GBK"/>
          <w:color w:val="auto"/>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区财政局未委托第三方对我单位开展绩效评价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 xml:space="preserve"> </w:t>
      </w:r>
    </w:p>
    <w:p>
      <w:pPr>
        <w:pStyle w:val="2"/>
        <w:pageBreakBefore w:val="0"/>
        <w:widowControl/>
        <w:kinsoku/>
        <w:wordWrap/>
        <w:overflowPunct/>
        <w:topLinePunct w:val="0"/>
        <w:autoSpaceDN/>
        <w:bidi w:val="0"/>
        <w:adjustRightInd/>
        <w:spacing w:line="560" w:lineRule="exact"/>
        <w:textAlignment w:val="auto"/>
        <w:rPr>
          <w:rStyle w:val="12"/>
          <w:rFonts w:hint="default"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textAlignment w:val="auto"/>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13"/>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p>
      <w:pPr>
        <w:pStyle w:val="13"/>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349"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重庆市荣昌区昌元街道农业服务中心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759.01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重庆市荣昌区昌元街道农业服务中心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759.01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759.01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重庆市荣昌区昌元街道农业服务中心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759.01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728.70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30.31</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759.01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659.25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spacing w:line="400" w:lineRule="exact"/>
        <w:jc w:val="center"/>
        <w:textAlignment w:val="bottom"/>
        <w:rPr>
          <w:rFonts w:ascii="宋体" w:hAnsi="宋体" w:eastAsia="宋体" w:cs="宋体"/>
          <w:b/>
          <w:color w:val="000000"/>
          <w:kern w:val="2"/>
          <w:sz w:val="32"/>
          <w:szCs w:val="32"/>
        </w:rPr>
      </w:pPr>
      <w:r>
        <w:rPr>
          <w:rFonts w:hint="eastAsia" w:ascii="宋体" w:hAnsi="宋体" w:eastAsia="宋体" w:cs="宋体"/>
          <w:b/>
          <w:color w:val="000000"/>
          <w:kern w:val="2"/>
          <w:sz w:val="32"/>
          <w:szCs w:val="32"/>
          <w:lang w:val="en-US" w:eastAsia="zh-CN"/>
        </w:rPr>
        <w:t>2024年度单位整体绩效自评表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6"/>
        <w:gridCol w:w="1116"/>
        <w:gridCol w:w="1116"/>
        <w:gridCol w:w="1770"/>
        <w:gridCol w:w="1321"/>
        <w:gridCol w:w="1432"/>
        <w:gridCol w:w="1653"/>
        <w:gridCol w:w="1100"/>
        <w:gridCol w:w="1142"/>
        <w:gridCol w:w="1601"/>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重庆市荣昌区昌元街道农业服务中心</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2"/>
                <w:sz w:val="20"/>
                <w:szCs w:val="20"/>
                <w:lang w:val="en-US" w:eastAsia="zh-CN"/>
              </w:rPr>
            </w:pPr>
            <w:r>
              <w:rPr>
                <w:rFonts w:cs="宋体"/>
                <w:color w:val="000000"/>
                <w:kern w:val="2"/>
                <w:sz w:val="20"/>
                <w:szCs w:val="20"/>
              </w:rPr>
              <w:t>公开</w:t>
            </w:r>
            <w:r>
              <w:rPr>
                <w:rFonts w:hint="eastAsia" w:ascii="宋体" w:hAnsi="宋体" w:eastAsia="宋体" w:cs="宋体"/>
                <w:color w:val="000000"/>
                <w:kern w:val="2"/>
                <w:sz w:val="20"/>
                <w:szCs w:val="20"/>
                <w:lang w:val="en-US" w:eastAsia="zh-CN"/>
              </w:rPr>
              <w:t>10表</w:t>
            </w:r>
          </w:p>
          <w:p>
            <w:pPr>
              <w:keepNext w:val="0"/>
              <w:keepLines w:val="0"/>
              <w:widowControl/>
              <w:suppressLineNumbers w:val="0"/>
              <w:jc w:val="right"/>
              <w:textAlignment w:val="center"/>
              <w:rPr>
                <w:rFonts w:hint="eastAsia" w:ascii="宋体" w:hAnsi="宋体" w:eastAsia="宋体" w:cs="宋体"/>
                <w:color w:val="000000"/>
                <w:kern w:val="2"/>
                <w:sz w:val="20"/>
                <w:szCs w:val="20"/>
                <w:lang w:val="en-US" w:eastAsia="zh-CN"/>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重庆市荣昌区昌元街道农业服务中心整体自评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901-重庆市荣昌区人民政府昌元街道办事处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毛世刚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1.持续开展人居环境整治提升行动，开展“村庄清洁日”30次以上，村社区“乡村治理积分超市”成立率达100%；新峰社区美丽宜居村建设持续推进。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2.开展动物疫病强制免疫，免疫各类动物累计8万只以上。抓好消毒灭源，消毒圈舍11816间，消毒面积4万余平方米。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3.坚决防止耕地“非粮化”，实地排查非粮化图斑。开展耕地撂荒情况摸排，建立《撂荒地信息台账》，确保享受补贴农户的耕地不撂荒。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4.切实做好惠农补贴发放，受理农机补贴150台以上，及时兑付资金。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5.夯实防止返贫底线，做好日常帮扶，杜绝“体外循环”。增强自身造血能力，产业发展水平进一步提升。集体经济继续壮大。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6.加强农技推广，开展农业种植技术培训。</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1.持续开展人居环境整治提升行动，开展“村庄清洁日”30余次，村社区“乡村治理积分超市”成立率达100%；新峰社区美丽宜居村建设持续推进。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2.开展动物疫病强制免疫，免疫各类动物累计81574只。抓好消毒灭源，消毒圈舍11816间，消毒面积4万余平方米。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3.坚决防止耕地“非粮化”，实地排查非粮化图斑863块，举证通过面积226亩，机械施工面积342亩。开展耕地撂荒情况摸排，建立《撂荒地信息台账》，确保享受补贴农户的耕地不撂荒。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4.切实做好惠农补贴发放，受理农机补贴151台，兑付资金约12.6万元；核准种粮补贴一般户8270户，兑付资金约235万元。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夯实防止返贫底线，严格落实173户脱贫户、23监测户补助资金，做好日常帮扶；完成340余人同步监测，切实做到应纳尽纳，杜绝“体外循环”。增强自身造血能力，帮助114户监测户发展种养殖业，发放产业到户帮扶资金28.26万元，产业发展水平进一步提升。集体经济继续壮大，5个涉农村社区集体经济组织实现经营性收入250.94余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6.加强农技推广，开展农业种植技术培训，受益群众超2000人；发展大豆玉米带状复合种植技术，完成玉米大豆套种200余亩。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免疫各类动物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受理农机补贴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人居环境改善程度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补贴及时发放率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集体经济经营性收入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rPr>
          <w:rFonts w:hint="default" w:cs="宋体"/>
          <w:sz w:val="18"/>
          <w:szCs w:val="18"/>
        </w:rPr>
      </w:pPr>
    </w:p>
    <w:p>
      <w:pPr>
        <w:spacing w:line="400" w:lineRule="exact"/>
        <w:jc w:val="center"/>
        <w:textAlignment w:val="bottom"/>
        <w:rPr>
          <w:rFonts w:hint="default" w:ascii="宋体" w:hAnsi="宋体" w:eastAsia="宋体" w:cs="宋体"/>
          <w:b/>
          <w:color w:val="000000"/>
          <w:kern w:val="2"/>
          <w:sz w:val="32"/>
          <w:szCs w:val="32"/>
          <w:lang w:val="en-US" w:eastAsia="zh-CN"/>
        </w:rPr>
      </w:pPr>
      <w:r>
        <w:rPr>
          <w:rFonts w:hint="eastAsia" w:ascii="宋体" w:hAnsi="宋体" w:eastAsia="宋体" w:cs="宋体"/>
          <w:b/>
          <w:color w:val="000000"/>
          <w:kern w:val="2"/>
          <w:sz w:val="32"/>
          <w:szCs w:val="32"/>
          <w:lang w:val="en-US" w:eastAsia="zh-CN"/>
        </w:rPr>
        <w:t>2024年度项目绩效自评表</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3"/>
        <w:gridCol w:w="1707"/>
        <w:gridCol w:w="1523"/>
        <w:gridCol w:w="1614"/>
        <w:gridCol w:w="1653"/>
        <w:gridCol w:w="1320"/>
        <w:gridCol w:w="1546"/>
        <w:gridCol w:w="907"/>
        <w:gridCol w:w="880"/>
        <w:gridCol w:w="1373"/>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043"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重庆市荣昌区昌元街道农业服务中心</w:t>
            </w:r>
          </w:p>
        </w:tc>
        <w:tc>
          <w:tcPr>
            <w:tcW w:w="5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4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49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2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28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44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48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2"/>
                <w:sz w:val="20"/>
                <w:szCs w:val="20"/>
                <w:lang w:val="en-US" w:eastAsia="zh-CN"/>
              </w:rPr>
            </w:pPr>
            <w:r>
              <w:rPr>
                <w:rFonts w:cs="宋体"/>
                <w:color w:val="000000"/>
                <w:kern w:val="2"/>
                <w:sz w:val="20"/>
                <w:szCs w:val="20"/>
              </w:rPr>
              <w:t>公开</w:t>
            </w:r>
            <w:r>
              <w:rPr>
                <w:rFonts w:hint="eastAsia" w:ascii="宋体" w:hAnsi="宋体" w:eastAsia="宋体" w:cs="宋体"/>
                <w:color w:val="000000"/>
                <w:kern w:val="2"/>
                <w:sz w:val="20"/>
                <w:szCs w:val="20"/>
                <w:lang w:val="en-US" w:eastAsia="zh-CN"/>
              </w:rPr>
              <w:t>1</w:t>
            </w:r>
            <w:r>
              <w:rPr>
                <w:rFonts w:hint="eastAsia" w:cs="宋体"/>
                <w:color w:val="000000"/>
                <w:kern w:val="2"/>
                <w:sz w:val="20"/>
                <w:szCs w:val="20"/>
                <w:lang w:val="en-US" w:eastAsia="zh-CN"/>
              </w:rPr>
              <w:t>1</w:t>
            </w:r>
            <w:r>
              <w:rPr>
                <w:rFonts w:hint="eastAsia" w:ascii="宋体" w:hAnsi="宋体" w:eastAsia="宋体" w:cs="宋体"/>
                <w:color w:val="000000"/>
                <w:kern w:val="2"/>
                <w:sz w:val="20"/>
                <w:szCs w:val="20"/>
                <w:lang w:val="en-US" w:eastAsia="zh-CN"/>
              </w:rPr>
              <w:t>表</w:t>
            </w:r>
          </w:p>
          <w:p>
            <w:pPr>
              <w:jc w:val="center"/>
              <w:rPr>
                <w:rFonts w:hint="default" w:ascii="宋体" w:hAnsi="宋体" w:eastAsia="宋体" w:cs="宋体"/>
                <w:i w:val="0"/>
                <w:iCs w:val="0"/>
                <w:color w:val="000000"/>
                <w:sz w:val="21"/>
                <w:szCs w:val="21"/>
                <w:u w:val="none"/>
                <w:lang w:val="en-US" w:eastAsia="zh-CN"/>
              </w:rPr>
            </w:pPr>
            <w:r>
              <w:rPr>
                <w:rFonts w:hint="eastAsia" w:cs="宋体"/>
                <w:color w:val="000000"/>
                <w:kern w:val="2"/>
                <w:sz w:val="20"/>
                <w:szCs w:val="20"/>
                <w:lang w:val="en-US" w:eastAsia="zh-CN"/>
              </w:rPr>
              <w:t xml:space="preserve">   </w:t>
            </w: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美丽宜居村建设（新峰社区）(下达镇街）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50015324T000004525535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项目主管</w:t>
            </w:r>
          </w:p>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901-重庆市荣昌区人民政府昌元街道办事处</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财政归口</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处室：</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代光明</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15213496699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3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 </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3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3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 </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04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完工后，将极大地改善村民生产生活及出行条件，提升村容村貌；建成2个“小院+”，听民意、聚民心，进一步激活乡村自治的“末梢神经”，共同绘制村庄发展同心圆，为乡村全面振兴奠定坚实的基础。</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完工后，将极大地改善村民生产生活及出行条件，提升村容村貌；建成2个“小院+”，听民意、聚民心，进一步激活乡村自治的“末梢神经”，共同绘制村庄发展同心圆，为乡村全面振兴奠定坚实的基础。</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已经实施完工，极大地改善村民生产生活及出行条件，提升村容村貌；建成2个“小院+”，听民意、聚民心，进一步激活乡村自治的“末梢神经”，共同绘制村庄发展同心圆，为乡村全面振兴奠定坚实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是否核心</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小院建设</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沿线零星工程</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美丽乡村建设工程验收合格率</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截至2024年底，年度农村综合改革转移支付资金执行率</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带动周边农户增收</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元/户</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受益农户</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乡村治理能力提升</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农村生态环境</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人居环境整治效果持续时间</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项目区基层干部满意度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项目区农民满意度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2A5F7"/>
    <w:multiLevelType w:val="singleLevel"/>
    <w:tmpl w:val="7422A5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A3D4F1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7516A7"/>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4B0FA1"/>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3E6624F"/>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hint="eastAsia" w:ascii="宋体" w:hAnsi="宋体" w:eastAsia="方正黑体_GBK" w:cs="Times New Roman"/>
      <w:kern w:val="44"/>
      <w:sz w:val="32"/>
    </w:rPr>
  </w:style>
  <w:style w:type="paragraph" w:styleId="3">
    <w:name w:val="heading 2"/>
    <w:basedOn w:val="1"/>
    <w:next w:val="1"/>
    <w:link w:val="19"/>
    <w:unhideWhenUsed/>
    <w:qFormat/>
    <w:uiPriority w:val="0"/>
    <w:pPr>
      <w:keepNext/>
      <w:keepLines/>
      <w:spacing w:beforeLines="0" w:beforeAutospacing="0" w:afterLines="0" w:afterAutospacing="0" w:line="560" w:lineRule="exact"/>
      <w:ind w:firstLine="768" w:firstLineChars="200"/>
      <w:outlineLvl w:val="1"/>
    </w:pPr>
    <w:rPr>
      <w:rFonts w:hint="eastAsia" w:ascii="Arial" w:hAnsi="Arial" w:eastAsia="方正楷体_GBK" w:cs="Times New Roman"/>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9">
    <w:name w:val="标题 2 Char"/>
    <w:link w:val="3"/>
    <w:qFormat/>
    <w:uiPriority w:val="0"/>
    <w:rPr>
      <w:rFonts w:hint="eastAsia" w:ascii="Arial" w:hAnsi="Arial" w:eastAsia="方正楷体_GBK"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2025-09-26T01:47:32Z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