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重庆市荣昌区昌元街道社区事务服务中心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w:t>
      </w:r>
      <w:r>
        <w:rPr>
          <w:rFonts w:hint="eastAsia" w:ascii="方正小标宋_GBK" w:hAnsi="方正小标宋_GBK" w:eastAsia="方正小标宋_GBK" w:cs="方正小标宋_GBK"/>
          <w:sz w:val="44"/>
          <w:szCs w:val="44"/>
          <w:shd w:val="clear" w:color="auto" w:fill="FFFFFF"/>
          <w:lang w:eastAsia="zh-CN"/>
        </w:rPr>
        <w:t>公开</w:t>
      </w:r>
      <w:r>
        <w:rPr>
          <w:rFonts w:hint="eastAsia" w:ascii="方正小标宋_GBK" w:hAnsi="方正小标宋_GBK" w:eastAsia="方正小标宋_GBK" w:cs="方正小标宋_GBK"/>
          <w:sz w:val="44"/>
          <w:szCs w:val="44"/>
          <w:shd w:val="clear" w:color="auto" w:fill="FFFFFF"/>
        </w:rPr>
        <w:t>说明</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sz w:val="27"/>
          <w:szCs w:val="27"/>
          <w:shd w:val="clear" w:color="auto" w:fill="FFFF00"/>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一、</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昌元街道</w:t>
      </w:r>
      <w:r>
        <w:rPr>
          <w:rFonts w:hint="eastAsia" w:ascii="方正仿宋_GBK" w:hAnsi="方正仿宋_GBK" w:eastAsia="方正仿宋_GBK" w:cs="方正仿宋_GBK"/>
          <w:color w:val="auto"/>
          <w:sz w:val="32"/>
          <w:szCs w:val="32"/>
          <w:shd w:val="clear" w:color="auto" w:fill="FFFFFF"/>
        </w:rPr>
        <w:t>社区事务服务中心作为重庆市荣昌区人民政府昌元街道办事处二级预算单位进行预算编制。主要负责平安建设、社会治理、信访稳定、舆情险情处置、便民服务、矛盾纠纷排查调处、社情民意收集与引导、综合信息收集与管理和社区服务队伍建设、社区服务信息化建设、社区品牌创建以及协调物业管理等方面的事务性服务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638" w:leftChars="266" w:firstLine="0" w:firstLineChars="0"/>
        <w:textAlignment w:val="auto"/>
        <w:rPr>
          <w:rStyle w:val="12"/>
          <w:rFonts w:hint="default" w:ascii="黑体" w:hAnsi="黑体" w:eastAsia="黑体" w:cs="黑体"/>
          <w:sz w:val="32"/>
          <w:szCs w:val="32"/>
          <w:shd w:val="clear" w:color="auto" w:fill="FFFFFF"/>
        </w:rPr>
      </w:pP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年，昌元街道社区事务服务中心未设置内设机构。</w:t>
      </w: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100.05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收、支与2023年度相比，增加8.21万元，增长8.9%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养老保险基数调增</w:t>
      </w:r>
      <w:r>
        <w:rPr>
          <w:rFonts w:hint="eastAsia" w:ascii="方正仿宋_GBK" w:hAnsi="方正仿宋_GBK" w:eastAsia="方正仿宋_GBK" w:cs="方正仿宋_GBK"/>
          <w:sz w:val="32"/>
          <w:szCs w:val="32"/>
          <w:shd w:val="clear" w:color="auto" w:fill="FFFFFF"/>
          <w:lang w:eastAsia="zh-CN"/>
        </w:rPr>
        <w:t>导致</w:t>
      </w:r>
      <w:r>
        <w:rPr>
          <w:rFonts w:hint="eastAsia" w:ascii="方正仿宋_GBK" w:hAnsi="方正仿宋_GBK" w:eastAsia="方正仿宋_GBK" w:cs="方正仿宋_GBK"/>
          <w:sz w:val="32"/>
          <w:szCs w:val="32"/>
          <w:shd w:val="clear" w:color="auto" w:fill="FFFFFF"/>
        </w:rPr>
        <w:t>人员经费增加</w:t>
      </w:r>
      <w:r>
        <w:rPr>
          <w:rFonts w:hint="eastAsia" w:ascii="方正仿宋_GBK" w:hAnsi="方正仿宋_GBK" w:eastAsia="方正仿宋_GBK" w:cs="方正仿宋_GBK"/>
          <w:sz w:val="32"/>
          <w:szCs w:val="32"/>
          <w:shd w:val="clear" w:color="auto" w:fill="FFFFFF"/>
          <w:lang w:eastAsia="zh-CN"/>
        </w:rPr>
        <w:t>。</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100.05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与2023年度相比，增加8.21万元，增长8.9%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养老保险基数调增</w:t>
      </w:r>
      <w:r>
        <w:rPr>
          <w:rFonts w:hint="eastAsia" w:ascii="方正仿宋_GBK" w:hAnsi="方正仿宋_GBK" w:eastAsia="方正仿宋_GBK" w:cs="方正仿宋_GBK"/>
          <w:sz w:val="32"/>
          <w:szCs w:val="32"/>
          <w:shd w:val="clear" w:color="auto" w:fill="FFFFFF"/>
          <w:lang w:eastAsia="zh-CN"/>
        </w:rPr>
        <w:t>，人员经费预算收入增加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100.05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100.05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与2023年度相比，增加8.21万元，增长8.9%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养老保险基数调增</w:t>
      </w:r>
      <w:r>
        <w:rPr>
          <w:rFonts w:hint="eastAsia" w:ascii="方正仿宋_GBK" w:hAnsi="方正仿宋_GBK" w:eastAsia="方正仿宋_GBK" w:cs="方正仿宋_GBK"/>
          <w:sz w:val="32"/>
          <w:szCs w:val="32"/>
          <w:shd w:val="clear" w:color="auto" w:fill="FFFFFF"/>
          <w:lang w:eastAsia="zh-CN"/>
        </w:rPr>
        <w:t>，人员经费支出增加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100.05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2"/>
          <w:rFonts w:hint="eastAsia" w:ascii="Times New Roman" w:hAnsi="Times New Roman" w:eastAsia="方正仿宋_GBK"/>
          <w:sz w:val="32"/>
          <w:szCs w:val="32"/>
          <w:shd w:val="clear" w:color="auto" w:fill="FFFFFF"/>
          <w:lang w:val="en-US" w:eastAsia="zh-CN"/>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100.05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财政拨款收、支总计各增加8.21万元，增长8.9%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养老保险基数调增</w:t>
      </w:r>
      <w:r>
        <w:rPr>
          <w:rFonts w:hint="eastAsia" w:ascii="方正仿宋_GBK" w:hAnsi="方正仿宋_GBK" w:eastAsia="方正仿宋_GBK" w:cs="方正仿宋_GBK"/>
          <w:sz w:val="32"/>
          <w:szCs w:val="32"/>
          <w:shd w:val="clear" w:color="auto" w:fill="FFFFFF"/>
          <w:lang w:eastAsia="zh-CN"/>
        </w:rPr>
        <w:t>导致</w:t>
      </w:r>
      <w:r>
        <w:rPr>
          <w:rFonts w:hint="eastAsia" w:ascii="方正仿宋_GBK" w:hAnsi="方正仿宋_GBK" w:eastAsia="方正仿宋_GBK" w:cs="方正仿宋_GBK"/>
          <w:sz w:val="32"/>
          <w:szCs w:val="32"/>
          <w:shd w:val="clear" w:color="auto" w:fill="FFFFFF"/>
        </w:rPr>
        <w:t>人员经费增加</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hint="default"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100.05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与2023年度相比，增加8.21万元，增长8.9%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养老保险基数调增</w:t>
      </w:r>
      <w:r>
        <w:rPr>
          <w:rFonts w:hint="eastAsia" w:ascii="方正仿宋_GBK" w:hAnsi="方正仿宋_GBK" w:eastAsia="方正仿宋_GBK" w:cs="方正仿宋_GBK"/>
          <w:sz w:val="32"/>
          <w:szCs w:val="32"/>
          <w:shd w:val="clear" w:color="auto" w:fill="FFFFFF"/>
          <w:lang w:eastAsia="zh-CN"/>
        </w:rPr>
        <w:t>导致</w:t>
      </w:r>
      <w:r>
        <w:rPr>
          <w:rFonts w:hint="eastAsia" w:ascii="方正仿宋_GBK" w:hAnsi="方正仿宋_GBK" w:eastAsia="方正仿宋_GBK" w:cs="方正仿宋_GBK"/>
          <w:sz w:val="32"/>
          <w:szCs w:val="32"/>
          <w:shd w:val="clear" w:color="auto" w:fill="FFFFFF"/>
        </w:rPr>
        <w:t>人员经费增加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较年初预算数减少4.45万元，下降4.3%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本年度人员调整，导致人员经费有正常变动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100.05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与2023年度相比，增加8.21万元，增长8.9%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本年度养老保险基数调增、人员经费增加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较年初预算数减少4.45万元，下降4.3%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本年度人员调整，导致人员经费有正常变动</w:t>
      </w:r>
      <w:r>
        <w:rPr>
          <w:rFonts w:hint="eastAsia" w:ascii="方正仿宋_GBK" w:hAnsi="方正仿宋_GBK" w:eastAsia="方正仿宋_GBK" w:cs="方正仿宋_GBK"/>
          <w:color w:val="auto"/>
          <w:sz w:val="32"/>
          <w:szCs w:val="32"/>
          <w:shd w:val="clear" w:color="auto" w:fill="FFFFFF"/>
          <w:lang w:eastAsia="zh-CN"/>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13.46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较年初预算数增加4.39万元，增长48.4%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本年度养老保险</w:t>
      </w:r>
      <w:r>
        <w:rPr>
          <w:rFonts w:hint="eastAsia" w:ascii="方正仿宋_GBK" w:hAnsi="方正仿宋_GBK" w:eastAsia="方正仿宋_GBK" w:cs="方正仿宋_GBK"/>
          <w:sz w:val="32"/>
          <w:szCs w:val="32"/>
          <w:shd w:val="clear" w:color="auto" w:fill="FFFFFF"/>
          <w:lang w:eastAsia="zh-CN"/>
        </w:rPr>
        <w:t>、职业年金</w:t>
      </w:r>
      <w:r>
        <w:rPr>
          <w:rFonts w:hint="eastAsia" w:ascii="方正仿宋_GBK" w:hAnsi="方正仿宋_GBK" w:eastAsia="方正仿宋_GBK" w:cs="方正仿宋_GBK"/>
          <w:sz w:val="32"/>
          <w:szCs w:val="32"/>
          <w:shd w:val="clear" w:color="auto" w:fill="FFFFFF"/>
        </w:rPr>
        <w:t>基数调增</w:t>
      </w:r>
      <w:r>
        <w:rPr>
          <w:rFonts w:hint="eastAsia" w:ascii="方正仿宋_GBK" w:hAnsi="方正仿宋_GBK" w:eastAsia="方正仿宋_GBK" w:cs="方正仿宋_GBK"/>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较年初预算数增加0.02万元，增长0.4%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医保基数调整正常变动</w:t>
      </w:r>
      <w:r>
        <w:rPr>
          <w:rFonts w:ascii="方正仿宋_GBK" w:hAnsi="方正仿宋_GBK" w:eastAsia="方正仿宋_GBK" w:cs="方正仿宋_GBK"/>
          <w:color w:val="auto"/>
          <w:sz w:val="32"/>
          <w:szCs w:val="32"/>
          <w:shd w:val="clear" w:color="auto" w:fill="FFFFFF"/>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77.26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较年初预算数减少8.49万元，下降9.9%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本年度压减公用经费，支出减少。</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较年初预算数减少0.37万元，下降8.2%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人员调整，公积金支出减少。</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100.05</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83.80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与2023年度相比，增加1.98万元，增长2.4%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本年度养老保险基数调增、人员经费增加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在编人员工资、绩效及各项社保、公积金</w:t>
      </w:r>
      <w:r>
        <w:rPr>
          <w:rFonts w:ascii="方正仿宋_GBK" w:hAnsi="方正仿宋_GBK" w:eastAsia="方正仿宋_GBK" w:cs="方正仿宋_GBK"/>
          <w:color w:val="auto"/>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与2023年度相比，增加6.22万元，增长62.0%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本年度公用经费按照定额编制、预算增加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单位工会经费、教育经费及日常通信、劳务、人员用餐费用。</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eastAsia="zh-CN"/>
        </w:rPr>
        <w:t>年度无政府性基金预算财政拨款收支。</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eastAsia="zh-CN"/>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bidi="ar-SA"/>
        </w:rPr>
        <w:t>年度</w:t>
      </w: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“三公”经费支出</w:t>
      </w:r>
      <w:r>
        <w:rPr>
          <w:rFonts w:hint="eastAsia" w:ascii="方正仿宋_GBK" w:hAnsi="方正仿宋_GBK" w:eastAsia="方正仿宋_GBK" w:cs="方正仿宋_GBK"/>
          <w:color w:val="auto"/>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3"/>
        <w:autoSpaceDE w:val="0"/>
        <w:ind w:firstLine="643"/>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年度本单位未发生因公出国（境）费用支出。</w:t>
      </w:r>
    </w:p>
    <w:p>
      <w:pPr>
        <w:pStyle w:val="13"/>
        <w:autoSpaceDE w:val="0"/>
        <w:ind w:firstLine="643"/>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年度本单位未发生公务车购置费支出。</w:t>
      </w:r>
    </w:p>
    <w:p>
      <w:pPr>
        <w:pStyle w:val="13"/>
        <w:autoSpaceDE w:val="0"/>
        <w:ind w:firstLine="643"/>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年度本单位未发生公务车运行维护费支出。</w:t>
      </w:r>
    </w:p>
    <w:p>
      <w:pPr>
        <w:pStyle w:val="13"/>
        <w:autoSpaceDE w:val="0"/>
        <w:ind w:firstLine="643"/>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年度本单位未发生公务接待费支出。</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与2023年度相比，增加0.01万元，增长1.8%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事业单位人员补学以前年度公需科目</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eastAsia="zh-CN"/>
        </w:rPr>
        <w:t>五、</w:t>
      </w:r>
      <w:r>
        <w:rPr>
          <w:rStyle w:val="12"/>
          <w:rFonts w:ascii="黑体" w:hAnsi="黑体" w:eastAsia="黑体" w:cs="黑体"/>
          <w:sz w:val="32"/>
          <w:szCs w:val="32"/>
          <w:shd w:val="clear" w:color="auto" w:fill="FFFFFF"/>
        </w:rPr>
        <w:t>预算绩效管理情况说明</w:t>
      </w:r>
    </w:p>
    <w:p>
      <w:pPr>
        <w:pStyle w:val="3"/>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eastAsia"/>
          <w:color w:val="auto"/>
        </w:rPr>
      </w:pPr>
      <w:r>
        <w:rPr>
          <w:rFonts w:hint="eastAsia"/>
          <w:color w:val="auto"/>
          <w:lang w:eastAsia="zh-CN"/>
        </w:rPr>
        <w:t>（一）</w:t>
      </w:r>
      <w:r>
        <w:rPr>
          <w:rFonts w:hint="eastAsia"/>
          <w:color w:val="auto"/>
        </w:rPr>
        <w:t>单位自评情况</w:t>
      </w:r>
    </w:p>
    <w:p>
      <w:pPr>
        <w:pStyle w:val="3"/>
        <w:pageBreakBefore w:val="0"/>
        <w:widowControl/>
        <w:kinsoku/>
        <w:wordWrap/>
        <w:overflowPunct/>
        <w:topLinePunct w:val="0"/>
        <w:autoSpaceDN/>
        <w:bidi w:val="0"/>
        <w:adjustRightInd/>
        <w:spacing w:line="560" w:lineRule="exact"/>
        <w:textAlignment w:val="auto"/>
        <w:rPr>
          <w:rFonts w:hint="eastAsia"/>
          <w:color w:val="auto"/>
        </w:rPr>
      </w:pPr>
      <w:r>
        <w:rPr>
          <w:rFonts w:hint="eastAsia" w:ascii="方正仿宋_GBK" w:hAnsi="方正仿宋_GBK" w:eastAsia="方正仿宋_GBK" w:cs="方正仿宋_GBK"/>
          <w:color w:val="auto"/>
          <w:sz w:val="32"/>
          <w:szCs w:val="32"/>
          <w:shd w:val="clear" w:color="auto" w:fill="FFFFFF"/>
          <w:lang w:val="en-US" w:eastAsia="zh-CN" w:bidi="ar-SA"/>
        </w:rPr>
        <w:t>我单位开展了单位整体绩效自评，涉及财政拨款资金</w:t>
      </w:r>
      <w:r>
        <w:rPr>
          <w:rFonts w:hint="eastAsia" w:ascii="Times New Roman" w:hAnsi="Times New Roman" w:eastAsia="方正仿宋_GBK" w:cs="Times New Roman"/>
          <w:sz w:val="32"/>
          <w:szCs w:val="32"/>
          <w:shd w:val="clear" w:color="auto" w:fill="FFFFFF"/>
          <w:lang w:val="en-US" w:eastAsia="zh-CN" w:bidi="ar-SA"/>
        </w:rPr>
        <w:t>100.05</w:t>
      </w:r>
      <w:r>
        <w:rPr>
          <w:rFonts w:hint="eastAsia" w:ascii="方正仿宋_GBK" w:hAnsi="方正仿宋_GBK" w:eastAsia="方正仿宋_GBK" w:cs="方正仿宋_GBK"/>
          <w:color w:val="auto"/>
          <w:sz w:val="32"/>
          <w:szCs w:val="32"/>
          <w:shd w:val="clear" w:color="auto" w:fill="FFFFFF"/>
          <w:lang w:val="en-US" w:eastAsia="zh-CN" w:bidi="ar-SA"/>
        </w:rPr>
        <w:t>万元，单位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整体绩效自评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表，详见公开10表</w:t>
      </w:r>
      <w:bookmarkStart w:id="0" w:name="_GoBack"/>
      <w:bookmarkEnd w:id="0"/>
      <w:r>
        <w:rPr>
          <w:rFonts w:hint="eastAsia" w:ascii="方正仿宋_GBK" w:hAnsi="方正仿宋_GBK" w:eastAsia="方正仿宋_GBK" w:cs="方正仿宋_GBK"/>
          <w:color w:val="auto"/>
          <w:sz w:val="32"/>
          <w:szCs w:val="32"/>
          <w:shd w:val="clear" w:color="auto" w:fill="FFFFFF"/>
          <w:lang w:val="en-US" w:eastAsia="zh-CN" w:bidi="ar-SA"/>
        </w:rPr>
        <w:t>。</w:t>
      </w:r>
    </w:p>
    <w:p>
      <w:pPr>
        <w:pStyle w:val="3"/>
        <w:pageBreakBefore w:val="0"/>
        <w:widowControl/>
        <w:kinsoku/>
        <w:wordWrap/>
        <w:overflowPunct/>
        <w:topLinePunct w:val="0"/>
        <w:autoSpaceDN/>
        <w:bidi w:val="0"/>
        <w:adjustRightInd/>
        <w:spacing w:line="560" w:lineRule="exact"/>
        <w:textAlignment w:val="auto"/>
        <w:rPr>
          <w:color w:val="auto"/>
        </w:rPr>
      </w:pPr>
      <w:r>
        <w:rPr>
          <w:rFonts w:hint="eastAsia"/>
          <w:color w:val="auto"/>
        </w:rPr>
        <w:t>（二）单位绩效评价情况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我单位</w:t>
      </w:r>
      <w:r>
        <w:rPr>
          <w:rFonts w:hint="eastAsia" w:ascii="方正仿宋_GBK" w:hAnsi="方正仿宋_GBK" w:eastAsia="方正仿宋_GBK" w:cs="方正仿宋_GBK"/>
          <w:color w:val="auto"/>
          <w:sz w:val="32"/>
          <w:szCs w:val="32"/>
          <w:shd w:val="clear" w:color="auto" w:fill="FFFFFF"/>
          <w:lang w:eastAsia="zh-CN"/>
        </w:rPr>
        <w:t>未组织开</w:t>
      </w:r>
      <w:r>
        <w:rPr>
          <w:rFonts w:hint="eastAsia" w:ascii="方正仿宋_GBK" w:hAnsi="方正仿宋_GBK" w:eastAsia="方正仿宋_GBK" w:cs="方正仿宋_GBK"/>
          <w:color w:val="auto"/>
          <w:sz w:val="32"/>
          <w:szCs w:val="32"/>
          <w:shd w:val="clear" w:color="auto" w:fill="FFFFFF"/>
        </w:rPr>
        <w:t>展绩效评价</w:t>
      </w:r>
      <w:r>
        <w:rPr>
          <w:rFonts w:hint="eastAsia" w:ascii="方正仿宋_GBK" w:hAnsi="方正仿宋_GBK" w:eastAsia="方正仿宋_GBK" w:cs="方正仿宋_GBK"/>
          <w:color w:val="auto"/>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（三）财政绩效评价情况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区财政局未委托第三方对我单位开展绩效评价</w:t>
      </w:r>
      <w:r>
        <w:rPr>
          <w:rFonts w:hint="eastAsia" w:ascii="方正仿宋_GBK" w:hAnsi="方正仿宋_GBK" w:eastAsia="方正仿宋_GBK" w:cs="方正仿宋_GBK"/>
          <w:color w:val="auto"/>
          <w:sz w:val="32"/>
          <w:szCs w:val="32"/>
          <w:shd w:val="clear" w:color="auto" w:fill="FFFFFF"/>
          <w:lang w:eastAsia="zh-CN"/>
        </w:rPr>
        <w:t>。</w:t>
      </w:r>
    </w:p>
    <w:p>
      <w:pPr>
        <w:pStyle w:val="2"/>
        <w:pageBreakBefore w:val="0"/>
        <w:widowControl/>
        <w:kinsoku/>
        <w:wordWrap/>
        <w:overflowPunct/>
        <w:topLinePunct w:val="0"/>
        <w:autoSpaceDN/>
        <w:bidi w:val="0"/>
        <w:adjustRightInd/>
        <w:spacing w:line="560" w:lineRule="exact"/>
        <w:textAlignment w:val="auto"/>
        <w:rPr>
          <w:rStyle w:val="12"/>
          <w:rFonts w:hint="default" w:ascii="黑体" w:hAnsi="黑体" w:eastAsia="黑体" w:cs="黑体"/>
          <w:kern w:val="0"/>
          <w:sz w:val="32"/>
          <w:szCs w:val="32"/>
          <w:shd w:val="clear" w:color="auto" w:fill="FFFFFF"/>
          <w:lang w:val="en-US" w:eastAsia="zh-CN" w:bidi="ar-SA"/>
        </w:rPr>
      </w:pPr>
      <w:r>
        <w:rPr>
          <w:rStyle w:val="12"/>
          <w:rFonts w:hint="eastAsia" w:ascii="黑体" w:hAnsi="黑体" w:eastAsia="黑体" w:cs="黑体"/>
          <w:kern w:val="0"/>
          <w:sz w:val="32"/>
          <w:szCs w:val="32"/>
          <w:shd w:val="clear" w:color="auto" w:fill="FFFFFF"/>
          <w:lang w:val="en-US" w:eastAsia="zh-CN" w:bidi="ar-SA"/>
        </w:rPr>
        <w:t>六、专业名词解释</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（五）使用非财政拨款结余：</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（八）年末结转和结余：</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（十二）“三公”经费：</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（十七）其他资本性支出（支出经济分类科目类级）：</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pageBreakBefore w:val="0"/>
        <w:widowControl/>
        <w:kinsoku/>
        <w:wordWrap/>
        <w:overflowPunct/>
        <w:topLinePunct w:val="0"/>
        <w:autoSpaceDN/>
        <w:bidi w:val="0"/>
        <w:adjustRightInd/>
        <w:spacing w:line="560" w:lineRule="exact"/>
        <w:textAlignment w:val="auto"/>
        <w:rPr>
          <w:rFonts w:hint="default"/>
          <w:color w:val="auto"/>
        </w:rPr>
      </w:pPr>
      <w:r>
        <w:rPr>
          <w:color w:val="auto"/>
        </w:rPr>
        <w:t>七、决算公开联系方式及信息反馈渠道</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13"/>
        <w:pageBreakBefore w:val="0"/>
        <w:widowControl/>
        <w:kinsoku/>
        <w:wordWrap/>
        <w:overflowPunct/>
        <w:topLinePunct w:val="0"/>
        <w:autoSpaceDE w:val="0"/>
        <w:autoSpaceDN/>
        <w:bidi w:val="0"/>
        <w:adjustRightInd/>
        <w:spacing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val="en-US" w:eastAsia="zh-CN"/>
        </w:rPr>
        <w:t>王俊美，联系电话：023-61478264</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重庆市荣昌区昌元街道社区事务服务中心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重庆市荣昌区昌元街道社区事务服务中心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100.05</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100.05</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重庆市荣昌区昌元街道社区事务服务中心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100.05</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100.05</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重庆市荣昌区昌元街道社区事务服务中心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重庆市荣昌区昌元街道社区事务服务中心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重庆市荣昌区昌元街道社区事务服务中心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83.80</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重庆市荣昌区昌元街道社区事务服务中心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重庆市荣昌区昌元街道社区事务服务中心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重庆市荣昌区昌元街道社区事务服务中心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jc w:val="center"/>
        <w:rPr>
          <w:rFonts w:cs="宋体"/>
          <w:sz w:val="18"/>
          <w:szCs w:val="18"/>
        </w:rPr>
      </w:pPr>
      <w:r>
        <w:rPr>
          <w:rFonts w:hint="eastAsia" w:cs="宋体"/>
          <w:b/>
          <w:color w:val="000000"/>
          <w:kern w:val="2"/>
          <w:sz w:val="32"/>
          <w:szCs w:val="32"/>
          <w:lang w:val="en-US" w:eastAsia="zh-CN"/>
        </w:rPr>
        <w:t>2024年度单位整体绩效自评表</w:t>
      </w:r>
    </w:p>
    <w:tbl>
      <w:tblPr>
        <w:tblStyle w:val="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8"/>
        <w:gridCol w:w="1115"/>
        <w:gridCol w:w="1115"/>
        <w:gridCol w:w="1770"/>
        <w:gridCol w:w="1321"/>
        <w:gridCol w:w="1432"/>
        <w:gridCol w:w="1653"/>
        <w:gridCol w:w="1100"/>
        <w:gridCol w:w="1116"/>
        <w:gridCol w:w="1564"/>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重庆市荣昌区昌元街道社区事务服务中心</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cs="宋体"/>
                <w:color w:val="000000"/>
                <w:kern w:val="2"/>
                <w:sz w:val="20"/>
                <w:szCs w:val="20"/>
                <w:lang w:val="en-US" w:eastAsia="zh-CN"/>
              </w:rPr>
            </w:pPr>
            <w:r>
              <w:rPr>
                <w:rFonts w:hint="eastAsia" w:cs="宋体"/>
                <w:color w:val="000000"/>
                <w:kern w:val="2"/>
                <w:sz w:val="20"/>
                <w:szCs w:val="20"/>
                <w:lang w:val="en-US" w:eastAsia="zh-CN"/>
              </w:rPr>
              <w:t>公开10表</w:t>
            </w:r>
          </w:p>
          <w:p>
            <w:pPr>
              <w:keepNext w:val="0"/>
              <w:keepLines w:val="0"/>
              <w:widowControl/>
              <w:suppressLineNumbers w:val="0"/>
              <w:jc w:val="both"/>
              <w:textAlignment w:val="center"/>
              <w:rPr>
                <w:rFonts w:hint="eastAsia" w:cs="宋体"/>
                <w:color w:val="000000"/>
                <w:kern w:val="2"/>
                <w:sz w:val="20"/>
                <w:szCs w:val="20"/>
                <w:lang w:val="en-US" w:eastAsia="zh-CN"/>
              </w:rPr>
            </w:pPr>
            <w:r>
              <w:rPr>
                <w:rFonts w:hint="eastAsia" w:cs="宋体"/>
                <w:color w:val="000000"/>
                <w:kern w:val="2"/>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重庆市荣昌区昌元街道社区事务服务中心整体自评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901-重庆市荣昌区人民政府昌元街道办事处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002-预算科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毛世刚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13609403138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r>
              <w:rPr>
                <w:rFonts w:hint="eastAsia"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hint="eastAsia"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hint="eastAsia"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r>
              <w:rPr>
                <w:rFonts w:hint="eastAsia"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hint="eastAsia"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hint="eastAsia"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r>
              <w:rPr>
                <w:rFonts w:hint="eastAsia"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hint="eastAsia"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hint="eastAsia"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1.做好精神病患管理服务。强化健康知识普及，开展健康知识讨论、讲座。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2.扎实推进“4+2”信访突出问题专项治理，深入开展矛盾纠纷“控增量、减存量、防变量”行动。有力化解征地拆迁、物业纠纷、环境治理等信访诉求。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涉稳重点人员实施清单化管理、动态化管控，完成各类重大活动和重要节日期间安保维稳任务30余次，圆满实现“五个不让”和“七个坚决防止”目标。聚力人防物防技防，加强社会面管控，组织派出所、专职巡逻队、网格员等力量开展治安巡逻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5.推进精神病人管控、社区戒毒（社区康复）、社区矫正、反邪教斗争、禁毒等重点工作，切实做到底数清、情况明、信息准。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1.做好精神病患管理服务，在管严重精神障碍患者653人，在管率96.3%。强化健康知识普及，开展健康知识讨论、讲座60余场次。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2.扎实推进“4+2”信访突出问题专项治理，深入开展矛盾纠纷“控增量、减存量、防变量”行动。有力化解征地拆迁、物业纠纷、环境治理等信访诉求，处置信访案件58件，调解纠纷300余起。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涉稳重点人员实施清单化管理、动态化管控，完成各类重大活动和重要节日期间安保维稳任务30余次，圆满实现“五个不让”和“七个坚决防止”目标。聚力人防物防技防，加强社会面管控，组织派出所、专职巡逻队、网格员等力量开展治安巡逻1000余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5.推进精神病人管控、社区戒毒（社区康复）、社区矫正、反邪教斗争、禁毒等重点工作，切实做到底数清、情况明、信息准。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开展健康知识讨论、讲座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处理信访案件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调解纠纷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完成安保维稳任务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开展治安巡逻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0FF868EC"/>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11013A"/>
    <w:rsid w:val="26396DF4"/>
    <w:rsid w:val="27167136"/>
    <w:rsid w:val="271B442C"/>
    <w:rsid w:val="27B23302"/>
    <w:rsid w:val="29310A5F"/>
    <w:rsid w:val="29B10538"/>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DD43000"/>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B30416"/>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CB06E6"/>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768" w:firstLineChars="200"/>
      <w:outlineLvl w:val="0"/>
    </w:pPr>
    <w:rPr>
      <w:rFonts w:hint="eastAsia" w:ascii="宋体" w:hAnsi="宋体" w:eastAsia="方正黑体_GBK" w:cs="Times New Roman"/>
      <w:kern w:val="44"/>
      <w:sz w:val="32"/>
    </w:rPr>
  </w:style>
  <w:style w:type="paragraph" w:styleId="3">
    <w:name w:val="heading 2"/>
    <w:basedOn w:val="1"/>
    <w:next w:val="1"/>
    <w:link w:val="19"/>
    <w:unhideWhenUsed/>
    <w:qFormat/>
    <w:uiPriority w:val="0"/>
    <w:pPr>
      <w:keepNext/>
      <w:keepLines/>
      <w:spacing w:beforeLines="0" w:beforeAutospacing="0" w:afterLines="0" w:afterAutospacing="0" w:line="560" w:lineRule="exact"/>
      <w:ind w:firstLine="768" w:firstLineChars="200"/>
      <w:outlineLvl w:val="1"/>
    </w:pPr>
    <w:rPr>
      <w:rFonts w:hint="eastAsia" w:ascii="Arial" w:hAnsi="Arial" w:eastAsia="方正楷体_GBK" w:cs="Times New Roman"/>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9">
    <w:name w:val="标题 2 Char"/>
    <w:link w:val="3"/>
    <w:qFormat/>
    <w:uiPriority w:val="0"/>
    <w:rPr>
      <w:rFonts w:hint="eastAsia" w:ascii="Arial" w:hAnsi="Arial" w:eastAsia="方正楷体_GBK" w:cs="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8774</Words>
  <Characters>11084</Characters>
  <Lines>186</Lines>
  <Paragraphs>52</Paragraphs>
  <TotalTime>2</TotalTime>
  <ScaleCrop>false</ScaleCrop>
  <LinksUpToDate>false</LinksUpToDate>
  <CharactersWithSpaces>12142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2025-09-25T09:27:38Z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