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rPr>
        <w:t>重庆市荣昌区峰高街道综合行政执法大队</w:t>
      </w: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弘扬法治精神，建设法治政府、法治国家、法治社会。集中行使依法授权或者委托的农林水利、规划建设、环境保护、卫生计生、文化旅游、民政管理、应急管理等领域的行政执法权，承担消防委托执法等工作。配合区级有关部门及派驻机构开展其他领域的联合执法。</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本单位为重庆市荣昌区人民政府峰高街道办事处下属二级预算单位，无内设机构，2023年末实有在职人员11人。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2023年度收入总计233.52万元，支出总计</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万元。收支较上年决算数增加55.96万元，增长31.52%，主要原因是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2023年度收入合计233.52万元，较上年决算数增加55.96万元，增长31.52%，主要原因是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万元，较上年决算数增加55.96万元，增长31.52%，主要原因是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2023年度财政拨款收、支总计233.52万元。与2022年相比，财政拨款收、支总计各增加55.96万元，增长31.52%。主要原因是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万元，较上年决算数增加55.96万元，增长31.52%。主要原因是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。较年初预算数减少6.10万元，下降2.55%。主要原因是</w:t>
      </w:r>
      <w:r>
        <w:rPr>
          <w:rFonts w:hint="eastAsia" w:ascii="方正仿宋_GBK" w:hAnsi="方正仿宋_GBK" w:eastAsia="方正仿宋_GBK" w:cs="方正仿宋_GBK"/>
          <w:b w:val="0"/>
          <w:bCs w:val="0"/>
          <w:color w:val="auto"/>
          <w:sz w:val="32"/>
          <w:szCs w:val="32"/>
          <w:shd w:val="clear" w:color="auto" w:fill="FFFFFF"/>
          <w:lang w:val="en-US" w:eastAsia="zh-CN"/>
        </w:rPr>
        <w:t>社会保障和劳务费支出减少</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万元，较上年决算数增加55.96万元，增长31.52%。主要原因是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职工工资福利、工会经费和水电费增加</w:t>
      </w:r>
      <w:r>
        <w:rPr>
          <w:rFonts w:hint="eastAsia" w:ascii="方正仿宋_GBK" w:hAnsi="方正仿宋_GBK" w:eastAsia="方正仿宋_GBK" w:cs="方正仿宋_GBK"/>
          <w:b w:val="0"/>
          <w:bCs w:val="0"/>
          <w:color w:val="auto"/>
          <w:sz w:val="32"/>
          <w:szCs w:val="32"/>
          <w:shd w:val="clear" w:color="auto" w:fill="FFFFFF"/>
        </w:rPr>
        <w:t>。较年初预算数减少6.10万元，下降2.55%。主要原因是</w:t>
      </w:r>
      <w:r>
        <w:rPr>
          <w:rFonts w:hint="eastAsia" w:ascii="方正仿宋_GBK" w:hAnsi="方正仿宋_GBK" w:eastAsia="方正仿宋_GBK" w:cs="方正仿宋_GBK"/>
          <w:b w:val="0"/>
          <w:bCs w:val="0"/>
          <w:color w:val="auto"/>
          <w:sz w:val="32"/>
          <w:szCs w:val="32"/>
          <w:shd w:val="clear" w:color="auto" w:fill="FFFFFF"/>
          <w:lang w:val="en-US" w:eastAsia="zh-CN"/>
        </w:rPr>
        <w:t>社会保障和劳务费支出减少</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（1）一般公共服务支出</w:t>
      </w:r>
      <w:r>
        <w:rPr>
          <w:rFonts w:hint="eastAsia" w:ascii="方正仿宋_GBK" w:hAnsi="方正仿宋_GBK" w:eastAsia="方正仿宋_GBK" w:cs="方正仿宋_GBK"/>
          <w:b w:val="0"/>
          <w:bCs w:val="0"/>
          <w:color w:val="auto"/>
          <w:sz w:val="32"/>
          <w:szCs w:val="32"/>
        </w:rPr>
        <w:t>193.47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82.85</w:t>
      </w:r>
      <w:r>
        <w:rPr>
          <w:rFonts w:hint="eastAsia" w:ascii="方正仿宋_GBK" w:hAnsi="方正仿宋_GBK" w:eastAsia="方正仿宋_GBK" w:cs="方正仿宋_GBK"/>
          <w:b w:val="0"/>
          <w:bCs w:val="0"/>
          <w:color w:val="auto"/>
          <w:sz w:val="32"/>
          <w:szCs w:val="32"/>
          <w:shd w:val="clear" w:color="auto" w:fill="FFFFFF"/>
        </w:rPr>
        <w:t>%，较年初预算数减少3.51万元，下降1.78%，主要原因是</w:t>
      </w:r>
      <w:r>
        <w:rPr>
          <w:rFonts w:hint="eastAsia" w:ascii="方正仿宋_GBK" w:hAnsi="方正仿宋_GBK" w:eastAsia="方正仿宋_GBK" w:cs="方正仿宋_GBK"/>
          <w:b w:val="0"/>
          <w:bCs w:val="0"/>
          <w:color w:val="auto"/>
          <w:sz w:val="32"/>
          <w:szCs w:val="32"/>
          <w:shd w:val="clear" w:color="auto" w:fill="FFFFFF"/>
          <w:lang w:val="en-US" w:eastAsia="zh-CN"/>
        </w:rPr>
        <w:t>福利费和劳务费支出减少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（2）教育支出</w:t>
      </w:r>
      <w:r>
        <w:rPr>
          <w:rFonts w:hint="eastAsia" w:ascii="方正仿宋_GBK" w:hAnsi="方正仿宋_GBK" w:eastAsia="方正仿宋_GBK" w:cs="方正仿宋_GBK"/>
          <w:b w:val="0"/>
          <w:bCs w:val="0"/>
          <w:color w:val="auto"/>
          <w:sz w:val="32"/>
          <w:szCs w:val="32"/>
        </w:rPr>
        <w:t>1.29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0.55</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rPr>
        <w:t>（3）社会保障与就业支出</w:t>
      </w:r>
      <w:r>
        <w:rPr>
          <w:rFonts w:hint="eastAsia" w:ascii="方正仿宋_GBK" w:hAnsi="方正仿宋_GBK" w:eastAsia="方正仿宋_GBK" w:cs="方正仿宋_GBK"/>
          <w:b w:val="0"/>
          <w:bCs w:val="0"/>
          <w:color w:val="auto"/>
          <w:sz w:val="32"/>
          <w:szCs w:val="32"/>
        </w:rPr>
        <w:t>20.03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8.58</w:t>
      </w:r>
      <w:r>
        <w:rPr>
          <w:rFonts w:hint="eastAsia" w:ascii="方正仿宋_GBK" w:hAnsi="方正仿宋_GBK" w:eastAsia="方正仿宋_GBK" w:cs="方正仿宋_GBK"/>
          <w:b w:val="0"/>
          <w:bCs w:val="0"/>
          <w:color w:val="auto"/>
          <w:sz w:val="32"/>
          <w:szCs w:val="32"/>
          <w:shd w:val="clear" w:color="auto" w:fill="FFFFFF"/>
        </w:rPr>
        <w:t>%，较年初预算数减少0.54万元，下降2.63%，主要原因是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职业年金缴费减少。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（4）卫生健康支出</w:t>
      </w:r>
      <w:r>
        <w:rPr>
          <w:rFonts w:hint="eastAsia" w:ascii="方正仿宋_GBK" w:hAnsi="方正仿宋_GBK" w:eastAsia="方正仿宋_GBK" w:cs="方正仿宋_GBK"/>
          <w:b w:val="0"/>
          <w:bCs w:val="0"/>
          <w:color w:val="auto"/>
          <w:sz w:val="32"/>
          <w:szCs w:val="32"/>
        </w:rPr>
        <w:t>9.29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3.98</w:t>
      </w:r>
      <w:r>
        <w:rPr>
          <w:rFonts w:hint="eastAsia" w:ascii="方正仿宋_GBK" w:hAnsi="方正仿宋_GBK" w:eastAsia="方正仿宋_GBK" w:cs="方正仿宋_GBK"/>
          <w:b w:val="0"/>
          <w:bCs w:val="0"/>
          <w:color w:val="auto"/>
          <w:sz w:val="32"/>
          <w:szCs w:val="32"/>
          <w:shd w:val="clear" w:color="auto" w:fill="FFFFFF"/>
        </w:rPr>
        <w:t>%，较年初预算数减少1.20万元，下降11.44%，主要原因是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职工医疗保险和生育保险缴费减少</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（5）</w:t>
      </w:r>
      <w:r>
        <w:rPr>
          <w:rFonts w:hint="eastAsia" w:ascii="方正仿宋_GBK" w:hAnsi="方正仿宋_GBK" w:eastAsia="方正仿宋_GBK" w:cs="方正仿宋_GBK"/>
          <w:b w:val="0"/>
          <w:bCs w:val="0"/>
          <w:color w:val="auto"/>
          <w:sz w:val="32"/>
          <w:szCs w:val="32"/>
        </w:rPr>
        <w:t>住房保障支出9.44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4.04</w:t>
      </w:r>
      <w:r>
        <w:rPr>
          <w:rFonts w:hint="eastAsia" w:ascii="方正仿宋_GBK" w:hAnsi="方正仿宋_GBK" w:eastAsia="方正仿宋_GBK" w:cs="方正仿宋_GBK"/>
          <w:b w:val="0"/>
          <w:bCs w:val="0"/>
          <w:color w:val="auto"/>
          <w:sz w:val="32"/>
          <w:szCs w:val="32"/>
          <w:shd w:val="clear" w:color="auto" w:fill="FFFFFF"/>
        </w:rPr>
        <w:t>%，较年初预算数减少0.85万元，下降8.26%，主要原因是</w:t>
      </w:r>
      <w:r>
        <w:rPr>
          <w:rFonts w:hint="eastAsia" w:ascii="方正仿宋_GBK" w:hAnsi="方正仿宋_GBK" w:eastAsia="方正仿宋_GBK" w:cs="方正仿宋_GBK"/>
          <w:b w:val="0"/>
          <w:bCs w:val="0"/>
          <w:color w:val="auto"/>
          <w:sz w:val="32"/>
          <w:szCs w:val="32"/>
          <w:shd w:val="clear" w:color="auto" w:fill="FFFFFF"/>
          <w:lang w:val="en-US" w:eastAsia="zh-CN"/>
        </w:rPr>
        <w:t>住房公积金缴费减少</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233.52</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193.28</w:t>
      </w:r>
      <w:r>
        <w:rPr>
          <w:rFonts w:hint="eastAsia" w:ascii="方正仿宋_GBK" w:hAnsi="方正仿宋_GBK" w:eastAsia="方正仿宋_GBK" w:cs="方正仿宋_GBK"/>
          <w:b w:val="0"/>
          <w:bCs w:val="0"/>
          <w:color w:val="auto"/>
          <w:sz w:val="32"/>
          <w:szCs w:val="32"/>
          <w:shd w:val="clear" w:color="auto" w:fill="FFFFFF"/>
        </w:rPr>
        <w:t>万元，较上年决算数增加28.56万元，增长17.34%，主要原因是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rPr>
        <w:t>基本工资、津贴补贴、绩效工资、社会保障缴费、住房公积金</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40.24</w:t>
      </w:r>
      <w:r>
        <w:rPr>
          <w:rFonts w:hint="eastAsia" w:ascii="方正仿宋_GBK" w:hAnsi="方正仿宋_GBK" w:eastAsia="方正仿宋_GBK" w:cs="方正仿宋_GBK"/>
          <w:b w:val="0"/>
          <w:bCs w:val="0"/>
          <w:color w:val="auto"/>
          <w:sz w:val="32"/>
          <w:szCs w:val="32"/>
          <w:shd w:val="clear" w:color="auto" w:fill="FFFFFF"/>
        </w:rPr>
        <w:t>万元，较上年决算数增加27.40万元，增长213.40%，主要原因是</w:t>
      </w:r>
      <w:r>
        <w:rPr>
          <w:rFonts w:hint="eastAsia" w:ascii="方正仿宋_GBK" w:hAnsi="方正仿宋_GBK" w:eastAsia="方正仿宋_GBK" w:cs="方正仿宋_GBK"/>
          <w:b w:val="0"/>
          <w:bCs w:val="0"/>
          <w:color w:val="auto"/>
          <w:sz w:val="32"/>
          <w:szCs w:val="32"/>
          <w:shd w:val="clear" w:color="auto" w:fill="FFFFFF"/>
          <w:lang w:val="en-US" w:eastAsia="zh-CN"/>
        </w:rPr>
        <w:t>水电费、培训费、劳务费、工会经费和其他商品和服务支出增加</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rPr>
        <w:t>办公费、水电费、培训费、福利费、工会经费、</w:t>
      </w:r>
      <w:r>
        <w:rPr>
          <w:rFonts w:hint="eastAsia" w:ascii="方正仿宋_GBK" w:hAnsi="方正仿宋_GBK" w:eastAsia="方正仿宋_GBK" w:cs="方正仿宋_GBK"/>
          <w:color w:val="auto"/>
          <w:sz w:val="32"/>
          <w:szCs w:val="32"/>
          <w:lang w:val="en-US" w:eastAsia="zh-CN"/>
        </w:rPr>
        <w:t>劳务</w:t>
      </w:r>
      <w:r>
        <w:rPr>
          <w:rFonts w:hint="eastAsia" w:ascii="方正仿宋_GBK" w:hAnsi="方正仿宋_GBK" w:eastAsia="方正仿宋_GBK" w:cs="方正仿宋_GBK"/>
          <w:color w:val="auto"/>
          <w:sz w:val="32"/>
          <w:szCs w:val="32"/>
        </w:rPr>
        <w:t>费、其他商品和服务支出。</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（六）国有资本经营预算财政拨款支出决算情况说明</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未发生“三公”经费支出。</w:t>
      </w:r>
      <w:r>
        <w:rPr>
          <w:rFonts w:hint="eastAsia" w:ascii="方正仿宋_GBK" w:hAnsi="方正仿宋_GBK" w:eastAsia="方正仿宋_GBK" w:cs="方正仿宋_GBK"/>
          <w:b w:val="0"/>
          <w:bCs w:val="0"/>
          <w:color w:val="auto"/>
          <w:sz w:val="32"/>
          <w:szCs w:val="32"/>
          <w:shd w:val="clear" w:color="auto" w:fill="FFFFFF"/>
        </w:rPr>
        <w:t>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未发生公务车运行维护费支出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公务接待费0.00万元，</w:t>
      </w:r>
      <w:r>
        <w:rPr>
          <w:rFonts w:hint="eastAsia" w:ascii="方正仿宋_GBK" w:hAnsi="方正仿宋_GBK" w:eastAsia="方正仿宋_GBK" w:cs="方正仿宋_GBK"/>
          <w:color w:val="auto"/>
          <w:sz w:val="32"/>
          <w:szCs w:val="32"/>
          <w:lang w:val="en-US" w:eastAsia="zh-CN"/>
        </w:rPr>
        <w:t>未发生公务接待费支出</w:t>
      </w:r>
      <w:r>
        <w:rPr>
          <w:rFonts w:hint="eastAsia" w:ascii="方正仿宋_GBK" w:hAnsi="方正仿宋_GBK" w:eastAsia="方正仿宋_GBK" w:cs="方正仿宋_GBK"/>
          <w:color w:val="auto"/>
          <w:sz w:val="32"/>
          <w:szCs w:val="32"/>
        </w:rPr>
        <w:t>。费用支出较年初预算数无增减。较上年支出数无增减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本年度会议费支出0.00万元，较上年决算数无增减，与上年持平。</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1.29</w:t>
      </w:r>
      <w:r>
        <w:rPr>
          <w:rFonts w:hint="eastAsia" w:ascii="方正仿宋_GBK" w:hAnsi="方正仿宋_GBK" w:eastAsia="方正仿宋_GBK" w:cs="方正仿宋_GBK"/>
          <w:b w:val="0"/>
          <w:bCs w:val="0"/>
          <w:color w:val="auto"/>
          <w:sz w:val="32"/>
          <w:szCs w:val="32"/>
          <w:shd w:val="clear" w:color="auto" w:fill="FFFFFF"/>
        </w:rPr>
        <w:t>万元，较上年决算数增加1.29万元，增长100.00%，主要原因是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新增预算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（一）单位自评情况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（二）单位绩效评价情况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（三）财政绩效评价情况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（二）事业收入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张莲，023-46212076</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附件：重庆市荣昌区峰高街道综合行政执法大队2023年度部门决算公开报表</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bookmarkStart w:id="0" w:name="_GoBack"/>
      <w:bookmarkEnd w:id="0"/>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shd w:val="clear" w:color="auto" w:fill="FFFFFF" w:themeFill="background1"/>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w:t>
            </w:r>
            <w:r>
              <w:rPr>
                <w:rFonts w:hint="eastAsia"/>
                <w:sz w:val="20"/>
                <w:lang w:val="en-US" w:eastAsia="zh-CN"/>
              </w:rPr>
              <w:t>综合行政执法大队</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233.52</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193.47</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20.03</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9.29</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9.44</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233.52</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233.52</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233.52</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233.52</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shd w:val="clear" w:color="auto" w:fill="FFFFFF" w:themeFill="background1"/>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92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w:t>
            </w:r>
            <w:r>
              <w:rPr>
                <w:rFonts w:hint="eastAsia"/>
                <w:sz w:val="20"/>
                <w:lang w:val="en-US" w:eastAsia="zh-CN"/>
              </w:rPr>
              <w:t>综合行政执法大队</w:t>
            </w: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FFFFFF" w:themeFill="background1"/>
          <w:tblLayout w:type="fixed"/>
          <w:tblCellMar>
            <w:top w:w="0" w:type="dxa"/>
            <w:left w:w="0" w:type="dxa"/>
            <w:bottom w:w="0" w:type="dxa"/>
            <w:right w:w="0" w:type="dxa"/>
          </w:tblCellMar>
        </w:tblPrEx>
        <w:trPr>
          <w:trHeight w:val="328" w:hRule="atLeast"/>
        </w:trPr>
        <w:tc>
          <w:tcPr>
            <w:tcW w:w="492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6"/>
        <w:gridCol w:w="3354"/>
        <w:gridCol w:w="825"/>
        <w:gridCol w:w="915"/>
        <w:gridCol w:w="555"/>
        <w:gridCol w:w="727"/>
        <w:gridCol w:w="518"/>
        <w:gridCol w:w="1119"/>
      </w:tblGrid>
      <w:tr>
        <w:tblPrEx>
          <w:tblLayout w:type="fixed"/>
          <w:tblCellMar>
            <w:top w:w="0" w:type="dxa"/>
            <w:left w:w="0" w:type="dxa"/>
            <w:bottom w:w="0" w:type="dxa"/>
            <w:right w:w="0" w:type="dxa"/>
          </w:tblCellMar>
        </w:tblPrEx>
        <w:trPr>
          <w:trHeight w:val="654" w:hRule="atLeast"/>
        </w:trPr>
        <w:tc>
          <w:tcPr>
            <w:tcW w:w="8876" w:type="dxa"/>
            <w:gridSpan w:val="9"/>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gridSpan w:val="2"/>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gridSpan w:val="2"/>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193.47</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6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193.47</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9.44</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233.52</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600"/>
        <w:gridCol w:w="1320"/>
        <w:gridCol w:w="143"/>
        <w:gridCol w:w="1463"/>
        <w:gridCol w:w="45"/>
        <w:gridCol w:w="1418"/>
      </w:tblGrid>
      <w:tr>
        <w:tblPrEx>
          <w:tblLayout w:type="fixed"/>
          <w:tblCellMar>
            <w:top w:w="0" w:type="dxa"/>
            <w:left w:w="0" w:type="dxa"/>
            <w:bottom w:w="0" w:type="dxa"/>
            <w:right w:w="0" w:type="dxa"/>
          </w:tblCellMar>
        </w:tblPrEx>
        <w:trPr>
          <w:trHeight w:val="51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FFFFFF" w:themeFill="background1"/>
          <w:tblLayout w:type="fixed"/>
          <w:tblCellMar>
            <w:top w:w="0" w:type="dxa"/>
            <w:left w:w="0" w:type="dxa"/>
            <w:bottom w:w="0" w:type="dxa"/>
            <w:right w:w="0" w:type="dxa"/>
          </w:tblCellMar>
        </w:tblPrEx>
        <w:trPr>
          <w:trHeight w:val="255" w:hRule="atLeast"/>
        </w:trPr>
        <w:tc>
          <w:tcPr>
            <w:tcW w:w="5807"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5807"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233.52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193.47</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193.47</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193.47</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193.47</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6.31</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6.31</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9.44</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9.44</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shd w:val="clear" w:color="auto" w:fill="FFFFFF" w:themeFill="background1"/>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193.28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42.71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107.97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3.93</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2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31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bottom"/>
              <w:rPr>
                <w:rFonts w:hint="default" w:cs="宋体"/>
                <w:color w:val="000000"/>
                <w:sz w:val="18"/>
                <w:szCs w:val="18"/>
              </w:rPr>
            </w:pPr>
            <w:r>
              <w:rPr>
                <w:rFonts w:cs="宋体"/>
                <w:color w:val="000000"/>
                <w:sz w:val="18"/>
                <w:szCs w:val="18"/>
              </w:rPr>
              <w:t>193.28</w:t>
            </w:r>
            <w:r>
              <w:rPr>
                <w:color w:val="000000"/>
                <w:sz w:val="18"/>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40.24</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FFFFFF" w:themeFill="background1"/>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1891"/>
        <w:gridCol w:w="116"/>
        <w:gridCol w:w="2005"/>
        <w:gridCol w:w="45"/>
        <w:gridCol w:w="1967"/>
      </w:tblGrid>
      <w:tr>
        <w:tblPrEx>
          <w:shd w:val="clear" w:color="auto" w:fill="FFFFFF" w:themeFill="background1"/>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综合行政执法大队</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1.29</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0" w:firstLineChars="0"/>
        <w:jc w:val="both"/>
        <w:textAlignment w:val="auto"/>
        <w:rPr>
          <w:rFonts w:hint="eastAsia" w:ascii="方正仿宋_GBK" w:hAnsi="方正仿宋_GBK" w:eastAsia="方正仿宋_GBK" w:cs="方正仿宋_GBK"/>
          <w:b w:val="0"/>
          <w:bCs w:val="0"/>
          <w:color w:val="auto"/>
          <w:sz w:val="32"/>
          <w:szCs w:val="32"/>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7E777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6A3F8C"/>
    <w:rsid w:val="0F836721"/>
    <w:rsid w:val="0F8E622D"/>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917B5"/>
    <w:rsid w:val="163A6CEE"/>
    <w:rsid w:val="173708E3"/>
    <w:rsid w:val="17C374FC"/>
    <w:rsid w:val="182E4AB6"/>
    <w:rsid w:val="189079DC"/>
    <w:rsid w:val="189B0D0B"/>
    <w:rsid w:val="18B43F7C"/>
    <w:rsid w:val="194A1770"/>
    <w:rsid w:val="19B906A4"/>
    <w:rsid w:val="1B6F15B6"/>
    <w:rsid w:val="1BAA2EDC"/>
    <w:rsid w:val="1BC1287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42655"/>
    <w:rsid w:val="22403BD3"/>
    <w:rsid w:val="24B92327"/>
    <w:rsid w:val="24C14514"/>
    <w:rsid w:val="2533755C"/>
    <w:rsid w:val="25791755"/>
    <w:rsid w:val="26396DF4"/>
    <w:rsid w:val="26B34FB1"/>
    <w:rsid w:val="27167136"/>
    <w:rsid w:val="2718129C"/>
    <w:rsid w:val="271B442C"/>
    <w:rsid w:val="27B23302"/>
    <w:rsid w:val="28494CCE"/>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9B5B00"/>
    <w:rsid w:val="3ADD7F09"/>
    <w:rsid w:val="3B1705E5"/>
    <w:rsid w:val="3B18334B"/>
    <w:rsid w:val="3B36794F"/>
    <w:rsid w:val="3B6F6EE0"/>
    <w:rsid w:val="3B93087D"/>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B46BA1"/>
    <w:rsid w:val="4B135857"/>
    <w:rsid w:val="4B271908"/>
    <w:rsid w:val="4B7951CB"/>
    <w:rsid w:val="4B7C315C"/>
    <w:rsid w:val="4DAC4ACA"/>
    <w:rsid w:val="4DBE01D2"/>
    <w:rsid w:val="4E0B343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FA607B"/>
    <w:rsid w:val="56530F5D"/>
    <w:rsid w:val="567700D3"/>
    <w:rsid w:val="56FF7E9E"/>
    <w:rsid w:val="578867FC"/>
    <w:rsid w:val="5842572D"/>
    <w:rsid w:val="58650A39"/>
    <w:rsid w:val="5A3B59D6"/>
    <w:rsid w:val="5A7350E6"/>
    <w:rsid w:val="5AD134D8"/>
    <w:rsid w:val="5C263CE4"/>
    <w:rsid w:val="5C5D2777"/>
    <w:rsid w:val="5CB22EDB"/>
    <w:rsid w:val="5CF66BF3"/>
    <w:rsid w:val="5D290C69"/>
    <w:rsid w:val="5D88670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9D1BC4"/>
    <w:rsid w:val="772E1EBA"/>
    <w:rsid w:val="781926BC"/>
    <w:rsid w:val="796D60A4"/>
    <w:rsid w:val="79A031D5"/>
    <w:rsid w:val="7A1525F7"/>
    <w:rsid w:val="7B420052"/>
    <w:rsid w:val="7BD06A28"/>
    <w:rsid w:val="7C3A7C0B"/>
    <w:rsid w:val="7C5248E4"/>
    <w:rsid w:val="7C566698"/>
    <w:rsid w:val="7C5866A3"/>
    <w:rsid w:val="7D7406BB"/>
    <w:rsid w:val="7DE94331"/>
    <w:rsid w:val="7E2C02C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