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val="0"/>
        <w:jc w:val="center"/>
        <w:textAlignment w:val="auto"/>
        <w:rPr>
          <w:rFonts w:hint="eastAsia" w:ascii="方正小标宋_GBK" w:hAnsi="方正小标宋_GBK" w:eastAsia="方正小标宋_GBK" w:cs="方正小标宋_GBK"/>
          <w:sz w:val="44"/>
          <w:szCs w:val="44"/>
        </w:rPr>
      </w:pPr>
      <w:bookmarkStart w:id="0" w:name="_GoBack"/>
      <w:bookmarkEnd w:id="0"/>
      <w:r>
        <w:rPr>
          <w:rFonts w:hint="eastAsia" w:ascii="方正小标宋_GBK" w:hAnsi="方正小标宋_GBK" w:eastAsia="方正小标宋_GBK" w:cs="方正小标宋_GBK"/>
          <w:sz w:val="44"/>
          <w:szCs w:val="44"/>
        </w:rPr>
        <w:t>重庆市荣昌区人民政府峰高街道办事处</w:t>
      </w:r>
    </w:p>
    <w:p>
      <w:pPr>
        <w:keepNext w:val="0"/>
        <w:keepLines w:val="0"/>
        <w:pageBreakBefore w:val="0"/>
        <w:widowControl/>
        <w:kinsoku/>
        <w:wordWrap/>
        <w:overflowPunct/>
        <w:topLinePunct w:val="0"/>
        <w:autoSpaceDE/>
        <w:autoSpaceDN/>
        <w:bidi w:val="0"/>
        <w:adjustRightInd/>
        <w:snapToGrid w:val="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2024年度决算公开说明</w:t>
      </w:r>
    </w:p>
    <w:p>
      <w:pPr>
        <w:keepNext w:val="0"/>
        <w:keepLines w:val="0"/>
        <w:pageBreakBefore w:val="0"/>
        <w:widowControl/>
        <w:kinsoku/>
        <w:wordWrap/>
        <w:overflowPunct/>
        <w:topLinePunct w:val="0"/>
        <w:autoSpaceDE/>
        <w:autoSpaceDN/>
        <w:bidi w:val="0"/>
        <w:adjustRightInd/>
        <w:snapToGrid w:val="0"/>
        <w:jc w:val="both"/>
        <w:textAlignment w:val="auto"/>
        <w:rPr>
          <w:rFonts w:hint="eastAsia" w:ascii="方正仿宋_GBK" w:hAnsi="方正仿宋_GBK" w:eastAsia="方正仿宋_GBK" w:cs="方正仿宋_GBK"/>
          <w:sz w:val="32"/>
          <w:szCs w:val="32"/>
        </w:rPr>
      </w:pP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eastAsia="zh-CN"/>
        </w:rPr>
        <w:t>部门</w:t>
      </w:r>
      <w:r>
        <w:rPr>
          <w:rFonts w:hint="eastAsia" w:ascii="方正黑体_GBK" w:hAnsi="方正黑体_GBK" w:eastAsia="方正黑体_GBK" w:cs="方正黑体_GBK"/>
          <w:sz w:val="32"/>
          <w:szCs w:val="32"/>
        </w:rPr>
        <w:t>基本情况</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（一）职能职责</w:t>
      </w:r>
      <w:r>
        <w:rPr>
          <w:rFonts w:hint="eastAsia" w:ascii="方正楷体_GBK" w:hAnsi="方正楷体_GBK" w:eastAsia="方正楷体_GBK" w:cs="方正楷体_GBK"/>
          <w:sz w:val="32"/>
          <w:szCs w:val="32"/>
          <w:lang w:eastAsia="zh-CN"/>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1.制定和组织实施经济、科技和社会发展计划，组织指导各行生产，协调本街道与外地区经济交流与合作，抓好招商引资。 </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2.制定组织街道规划，部署重点工程建设，地方道路、公共设施、水利设施，负责土地、林木等。</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3.负责本区域内民政、计划生育、文化教育、卫生体育等社会公益事业的综合性工作。</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4.负责本级财政税收和财政收入，完成国家计划，增强财政实力。</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5.完成上级政府交办的其他事项。</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楷体_GBK" w:cs="方正仿宋_GBK"/>
          <w:sz w:val="32"/>
          <w:szCs w:val="32"/>
          <w:lang w:eastAsia="zh-CN"/>
        </w:rPr>
      </w:pPr>
      <w:r>
        <w:rPr>
          <w:rFonts w:hint="eastAsia" w:ascii="方正楷体_GBK" w:hAnsi="方正楷体_GBK" w:eastAsia="方正楷体_GBK" w:cs="方正楷体_GBK"/>
          <w:sz w:val="32"/>
          <w:szCs w:val="32"/>
        </w:rPr>
        <w:t>（二）机构设置</w:t>
      </w:r>
      <w:r>
        <w:rPr>
          <w:rFonts w:hint="eastAsia" w:ascii="方正楷体_GBK" w:hAnsi="方正楷体_GBK" w:eastAsia="方正楷体_GBK" w:cs="方正楷体_GBK"/>
          <w:sz w:val="32"/>
          <w:szCs w:val="32"/>
          <w:lang w:eastAsia="zh-CN"/>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峰高街道统筹设置5个内设机构，分别为：基层治理综合指挥室、党的建设办公室、经济发展办公室、民生服务办公室、平安法治办公室</w:t>
      </w:r>
      <w:r>
        <w:rPr>
          <w:rFonts w:hint="eastAsia" w:ascii="方正仿宋_GBK" w:hAnsi="方正仿宋_GBK" w:eastAsia="方正仿宋_GBK" w:cs="方正仿宋_GBK"/>
          <w:sz w:val="32"/>
          <w:szCs w:val="32"/>
          <w:lang w:eastAsia="zh-CN"/>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2.本部门下属单位8个：重庆市荣昌区人民政府峰高街道办事处本级，</w:t>
      </w:r>
      <w:r>
        <w:rPr>
          <w:rFonts w:hint="eastAsia" w:ascii="方正仿宋_GBK" w:hAnsi="方正仿宋_GBK" w:eastAsia="方正仿宋_GBK" w:cs="方正仿宋_GBK"/>
          <w:sz w:val="32"/>
          <w:szCs w:val="32"/>
        </w:rPr>
        <w:t>重庆市荣昌区峰高街道社区事务服务中心</w:t>
      </w:r>
      <w:r>
        <w:rPr>
          <w:rFonts w:hint="eastAsia" w:ascii="方正仿宋_GBK" w:hAnsi="方正仿宋_GBK" w:eastAsia="方正仿宋_GBK" w:cs="方正仿宋_GBK"/>
          <w:sz w:val="32"/>
          <w:szCs w:val="32"/>
          <w:lang w:eastAsia="zh-CN"/>
        </w:rPr>
        <w:t>等</w:t>
      </w:r>
      <w:r>
        <w:rPr>
          <w:rFonts w:hint="eastAsia" w:ascii="方正仿宋_GBK" w:hAnsi="方正仿宋_GBK" w:eastAsia="方正仿宋_GBK" w:cs="方正仿宋_GBK"/>
          <w:sz w:val="32"/>
          <w:szCs w:val="32"/>
          <w:lang w:val="en-US" w:eastAsia="zh-CN"/>
        </w:rPr>
        <w:t>7个下属事业单位</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本</w:t>
      </w:r>
      <w:r>
        <w:rPr>
          <w:rFonts w:hint="eastAsia" w:ascii="方正仿宋_GBK" w:hAnsi="方正仿宋_GBK" w:eastAsia="方正仿宋_GBK" w:cs="方正仿宋_GBK"/>
          <w:sz w:val="32"/>
          <w:szCs w:val="32"/>
          <w:lang w:val="en-US" w:eastAsia="zh-CN"/>
        </w:rPr>
        <w:t>部门</w:t>
      </w:r>
      <w:r>
        <w:rPr>
          <w:rFonts w:hint="eastAsia" w:ascii="方正仿宋_GBK" w:hAnsi="方正仿宋_GBK" w:eastAsia="方正仿宋_GBK" w:cs="方正仿宋_GBK"/>
          <w:sz w:val="32"/>
          <w:szCs w:val="32"/>
        </w:rPr>
        <w:t>202</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年末实有在职人员</w:t>
      </w:r>
      <w:r>
        <w:rPr>
          <w:rFonts w:hint="eastAsia" w:ascii="方正仿宋_GBK" w:hAnsi="方正仿宋_GBK" w:eastAsia="方正仿宋_GBK" w:cs="方正仿宋_GBK"/>
          <w:sz w:val="32"/>
          <w:szCs w:val="32"/>
          <w:lang w:val="en-US" w:eastAsia="zh-CN"/>
        </w:rPr>
        <w:t>106人，其中行政36</w:t>
      </w:r>
      <w:r>
        <w:rPr>
          <w:rFonts w:hint="eastAsia" w:ascii="方正仿宋_GBK" w:hAnsi="方正仿宋_GBK" w:eastAsia="方正仿宋_GBK" w:cs="方正仿宋_GBK"/>
          <w:sz w:val="32"/>
          <w:szCs w:val="32"/>
        </w:rPr>
        <w:t>人</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含</w:t>
      </w:r>
      <w:r>
        <w:rPr>
          <w:rFonts w:hint="eastAsia" w:ascii="方正仿宋_GBK" w:hAnsi="方正仿宋_GBK" w:eastAsia="方正仿宋_GBK" w:cs="方正仿宋_GBK"/>
          <w:sz w:val="32"/>
          <w:szCs w:val="32"/>
        </w:rPr>
        <w:t>参公人员5人</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比上年度</w:t>
      </w:r>
      <w:r>
        <w:rPr>
          <w:rFonts w:hint="eastAsia" w:ascii="方正仿宋_GBK" w:hAnsi="方正仿宋_GBK" w:eastAsia="方正仿宋_GBK" w:cs="方正仿宋_GBK"/>
          <w:sz w:val="32"/>
          <w:szCs w:val="32"/>
          <w:lang w:val="en-US" w:eastAsia="zh-CN"/>
        </w:rPr>
        <w:t>减少1</w:t>
      </w:r>
      <w:r>
        <w:rPr>
          <w:rFonts w:hint="eastAsia" w:ascii="方正仿宋_GBK" w:hAnsi="方正仿宋_GBK" w:eastAsia="方正仿宋_GBK" w:cs="方正仿宋_GBK"/>
          <w:sz w:val="32"/>
          <w:szCs w:val="32"/>
        </w:rPr>
        <w:t>人</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非参公事业人员70人，比上年度减少5人。</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w:t>
      </w:r>
      <w:r>
        <w:rPr>
          <w:rFonts w:hint="eastAsia" w:ascii="方正黑体_GBK" w:hAnsi="方正黑体_GBK" w:eastAsia="方正黑体_GBK" w:cs="方正黑体_GBK"/>
          <w:sz w:val="32"/>
          <w:szCs w:val="32"/>
          <w:lang w:eastAsia="zh-CN"/>
        </w:rPr>
        <w:t>部门</w:t>
      </w:r>
      <w:r>
        <w:rPr>
          <w:rFonts w:hint="eastAsia" w:ascii="方正黑体_GBK" w:hAnsi="方正黑体_GBK" w:eastAsia="方正黑体_GBK" w:cs="方正黑体_GBK"/>
          <w:sz w:val="32"/>
          <w:szCs w:val="32"/>
        </w:rPr>
        <w:t>决算</w:t>
      </w:r>
      <w:r>
        <w:rPr>
          <w:rFonts w:hint="eastAsia" w:ascii="方正黑体_GBK" w:hAnsi="方正黑体_GBK" w:eastAsia="方正黑体_GBK" w:cs="方正黑体_GBK"/>
          <w:sz w:val="32"/>
          <w:szCs w:val="32"/>
          <w:lang w:eastAsia="zh-CN"/>
        </w:rPr>
        <w:t>收支</w:t>
      </w:r>
      <w:r>
        <w:rPr>
          <w:rFonts w:hint="eastAsia" w:ascii="方正黑体_GBK" w:hAnsi="方正黑体_GBK" w:eastAsia="方正黑体_GBK" w:cs="方正黑体_GBK"/>
          <w:sz w:val="32"/>
          <w:szCs w:val="32"/>
        </w:rPr>
        <w:t>情况说明</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（一）收入支出决算总体情况说明</w:t>
      </w:r>
      <w:r>
        <w:rPr>
          <w:rFonts w:hint="eastAsia" w:ascii="方正楷体_GBK" w:hAnsi="方正楷体_GBK" w:eastAsia="方正楷体_GBK" w:cs="方正楷体_GBK"/>
          <w:sz w:val="32"/>
          <w:szCs w:val="32"/>
          <w:lang w:eastAsia="zh-CN"/>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2024年度收</w:t>
      </w:r>
      <w:r>
        <w:rPr>
          <w:rFonts w:hint="eastAsia" w:ascii="方正仿宋_GBK" w:hAnsi="方正仿宋_GBK" w:eastAsia="方正仿宋_GBK" w:cs="方正仿宋_GBK"/>
          <w:sz w:val="32"/>
          <w:szCs w:val="32"/>
          <w:lang w:eastAsia="zh-CN"/>
        </w:rPr>
        <w:t>、支</w:t>
      </w:r>
      <w:r>
        <w:rPr>
          <w:rFonts w:hint="eastAsia" w:ascii="方正仿宋_GBK" w:hAnsi="方正仿宋_GBK" w:eastAsia="方正仿宋_GBK" w:cs="方正仿宋_GBK"/>
          <w:sz w:val="32"/>
          <w:szCs w:val="32"/>
        </w:rPr>
        <w:t>总计</w:t>
      </w:r>
      <w:r>
        <w:rPr>
          <w:rFonts w:hint="eastAsia" w:ascii="方正仿宋_GBK" w:hAnsi="方正仿宋_GBK" w:eastAsia="方正仿宋_GBK" w:cs="方正仿宋_GBK"/>
          <w:sz w:val="32"/>
          <w:szCs w:val="32"/>
          <w:lang w:eastAsia="zh-CN"/>
        </w:rPr>
        <w:t>均为</w:t>
      </w:r>
      <w:r>
        <w:rPr>
          <w:rFonts w:hint="eastAsia" w:ascii="方正仿宋_GBK" w:hAnsi="方正仿宋_GBK" w:eastAsia="方正仿宋_GBK" w:cs="方正仿宋_GBK"/>
          <w:sz w:val="32"/>
          <w:szCs w:val="32"/>
        </w:rPr>
        <w:t>4652.54万元。收、支与2023年度相比，减少1407.32万元，下降23.2%，主要原因是城乡社区支出</w:t>
      </w:r>
      <w:r>
        <w:rPr>
          <w:rFonts w:hint="eastAsia" w:ascii="方正仿宋_GBK" w:hAnsi="方正仿宋_GBK" w:eastAsia="方正仿宋_GBK" w:cs="方正仿宋_GBK"/>
          <w:sz w:val="32"/>
          <w:szCs w:val="32"/>
          <w:lang w:eastAsia="zh-CN"/>
        </w:rPr>
        <w:t>和农林水支出减少。</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.收入情况。2024年度收入合计4450.34万元，与2023年度相比，减少1561.67万元，下降26.0%，主要原因是</w:t>
      </w:r>
      <w:r>
        <w:rPr>
          <w:rFonts w:hint="eastAsia" w:ascii="方正仿宋_GBK" w:hAnsi="方正仿宋_GBK" w:eastAsia="方正仿宋_GBK" w:cs="方正仿宋_GBK"/>
          <w:sz w:val="32"/>
          <w:szCs w:val="32"/>
          <w:lang w:val="en-US" w:eastAsia="zh-CN"/>
        </w:rPr>
        <w:t>一般公共预算财政拨款收入减少</w:t>
      </w:r>
      <w:r>
        <w:rPr>
          <w:rFonts w:hint="eastAsia" w:ascii="方正仿宋_GBK" w:hAnsi="方正仿宋_GBK" w:eastAsia="方正仿宋_GBK" w:cs="方正仿宋_GBK"/>
          <w:sz w:val="32"/>
          <w:szCs w:val="32"/>
        </w:rPr>
        <w:t>。其中：财政拨款收入4450.34万元，占100.0%；事业收入0.00万元，占0.0%；经营收入0.00万元，占0.0%；其他收入0.00万元，占0.0%。此外，使用非财政拨款结余（含专用结余）0.00万元，年初结转和结余202.21万元。</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.支出情况。2024年度支出合计4652.54万元，与2023年度相比，减少1407.32万元，下降23.2%，主要原因是城乡社区支出</w:t>
      </w:r>
      <w:r>
        <w:rPr>
          <w:rFonts w:hint="eastAsia" w:ascii="方正仿宋_GBK" w:hAnsi="方正仿宋_GBK" w:eastAsia="方正仿宋_GBK" w:cs="方正仿宋_GBK"/>
          <w:sz w:val="32"/>
          <w:szCs w:val="32"/>
          <w:lang w:eastAsia="zh-CN"/>
        </w:rPr>
        <w:t>和农林水支出减少。</w:t>
      </w:r>
      <w:r>
        <w:rPr>
          <w:rFonts w:hint="eastAsia" w:ascii="方正仿宋_GBK" w:hAnsi="方正仿宋_GBK" w:eastAsia="方正仿宋_GBK" w:cs="方正仿宋_GBK"/>
          <w:sz w:val="32"/>
          <w:szCs w:val="32"/>
        </w:rPr>
        <w:t>其中：基本支出2807.60万元，占60.4%；项目支出1844.94万元，占39.7%；经营支出0.00万元，占0.0%。此外，结余分配0.00万元。</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.结转结余情况。2024年度年末结转和结余0.00万元，与2023年度相比，无增减，主要原因是</w:t>
      </w:r>
      <w:r>
        <w:rPr>
          <w:rFonts w:hint="eastAsia" w:ascii="方正仿宋_GBK" w:hAnsi="方正仿宋_GBK" w:eastAsia="方正仿宋_GBK" w:cs="方正仿宋_GBK"/>
          <w:sz w:val="32"/>
          <w:szCs w:val="32"/>
          <w:lang w:eastAsia="zh-CN"/>
        </w:rPr>
        <w:t>精准预算经费。</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（二）财政拨款收入支出决算总体情况说明</w:t>
      </w:r>
      <w:r>
        <w:rPr>
          <w:rFonts w:hint="eastAsia" w:ascii="方正楷体_GBK" w:hAnsi="方正楷体_GBK" w:eastAsia="方正楷体_GBK" w:cs="方正楷体_GBK"/>
          <w:sz w:val="32"/>
          <w:szCs w:val="32"/>
          <w:lang w:eastAsia="zh-CN"/>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2024年度财政拨款收、支总计均为4652.54万元。与2023年</w:t>
      </w:r>
      <w:r>
        <w:rPr>
          <w:rFonts w:hint="eastAsia" w:ascii="方正仿宋_GBK" w:hAnsi="方正仿宋_GBK" w:eastAsia="方正仿宋_GBK" w:cs="方正仿宋_GBK"/>
          <w:sz w:val="32"/>
          <w:szCs w:val="32"/>
          <w:lang w:eastAsia="zh-CN"/>
        </w:rPr>
        <w:t>度</w:t>
      </w:r>
      <w:r>
        <w:rPr>
          <w:rFonts w:hint="eastAsia" w:ascii="方正仿宋_GBK" w:hAnsi="方正仿宋_GBK" w:eastAsia="方正仿宋_GBK" w:cs="方正仿宋_GBK"/>
          <w:sz w:val="32"/>
          <w:szCs w:val="32"/>
        </w:rPr>
        <w:t>相比，财政拨款收、支总计各减少1407.32万元，下降23.2%。主要原因是城乡社区支出</w:t>
      </w:r>
      <w:r>
        <w:rPr>
          <w:rFonts w:hint="eastAsia" w:ascii="方正仿宋_GBK" w:hAnsi="方正仿宋_GBK" w:eastAsia="方正仿宋_GBK" w:cs="方正仿宋_GBK"/>
          <w:sz w:val="32"/>
          <w:szCs w:val="32"/>
          <w:lang w:eastAsia="zh-CN"/>
        </w:rPr>
        <w:t>和农林水支出减少。</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（三）一般公共预算财政拨款收入支出决算情况说明</w:t>
      </w:r>
      <w:r>
        <w:rPr>
          <w:rFonts w:hint="eastAsia" w:ascii="方正楷体_GBK" w:hAnsi="方正楷体_GBK" w:eastAsia="方正楷体_GBK" w:cs="方正楷体_GBK"/>
          <w:sz w:val="32"/>
          <w:szCs w:val="32"/>
          <w:lang w:eastAsia="zh-CN"/>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1.收入情况。2024年度一般公共预算财政拨款收入4366.58万元，与2023年度相比，减少1606.59万元，下降26.9%。主要原因是</w:t>
      </w:r>
      <w:r>
        <w:rPr>
          <w:rFonts w:hint="eastAsia" w:ascii="方正仿宋_GBK" w:hAnsi="方正仿宋_GBK" w:eastAsia="方正仿宋_GBK" w:cs="方正仿宋_GBK"/>
          <w:sz w:val="32"/>
          <w:szCs w:val="32"/>
          <w:lang w:eastAsia="zh-CN"/>
        </w:rPr>
        <w:t>一般公共服务支出、城乡社区支出和农林水支出减少。</w:t>
      </w:r>
      <w:r>
        <w:rPr>
          <w:rFonts w:hint="eastAsia" w:ascii="方正仿宋_GBK" w:hAnsi="方正仿宋_GBK" w:eastAsia="方正仿宋_GBK" w:cs="方正仿宋_GBK"/>
          <w:sz w:val="32"/>
          <w:szCs w:val="32"/>
        </w:rPr>
        <w:t>较年初预算数减少67.21万元，下降1.5%。主要原因是</w:t>
      </w:r>
      <w:r>
        <w:rPr>
          <w:rFonts w:hint="eastAsia" w:ascii="方正仿宋_GBK" w:hAnsi="方正仿宋_GBK" w:eastAsia="方正仿宋_GBK" w:cs="方正仿宋_GBK"/>
          <w:sz w:val="32"/>
          <w:szCs w:val="32"/>
          <w:lang w:eastAsia="zh-CN"/>
        </w:rPr>
        <w:t>城乡社区支出和农林水支出减少。</w:t>
      </w:r>
      <w:r>
        <w:rPr>
          <w:rFonts w:hint="eastAsia" w:ascii="方正仿宋_GBK" w:hAnsi="方正仿宋_GBK" w:eastAsia="方正仿宋_GBK" w:cs="方正仿宋_GBK"/>
          <w:sz w:val="32"/>
          <w:szCs w:val="32"/>
        </w:rPr>
        <w:t>此外，年初财政拨款结转和结余202.21万元。</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2.支出情况。2024年度一般公共预算财政拨款支出4568.79万元，与2023年度相比，减少1452.23万元，下降24.1%。主要原因是主要原因是</w:t>
      </w:r>
      <w:r>
        <w:rPr>
          <w:rFonts w:hint="eastAsia" w:ascii="方正仿宋_GBK" w:hAnsi="方正仿宋_GBK" w:eastAsia="方正仿宋_GBK" w:cs="方正仿宋_GBK"/>
          <w:sz w:val="32"/>
          <w:szCs w:val="32"/>
          <w:lang w:eastAsia="zh-CN"/>
        </w:rPr>
        <w:t>一般公共服务支出、城乡社区支出和农林水支出减少。</w:t>
      </w:r>
      <w:r>
        <w:rPr>
          <w:rFonts w:hint="eastAsia" w:ascii="方正仿宋_GBK" w:hAnsi="方正仿宋_GBK" w:eastAsia="方正仿宋_GBK" w:cs="方正仿宋_GBK"/>
          <w:sz w:val="32"/>
          <w:szCs w:val="32"/>
        </w:rPr>
        <w:t>较年初预算数增加135.00万元，增长3.0%。主要原因是</w:t>
      </w:r>
      <w:r>
        <w:rPr>
          <w:rFonts w:hint="eastAsia" w:ascii="方正仿宋_GBK" w:hAnsi="方正仿宋_GBK" w:eastAsia="方正仿宋_GBK" w:cs="方正仿宋_GBK"/>
          <w:sz w:val="32"/>
          <w:szCs w:val="32"/>
          <w:lang w:eastAsia="zh-CN"/>
        </w:rPr>
        <w:t>节能环保支出增加。</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一般公共预算财政拨款支出主要</w:t>
      </w:r>
      <w:r>
        <w:rPr>
          <w:rFonts w:hint="eastAsia" w:ascii="方正仿宋_GBK" w:hAnsi="方正仿宋_GBK" w:eastAsia="方正仿宋_GBK" w:cs="方正仿宋_GBK"/>
          <w:sz w:val="32"/>
          <w:szCs w:val="32"/>
          <w:lang w:eastAsia="zh-CN"/>
        </w:rPr>
        <w:t>用途如下</w:t>
      </w:r>
      <w:r>
        <w:rPr>
          <w:rFonts w:hint="eastAsia" w:ascii="方正仿宋_GBK" w:hAnsi="方正仿宋_GBK" w:eastAsia="方正仿宋_GBK" w:cs="方正仿宋_GBK"/>
          <w:sz w:val="32"/>
          <w:szCs w:val="32"/>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（1）一般公共服务支出1252.69万元，占27.4%，较年初预算数减少149.21万元，下降10.6%，主要原因是</w:t>
      </w:r>
      <w:r>
        <w:rPr>
          <w:rFonts w:hint="eastAsia" w:ascii="方正仿宋_GBK" w:hAnsi="方正仿宋_GBK" w:eastAsia="方正仿宋_GBK" w:cs="方正仿宋_GBK"/>
          <w:sz w:val="32"/>
          <w:szCs w:val="32"/>
          <w:lang w:eastAsia="zh-CN"/>
        </w:rPr>
        <w:t>抚恤金支出降低。</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）教育支出17.08万元，占0.4%，较年初预算数减少2.32万元，下降12.0%，主要原因是</w:t>
      </w:r>
      <w:r>
        <w:rPr>
          <w:rFonts w:hint="eastAsia" w:ascii="方正仿宋_GBK" w:hAnsi="方正仿宋_GBK" w:eastAsia="方正仿宋_GBK" w:cs="方正仿宋_GBK"/>
          <w:sz w:val="32"/>
          <w:szCs w:val="32"/>
          <w:lang w:val="en-US" w:eastAsia="zh-CN"/>
        </w:rPr>
        <w:t>职工教育经费支出减少</w:t>
      </w:r>
      <w:r>
        <w:rPr>
          <w:rFonts w:hint="eastAsia" w:ascii="方正仿宋_GBK" w:hAnsi="方正仿宋_GBK" w:eastAsia="方正仿宋_GBK" w:cs="方正仿宋_GBK"/>
          <w:sz w:val="32"/>
          <w:szCs w:val="32"/>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）文化旅游体育与传媒支出79.87万元，占1.8%，较年初预算数减少6.38万元，下降7.4%，主要原因是</w:t>
      </w:r>
      <w:r>
        <w:rPr>
          <w:rFonts w:hint="eastAsia" w:ascii="方正仿宋_GBK" w:hAnsi="方正仿宋_GBK" w:eastAsia="方正仿宋_GBK" w:cs="方正仿宋_GBK"/>
          <w:sz w:val="32"/>
          <w:szCs w:val="32"/>
          <w:lang w:eastAsia="zh-CN"/>
        </w:rPr>
        <w:t>社保所职工工资福利减少。</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）社会保障</w:t>
      </w:r>
      <w:r>
        <w:rPr>
          <w:rFonts w:hint="eastAsia" w:ascii="方正仿宋_GBK" w:hAnsi="方正仿宋_GBK" w:eastAsia="方正仿宋_GBK" w:cs="方正仿宋_GBK"/>
          <w:sz w:val="32"/>
          <w:szCs w:val="32"/>
          <w:lang w:eastAsia="zh-CN"/>
        </w:rPr>
        <w:t>和</w:t>
      </w:r>
      <w:r>
        <w:rPr>
          <w:rFonts w:hint="eastAsia" w:ascii="方正仿宋_GBK" w:hAnsi="方正仿宋_GBK" w:eastAsia="方正仿宋_GBK" w:cs="方正仿宋_GBK"/>
          <w:sz w:val="32"/>
          <w:szCs w:val="32"/>
        </w:rPr>
        <w:t>就业支出786.45万元，占17.2%，较年初预算数增加60.70万元，增长8.4%，主要原因是</w:t>
      </w:r>
      <w:r>
        <w:rPr>
          <w:rFonts w:hint="eastAsia" w:ascii="方正仿宋_GBK" w:hAnsi="方正仿宋_GBK" w:eastAsia="方正仿宋_GBK" w:cs="方正仿宋_GBK"/>
          <w:sz w:val="32"/>
          <w:szCs w:val="32"/>
          <w:lang w:val="en-US" w:eastAsia="zh-CN"/>
        </w:rPr>
        <w:t>职业年金缴费支出增加。</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）卫生健康支出154.87万元，占3.4%，较年初预算数增加1.98万元，增长1.3%，主要原因是</w:t>
      </w:r>
      <w:r>
        <w:rPr>
          <w:rFonts w:hint="eastAsia" w:ascii="方正仿宋_GBK" w:hAnsi="方正仿宋_GBK" w:eastAsia="方正仿宋_GBK" w:cs="方正仿宋_GBK"/>
          <w:sz w:val="32"/>
          <w:szCs w:val="32"/>
          <w:lang w:val="en-US" w:eastAsia="zh-CN"/>
        </w:rPr>
        <w:t>职工医疗保险缴费增加</w:t>
      </w:r>
      <w:r>
        <w:rPr>
          <w:rFonts w:hint="eastAsia" w:ascii="方正仿宋_GBK" w:hAnsi="方正仿宋_GBK" w:eastAsia="方正仿宋_GBK" w:cs="方正仿宋_GBK"/>
          <w:sz w:val="32"/>
          <w:szCs w:val="32"/>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rPr>
        <w:t>）节能环保支出112.31万元，占2.5%，较年初预算数减少5.33万元，下降4.5%，主要原因是</w:t>
      </w:r>
      <w:r>
        <w:rPr>
          <w:rFonts w:hint="eastAsia" w:ascii="方正仿宋_GBK" w:hAnsi="方正仿宋_GBK" w:eastAsia="方正仿宋_GBK" w:cs="方正仿宋_GBK"/>
          <w:sz w:val="32"/>
          <w:szCs w:val="32"/>
          <w:lang w:eastAsia="zh-CN"/>
        </w:rPr>
        <w:t>农村黑臭水体治理项目支出减少。</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7</w:t>
      </w:r>
      <w:r>
        <w:rPr>
          <w:rFonts w:hint="eastAsia" w:ascii="方正仿宋_GBK" w:hAnsi="方正仿宋_GBK" w:eastAsia="方正仿宋_GBK" w:cs="方正仿宋_GBK"/>
          <w:sz w:val="32"/>
          <w:szCs w:val="32"/>
        </w:rPr>
        <w:t>）城乡社区支出431.71万元，占9.5%，较年初预算数减少4.18万元，下降1.0%，主要原因是</w:t>
      </w:r>
      <w:r>
        <w:rPr>
          <w:rFonts w:hint="eastAsia" w:ascii="方正仿宋_GBK" w:hAnsi="方正仿宋_GBK" w:eastAsia="方正仿宋_GBK" w:cs="方正仿宋_GBK"/>
          <w:sz w:val="32"/>
          <w:szCs w:val="32"/>
          <w:lang w:eastAsia="zh-CN"/>
        </w:rPr>
        <w:t>建环中心</w:t>
      </w:r>
      <w:r>
        <w:rPr>
          <w:rFonts w:hint="eastAsia" w:ascii="方正仿宋_GBK" w:hAnsi="方正仿宋_GBK" w:eastAsia="方正仿宋_GBK" w:cs="方正仿宋_GBK"/>
          <w:sz w:val="32"/>
          <w:szCs w:val="32"/>
          <w:lang w:val="en-US" w:eastAsia="zh-CN"/>
        </w:rPr>
        <w:t>职工工资福利减少。</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8</w:t>
      </w:r>
      <w:r>
        <w:rPr>
          <w:rFonts w:hint="eastAsia" w:ascii="方正仿宋_GBK" w:hAnsi="方正仿宋_GBK" w:eastAsia="方正仿宋_GBK" w:cs="方正仿宋_GBK"/>
          <w:sz w:val="32"/>
          <w:szCs w:val="32"/>
        </w:rPr>
        <w:t>）农林水支出1294.71万元，占28.3%，较年初预算数增加146.00万元，增长12.7%，主要原因是特色精品村建设</w:t>
      </w:r>
      <w:r>
        <w:rPr>
          <w:rFonts w:hint="eastAsia" w:ascii="方正仿宋_GBK" w:hAnsi="方正仿宋_GBK" w:eastAsia="方正仿宋_GBK" w:cs="方正仿宋_GBK"/>
          <w:sz w:val="32"/>
          <w:szCs w:val="32"/>
          <w:lang w:eastAsia="zh-CN"/>
        </w:rPr>
        <w:t>、美丽宜居村建设和镇阳猪场建设周边环境修复治理项目支出增加。</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9</w:t>
      </w:r>
      <w:r>
        <w:rPr>
          <w:rFonts w:hint="eastAsia" w:ascii="方正仿宋_GBK" w:hAnsi="方正仿宋_GBK" w:eastAsia="方正仿宋_GBK" w:cs="方正仿宋_GBK"/>
          <w:sz w:val="32"/>
          <w:szCs w:val="32"/>
        </w:rPr>
        <w:t>）交通运输支出198.99万元，占4.4%，较年初预算数减少0.01万元，下降0.0%，主要原因是农村公路安防工程</w:t>
      </w:r>
      <w:r>
        <w:rPr>
          <w:rFonts w:hint="eastAsia" w:ascii="方正仿宋_GBK" w:hAnsi="方正仿宋_GBK" w:eastAsia="方正仿宋_GBK" w:cs="方正仿宋_GBK"/>
          <w:sz w:val="32"/>
          <w:szCs w:val="32"/>
          <w:lang w:eastAsia="zh-CN"/>
        </w:rPr>
        <w:t>支出减少。</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）自然资源海洋气象等支出50.64万元，占1.1%，较年初预算数增加50.64万元，增长100.0%，主要原因是</w:t>
      </w:r>
      <w:r>
        <w:rPr>
          <w:rFonts w:hint="eastAsia" w:ascii="方正仿宋_GBK" w:hAnsi="方正仿宋_GBK" w:eastAsia="方正仿宋_GBK" w:cs="方正仿宋_GBK"/>
          <w:sz w:val="32"/>
          <w:szCs w:val="32"/>
          <w:lang w:eastAsia="zh-CN"/>
        </w:rPr>
        <w:t>新增</w:t>
      </w:r>
      <w:r>
        <w:rPr>
          <w:rFonts w:hint="eastAsia" w:ascii="方正仿宋_GBK" w:hAnsi="方正仿宋_GBK" w:eastAsia="方正仿宋_GBK" w:cs="方正仿宋_GBK"/>
          <w:sz w:val="32"/>
          <w:szCs w:val="32"/>
        </w:rPr>
        <w:t>耕地缺口恢复补足项目</w:t>
      </w:r>
      <w:r>
        <w:rPr>
          <w:rFonts w:hint="eastAsia" w:ascii="方正仿宋_GBK" w:hAnsi="方正仿宋_GBK" w:eastAsia="方正仿宋_GBK" w:cs="方正仿宋_GBK"/>
          <w:sz w:val="32"/>
          <w:szCs w:val="32"/>
          <w:lang w:eastAsia="zh-CN"/>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）住房保障支出189.46万元，占4.2%，较年初预算数增加43.10万元，增长29.5%，要原因是</w:t>
      </w:r>
      <w:r>
        <w:rPr>
          <w:rFonts w:hint="eastAsia" w:ascii="方正仿宋_GBK" w:hAnsi="方正仿宋_GBK" w:eastAsia="方正仿宋_GBK" w:cs="方正仿宋_GBK"/>
          <w:sz w:val="32"/>
          <w:szCs w:val="32"/>
          <w:lang w:val="en-US" w:eastAsia="zh-CN"/>
        </w:rPr>
        <w:t>老旧小区改造支出增加。</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3.结转结余情况。2024年度年末一般公共预算财政拨款结转和结余0.00万元，与2023年度相比，无增减，主要原因是</w:t>
      </w:r>
      <w:r>
        <w:rPr>
          <w:rFonts w:hint="eastAsia" w:ascii="方正仿宋_GBK" w:hAnsi="方正仿宋_GBK" w:eastAsia="方正仿宋_GBK" w:cs="方正仿宋_GBK"/>
          <w:sz w:val="32"/>
          <w:szCs w:val="32"/>
          <w:lang w:eastAsia="zh-CN"/>
        </w:rPr>
        <w:t>精准预算经费。</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rPr>
        <w:t>（四）一般公共预算财政拨款基本支出决算情况说明</w:t>
      </w:r>
      <w:r>
        <w:rPr>
          <w:rFonts w:hint="eastAsia" w:ascii="方正楷体_GBK" w:hAnsi="方正楷体_GBK" w:eastAsia="方正楷体_GBK" w:cs="方正楷体_GBK"/>
          <w:sz w:val="32"/>
          <w:szCs w:val="32"/>
          <w:lang w:eastAsia="zh-CN"/>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2024年度一般公共财政拨款基本支出2807.60万元。其中：</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人员经费2414.63万元，与2023年度相比，减少204.57万元，下降7.8%，主要原因是</w:t>
      </w:r>
      <w:r>
        <w:rPr>
          <w:rFonts w:hint="eastAsia" w:ascii="方正仿宋_GBK" w:hAnsi="方正仿宋_GBK" w:eastAsia="方正仿宋_GBK" w:cs="方正仿宋_GBK"/>
          <w:sz w:val="32"/>
          <w:szCs w:val="32"/>
          <w:lang w:val="en-US" w:eastAsia="zh-CN"/>
        </w:rPr>
        <w:t>职工工资福利、社会保障、对个人和家庭的补助减少</w:t>
      </w:r>
      <w:r>
        <w:rPr>
          <w:rFonts w:hint="eastAsia" w:ascii="方正仿宋_GBK" w:hAnsi="方正仿宋_GBK" w:eastAsia="方正仿宋_GBK" w:cs="方正仿宋_GBK"/>
          <w:sz w:val="32"/>
          <w:szCs w:val="32"/>
        </w:rPr>
        <w:t>。人员经费用途主要包括</w:t>
      </w:r>
      <w:r>
        <w:rPr>
          <w:rFonts w:hint="eastAsia" w:ascii="方正仿宋_GBK" w:hAnsi="方正仿宋_GBK" w:eastAsia="方正仿宋_GBK" w:cs="方正仿宋_GBK"/>
          <w:sz w:val="32"/>
          <w:szCs w:val="32"/>
          <w:lang w:val="en-US" w:eastAsia="zh-CN"/>
        </w:rPr>
        <w:t>基本工资、津贴补贴、奖金、社会保障缴费、对个人和家庭的补助</w:t>
      </w:r>
      <w:r>
        <w:rPr>
          <w:rFonts w:hint="eastAsia" w:ascii="方正仿宋_GBK" w:hAnsi="方正仿宋_GBK" w:eastAsia="方正仿宋_GBK" w:cs="方正仿宋_GBK"/>
          <w:sz w:val="32"/>
          <w:szCs w:val="32"/>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公用经费392.97万元，与2023年度相比，减少79.77万元，下降16.9%，主要原因是</w:t>
      </w:r>
      <w:r>
        <w:rPr>
          <w:rFonts w:hint="eastAsia" w:ascii="方正仿宋_GBK" w:hAnsi="方正仿宋_GBK" w:eastAsia="方正仿宋_GBK" w:cs="方正仿宋_GBK"/>
          <w:sz w:val="32"/>
          <w:szCs w:val="32"/>
          <w:lang w:val="en-US" w:eastAsia="zh-CN"/>
        </w:rPr>
        <w:t>培训费、公务接待费、工会经费、其他商品和服务支出减少</w:t>
      </w:r>
      <w:r>
        <w:rPr>
          <w:rFonts w:hint="eastAsia" w:ascii="方正仿宋_GBK" w:hAnsi="方正仿宋_GBK" w:eastAsia="方正仿宋_GBK" w:cs="方正仿宋_GBK"/>
          <w:sz w:val="32"/>
          <w:szCs w:val="32"/>
        </w:rPr>
        <w:t>。公用经费用途主要包括</w:t>
      </w:r>
      <w:r>
        <w:rPr>
          <w:rFonts w:hint="eastAsia" w:ascii="方正仿宋_GBK" w:hAnsi="方正仿宋_GBK" w:eastAsia="方正仿宋_GBK" w:cs="方正仿宋_GBK"/>
          <w:sz w:val="32"/>
          <w:szCs w:val="32"/>
          <w:lang w:val="en-US" w:eastAsia="zh-CN"/>
        </w:rPr>
        <w:t>办公费、水电费、邮电费、差旅费、会议费、培训费、公务接待费、劳务费、工会经费、福利费、公务用车运行维护费、其他交通费用、其他商品和服务支出、办公设备购置</w:t>
      </w:r>
      <w:r>
        <w:rPr>
          <w:rFonts w:hint="eastAsia" w:ascii="方正仿宋_GBK" w:hAnsi="方正仿宋_GBK" w:eastAsia="方正仿宋_GBK" w:cs="方正仿宋_GBK"/>
          <w:sz w:val="32"/>
          <w:szCs w:val="32"/>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（五）政府性基金预算收支决算情况说明</w:t>
      </w:r>
      <w:r>
        <w:rPr>
          <w:rFonts w:hint="eastAsia" w:ascii="方正楷体_GBK" w:hAnsi="方正楷体_GBK" w:eastAsia="方正楷体_GBK" w:cs="方正楷体_GBK"/>
          <w:sz w:val="32"/>
          <w:szCs w:val="32"/>
          <w:lang w:eastAsia="zh-CN"/>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2024年度政府性基金预算财政拨款年初结转结余0.00万元，年末结转结余0.00万元。本年收入83.76万元，与2023年度相比，增加44.92万元，增长115.7%，主要原因是用于体育事业的彩票公益金支出</w:t>
      </w:r>
      <w:r>
        <w:rPr>
          <w:rFonts w:hint="eastAsia" w:ascii="方正仿宋_GBK" w:hAnsi="方正仿宋_GBK" w:eastAsia="方正仿宋_GBK" w:cs="方正仿宋_GBK"/>
          <w:sz w:val="32"/>
          <w:szCs w:val="32"/>
          <w:lang w:val="en-US" w:eastAsia="zh-CN"/>
        </w:rPr>
        <w:t>较多</w:t>
      </w:r>
      <w:r>
        <w:rPr>
          <w:rFonts w:hint="eastAsia" w:ascii="方正仿宋_GBK" w:hAnsi="方正仿宋_GBK" w:eastAsia="方正仿宋_GBK" w:cs="方正仿宋_GBK"/>
          <w:sz w:val="32"/>
          <w:szCs w:val="32"/>
        </w:rPr>
        <w:t>。本年支出83.76万元，与2023年度相比，增加44.92万元，增长115.7%，主要原因是用于体育事业的彩票公益金支出</w:t>
      </w:r>
      <w:r>
        <w:rPr>
          <w:rFonts w:hint="eastAsia" w:ascii="方正仿宋_GBK" w:hAnsi="方正仿宋_GBK" w:eastAsia="方正仿宋_GBK" w:cs="方正仿宋_GBK"/>
          <w:sz w:val="32"/>
          <w:szCs w:val="32"/>
          <w:lang w:val="en-US" w:eastAsia="zh-CN"/>
        </w:rPr>
        <w:t>较多</w:t>
      </w:r>
      <w:r>
        <w:rPr>
          <w:rFonts w:hint="eastAsia" w:ascii="方正仿宋_GBK" w:hAnsi="方正仿宋_GBK" w:eastAsia="方正仿宋_GBK" w:cs="方正仿宋_GBK"/>
          <w:sz w:val="32"/>
          <w:szCs w:val="32"/>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（六）国有资本经营预算财政拨款支出决算情况说明</w:t>
      </w:r>
      <w:r>
        <w:rPr>
          <w:rFonts w:hint="eastAsia" w:ascii="方正楷体_GBK" w:hAnsi="方正楷体_GBK" w:eastAsia="方正楷体_GBK" w:cs="方正楷体_GBK"/>
          <w:sz w:val="32"/>
          <w:szCs w:val="32"/>
          <w:lang w:eastAsia="zh-CN"/>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本部门202</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年度无国有资本经营预算财政拨款支出</w:t>
      </w:r>
      <w:r>
        <w:rPr>
          <w:rFonts w:hint="eastAsia" w:ascii="方正仿宋_GBK" w:hAnsi="方正仿宋_GBK" w:eastAsia="方正仿宋_GBK" w:cs="方正仿宋_GBK"/>
          <w:sz w:val="32"/>
          <w:szCs w:val="32"/>
          <w:lang w:eastAsia="zh-CN"/>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w:t>
      </w:r>
      <w:r>
        <w:rPr>
          <w:rFonts w:hint="eastAsia" w:ascii="方正黑体_GBK" w:hAnsi="方正黑体_GBK" w:eastAsia="方正黑体_GBK" w:cs="方正黑体_GBK"/>
          <w:sz w:val="32"/>
          <w:szCs w:val="32"/>
          <w:lang w:eastAsia="zh-CN"/>
        </w:rPr>
        <w:t>财政拨款</w:t>
      </w:r>
      <w:r>
        <w:rPr>
          <w:rFonts w:hint="eastAsia" w:ascii="方正黑体_GBK" w:hAnsi="方正黑体_GBK" w:eastAsia="方正黑体_GBK" w:cs="方正黑体_GBK"/>
          <w:sz w:val="32"/>
          <w:szCs w:val="32"/>
        </w:rPr>
        <w:t>“三公”经费情况说明</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（一）“三公”经费支出总体情况说明</w:t>
      </w:r>
      <w:r>
        <w:rPr>
          <w:rFonts w:hint="eastAsia" w:ascii="方正楷体_GBK" w:hAnsi="方正楷体_GBK" w:eastAsia="方正楷体_GBK" w:cs="方正楷体_GBK"/>
          <w:sz w:val="32"/>
          <w:szCs w:val="32"/>
          <w:lang w:eastAsia="zh-CN"/>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2024年度“三公”经费支出共计10.06万元，较年初预算数减少23.94万元，下降70.4%，主要原因是</w:t>
      </w:r>
      <w:r>
        <w:rPr>
          <w:rFonts w:hint="eastAsia" w:ascii="方正仿宋_GBK" w:hAnsi="方正仿宋_GBK" w:eastAsia="方正仿宋_GBK" w:cs="方正仿宋_GBK"/>
          <w:sz w:val="32"/>
          <w:szCs w:val="32"/>
          <w:lang w:val="en-US" w:eastAsia="zh-CN"/>
        </w:rPr>
        <w:t>按照要求严控“三公”经费，减少支出</w:t>
      </w:r>
      <w:r>
        <w:rPr>
          <w:rFonts w:hint="eastAsia" w:ascii="方正仿宋_GBK" w:hAnsi="方正仿宋_GBK" w:eastAsia="方正仿宋_GBK" w:cs="方正仿宋_GBK"/>
          <w:sz w:val="32"/>
          <w:szCs w:val="32"/>
        </w:rPr>
        <w:t>。较上年支出数减少16.09万元，下降61.5%，主要原因是</w:t>
      </w:r>
      <w:r>
        <w:rPr>
          <w:rFonts w:hint="eastAsia" w:ascii="方正仿宋_GBK" w:hAnsi="方正仿宋_GBK" w:eastAsia="方正仿宋_GBK" w:cs="方正仿宋_GBK"/>
          <w:sz w:val="32"/>
          <w:szCs w:val="32"/>
          <w:lang w:val="en-US" w:eastAsia="zh-CN"/>
        </w:rPr>
        <w:t>按照要求严控“三公”经费，减少支出</w:t>
      </w:r>
      <w:r>
        <w:rPr>
          <w:rFonts w:hint="eastAsia" w:ascii="方正仿宋_GBK" w:hAnsi="方正仿宋_GBK" w:eastAsia="方正仿宋_GBK" w:cs="方正仿宋_GBK"/>
          <w:sz w:val="32"/>
          <w:szCs w:val="32"/>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（二）“三公”经费分项支出情况</w:t>
      </w:r>
      <w:r>
        <w:rPr>
          <w:rFonts w:hint="eastAsia" w:ascii="方正楷体_GBK" w:hAnsi="方正楷体_GBK" w:eastAsia="方正楷体_GBK" w:cs="方正楷体_GBK"/>
          <w:sz w:val="32"/>
          <w:szCs w:val="32"/>
          <w:lang w:eastAsia="zh-CN"/>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2024年度本部门因公出国（境）费用0.00万元，费用支出较年初预算数无增减，主要原因是</w:t>
      </w:r>
      <w:r>
        <w:rPr>
          <w:rFonts w:hint="eastAsia" w:ascii="方正仿宋_GBK" w:hAnsi="方正仿宋_GBK" w:eastAsia="方正仿宋_GBK" w:cs="方正仿宋_GBK"/>
          <w:sz w:val="32"/>
          <w:szCs w:val="32"/>
          <w:lang w:eastAsia="zh-CN"/>
        </w:rPr>
        <w:t>精准预算经费。</w:t>
      </w:r>
      <w:r>
        <w:rPr>
          <w:rFonts w:hint="eastAsia" w:ascii="方正仿宋_GBK" w:hAnsi="方正仿宋_GBK" w:eastAsia="方正仿宋_GBK" w:cs="方正仿宋_GBK"/>
          <w:sz w:val="32"/>
          <w:szCs w:val="32"/>
        </w:rPr>
        <w:t>与2023年度相比，无增减，主要原因是</w:t>
      </w:r>
      <w:r>
        <w:rPr>
          <w:rFonts w:hint="eastAsia" w:ascii="方正仿宋_GBK" w:hAnsi="方正仿宋_GBK" w:eastAsia="方正仿宋_GBK" w:cs="方正仿宋_GBK"/>
          <w:sz w:val="32"/>
          <w:szCs w:val="32"/>
          <w:lang w:val="en-US" w:eastAsia="zh-CN"/>
        </w:rPr>
        <w:t>未发生</w:t>
      </w:r>
      <w:r>
        <w:rPr>
          <w:rFonts w:hint="eastAsia" w:ascii="方正仿宋_GBK" w:hAnsi="方正仿宋_GBK" w:eastAsia="方正仿宋_GBK" w:cs="方正仿宋_GBK"/>
          <w:sz w:val="32"/>
          <w:szCs w:val="32"/>
        </w:rPr>
        <w:t>因公出国（境）</w:t>
      </w:r>
      <w:r>
        <w:rPr>
          <w:rFonts w:hint="eastAsia" w:ascii="方正仿宋_GBK" w:hAnsi="方正仿宋_GBK" w:eastAsia="方正仿宋_GBK" w:cs="方正仿宋_GBK"/>
          <w:sz w:val="32"/>
          <w:szCs w:val="32"/>
          <w:lang w:val="en-US" w:eastAsia="zh-CN"/>
        </w:rPr>
        <w:t>支出</w:t>
      </w:r>
      <w:r>
        <w:rPr>
          <w:rFonts w:hint="eastAsia" w:ascii="方正仿宋_GBK" w:hAnsi="方正仿宋_GBK" w:eastAsia="方正仿宋_GBK" w:cs="方正仿宋_GBK"/>
          <w:sz w:val="32"/>
          <w:szCs w:val="32"/>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公务</w:t>
      </w:r>
      <w:r>
        <w:rPr>
          <w:rFonts w:hint="eastAsia" w:ascii="方正仿宋_GBK" w:hAnsi="方正仿宋_GBK" w:eastAsia="方正仿宋_GBK" w:cs="方正仿宋_GBK"/>
          <w:sz w:val="32"/>
          <w:szCs w:val="32"/>
          <w:lang w:eastAsia="zh-CN"/>
        </w:rPr>
        <w:t>用</w:t>
      </w:r>
      <w:r>
        <w:rPr>
          <w:rFonts w:hint="eastAsia" w:ascii="方正仿宋_GBK" w:hAnsi="方正仿宋_GBK" w:eastAsia="方正仿宋_GBK" w:cs="方正仿宋_GBK"/>
          <w:sz w:val="32"/>
          <w:szCs w:val="32"/>
        </w:rPr>
        <w:t>车购置费0.00万元，费用支出较年初预算数无增减，主要原因是</w:t>
      </w:r>
      <w:r>
        <w:rPr>
          <w:rFonts w:hint="eastAsia" w:ascii="方正仿宋_GBK" w:hAnsi="方正仿宋_GBK" w:eastAsia="方正仿宋_GBK" w:cs="方正仿宋_GBK"/>
          <w:sz w:val="32"/>
          <w:szCs w:val="32"/>
          <w:lang w:eastAsia="zh-CN"/>
        </w:rPr>
        <w:t>精准预算经费。</w:t>
      </w:r>
      <w:r>
        <w:rPr>
          <w:rFonts w:hint="eastAsia" w:ascii="方正仿宋_GBK" w:hAnsi="方正仿宋_GBK" w:eastAsia="方正仿宋_GBK" w:cs="方正仿宋_GBK"/>
          <w:sz w:val="32"/>
          <w:szCs w:val="32"/>
        </w:rPr>
        <w:t>与2023年度相比，无增减，主要原因是</w:t>
      </w:r>
      <w:r>
        <w:rPr>
          <w:rFonts w:hint="eastAsia" w:ascii="方正仿宋_GBK" w:hAnsi="方正仿宋_GBK" w:eastAsia="方正仿宋_GBK" w:cs="方正仿宋_GBK"/>
          <w:sz w:val="32"/>
          <w:szCs w:val="32"/>
          <w:lang w:val="en-US" w:eastAsia="zh-CN"/>
        </w:rPr>
        <w:t>未发生公务车购置支出</w:t>
      </w:r>
      <w:r>
        <w:rPr>
          <w:rFonts w:hint="eastAsia" w:ascii="方正仿宋_GBK" w:hAnsi="方正仿宋_GBK" w:eastAsia="方正仿宋_GBK" w:cs="方正仿宋_GBK"/>
          <w:sz w:val="32"/>
          <w:szCs w:val="32"/>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公务</w:t>
      </w:r>
      <w:r>
        <w:rPr>
          <w:rFonts w:hint="eastAsia" w:ascii="方正仿宋_GBK" w:hAnsi="方正仿宋_GBK" w:eastAsia="方正仿宋_GBK" w:cs="方正仿宋_GBK"/>
          <w:sz w:val="32"/>
          <w:szCs w:val="32"/>
          <w:lang w:eastAsia="zh-CN"/>
        </w:rPr>
        <w:t>用</w:t>
      </w:r>
      <w:r>
        <w:rPr>
          <w:rFonts w:hint="eastAsia" w:ascii="方正仿宋_GBK" w:hAnsi="方正仿宋_GBK" w:eastAsia="方正仿宋_GBK" w:cs="方正仿宋_GBK"/>
          <w:sz w:val="32"/>
          <w:szCs w:val="32"/>
        </w:rPr>
        <w:t>车运行维护费9.06万元，主要用于</w:t>
      </w:r>
      <w:r>
        <w:rPr>
          <w:rFonts w:hint="eastAsia" w:ascii="方正仿宋_GBK" w:hAnsi="方正仿宋_GBK" w:eastAsia="方正仿宋_GBK" w:cs="方正仿宋_GBK"/>
          <w:sz w:val="32"/>
          <w:szCs w:val="32"/>
          <w:lang w:val="en-US" w:eastAsia="zh-CN"/>
        </w:rPr>
        <w:t>公务车</w:t>
      </w:r>
      <w:r>
        <w:rPr>
          <w:rFonts w:hint="eastAsia" w:ascii="方正仿宋_GBK" w:hAnsi="方正仿宋_GBK" w:eastAsia="方正仿宋_GBK" w:cs="方正仿宋_GBK"/>
          <w:sz w:val="32"/>
          <w:szCs w:val="32"/>
        </w:rPr>
        <w:t>燃料费、维修维护费、保险费等。费用支出较年初预算数减少20.94万元，下降69.8%，主要原因是</w:t>
      </w:r>
      <w:r>
        <w:rPr>
          <w:rFonts w:hint="eastAsia" w:ascii="方正仿宋_GBK" w:hAnsi="方正仿宋_GBK" w:eastAsia="方正仿宋_GBK" w:cs="方正仿宋_GBK"/>
          <w:sz w:val="32"/>
          <w:szCs w:val="32"/>
          <w:lang w:val="en-US" w:eastAsia="zh-CN"/>
        </w:rPr>
        <w:t>按照要求严控公务车运行经费，减少支出</w:t>
      </w:r>
      <w:r>
        <w:rPr>
          <w:rFonts w:hint="eastAsia" w:ascii="方正仿宋_GBK" w:hAnsi="方正仿宋_GBK" w:eastAsia="方正仿宋_GBK" w:cs="方正仿宋_GBK"/>
          <w:sz w:val="32"/>
          <w:szCs w:val="32"/>
        </w:rPr>
        <w:t>。较上年支出数减少16.30万元，下降64.3%，主要原因是</w:t>
      </w:r>
      <w:r>
        <w:rPr>
          <w:rFonts w:hint="eastAsia" w:ascii="方正仿宋_GBK" w:hAnsi="方正仿宋_GBK" w:eastAsia="方正仿宋_GBK" w:cs="方正仿宋_GBK"/>
          <w:sz w:val="32"/>
          <w:szCs w:val="32"/>
          <w:lang w:val="en-US" w:eastAsia="zh-CN"/>
        </w:rPr>
        <w:t>按照要求严控公务车运行经费，减少支出</w:t>
      </w:r>
      <w:r>
        <w:rPr>
          <w:rFonts w:hint="eastAsia" w:ascii="方正仿宋_GBK" w:hAnsi="方正仿宋_GBK" w:eastAsia="方正仿宋_GBK" w:cs="方正仿宋_GBK"/>
          <w:sz w:val="32"/>
          <w:szCs w:val="32"/>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公务接待费1.01万元，主要用于接待相关部门检查指导工作</w:t>
      </w:r>
      <w:r>
        <w:rPr>
          <w:rFonts w:hint="eastAsia" w:ascii="方正仿宋_GBK" w:hAnsi="方正仿宋_GBK" w:eastAsia="方正仿宋_GBK" w:cs="方正仿宋_GBK"/>
          <w:sz w:val="32"/>
          <w:szCs w:val="32"/>
          <w:lang w:val="en-US" w:eastAsia="zh-CN"/>
        </w:rPr>
        <w:t>和</w:t>
      </w:r>
      <w:r>
        <w:rPr>
          <w:rFonts w:hint="eastAsia" w:ascii="方正仿宋_GBK" w:hAnsi="方正仿宋_GBK" w:eastAsia="方正仿宋_GBK" w:cs="方正仿宋_GBK"/>
          <w:sz w:val="32"/>
          <w:szCs w:val="32"/>
        </w:rPr>
        <w:t>发展招商引资等经济业务所发生的接待支出。费用支出较年初预算数减少2.99万元，下降74.8%，主要原因是</w:t>
      </w:r>
      <w:r>
        <w:rPr>
          <w:rFonts w:hint="eastAsia" w:ascii="方正仿宋_GBK" w:hAnsi="方正仿宋_GBK" w:eastAsia="方正仿宋_GBK" w:cs="方正仿宋_GBK"/>
          <w:sz w:val="32"/>
          <w:szCs w:val="32"/>
          <w:lang w:val="en-US" w:eastAsia="zh-CN"/>
        </w:rPr>
        <w:t>按照要求严控公务接待费，减少支出</w:t>
      </w:r>
      <w:r>
        <w:rPr>
          <w:rFonts w:hint="eastAsia" w:ascii="方正仿宋_GBK" w:hAnsi="方正仿宋_GBK" w:eastAsia="方正仿宋_GBK" w:cs="方正仿宋_GBK"/>
          <w:sz w:val="32"/>
          <w:szCs w:val="32"/>
        </w:rPr>
        <w:t>。较上年支出数增加0.22万元，增长27.9%，主要原因是接待相关部门检查指导工作</w:t>
      </w:r>
      <w:r>
        <w:rPr>
          <w:rFonts w:hint="eastAsia" w:ascii="方正仿宋_GBK" w:hAnsi="方正仿宋_GBK" w:eastAsia="方正仿宋_GBK" w:cs="方正仿宋_GBK"/>
          <w:sz w:val="32"/>
          <w:szCs w:val="32"/>
          <w:lang w:val="en-US" w:eastAsia="zh-CN"/>
        </w:rPr>
        <w:t>和</w:t>
      </w:r>
      <w:r>
        <w:rPr>
          <w:rFonts w:hint="eastAsia" w:ascii="方正仿宋_GBK" w:hAnsi="方正仿宋_GBK" w:eastAsia="方正仿宋_GBK" w:cs="方正仿宋_GBK"/>
          <w:sz w:val="32"/>
          <w:szCs w:val="32"/>
        </w:rPr>
        <w:t>发展招商引资等经济业务</w:t>
      </w:r>
      <w:r>
        <w:rPr>
          <w:rFonts w:hint="eastAsia" w:ascii="方正仿宋_GBK" w:hAnsi="方正仿宋_GBK" w:eastAsia="方正仿宋_GBK" w:cs="方正仿宋_GBK"/>
          <w:sz w:val="32"/>
          <w:szCs w:val="32"/>
          <w:lang w:eastAsia="zh-CN"/>
        </w:rPr>
        <w:t>的次数增加。</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（三）“三公”经费实物量情况</w:t>
      </w:r>
      <w:r>
        <w:rPr>
          <w:rFonts w:hint="eastAsia" w:ascii="方正楷体_GBK" w:hAnsi="方正楷体_GBK" w:eastAsia="方正楷体_GBK" w:cs="方正楷体_GBK"/>
          <w:sz w:val="32"/>
          <w:szCs w:val="32"/>
          <w:lang w:eastAsia="zh-CN"/>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2024年度本部门因公出国（境）共计0个团组，0人；公务用车购置0辆，公务车保有量为6辆；国内公务接待9批次130人，其中：国内外事接待0批次，0人；国（境）外公务接待0批次，0人。2024年本部门人均接待费77.58元，车均购置费0万元，车均维护费1.51万元。</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四、其他需要说明的事项</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（一）财政拨款会议费、培训费和差旅费情况说明</w:t>
      </w:r>
      <w:r>
        <w:rPr>
          <w:rFonts w:hint="eastAsia" w:ascii="方正楷体_GBK" w:hAnsi="方正楷体_GBK" w:eastAsia="方正楷体_GBK" w:cs="方正楷体_GBK"/>
          <w:sz w:val="32"/>
          <w:szCs w:val="32"/>
          <w:lang w:eastAsia="zh-CN"/>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本年度会议费支出0.74万元，与2023年度相比，减少7.02万元，下降90.5%，主要原因是</w:t>
      </w:r>
      <w:r>
        <w:rPr>
          <w:rFonts w:hint="eastAsia" w:ascii="方正仿宋_GBK" w:hAnsi="方正仿宋_GBK" w:eastAsia="方正仿宋_GBK" w:cs="方正仿宋_GBK"/>
          <w:sz w:val="32"/>
          <w:szCs w:val="32"/>
          <w:lang w:val="en-US" w:eastAsia="zh-CN"/>
        </w:rPr>
        <w:t>按照要求严控会议费，减少支出</w:t>
      </w:r>
      <w:r>
        <w:rPr>
          <w:rFonts w:hint="eastAsia" w:ascii="方正仿宋_GBK" w:hAnsi="方正仿宋_GBK" w:eastAsia="方正仿宋_GBK" w:cs="方正仿宋_GBK"/>
          <w:sz w:val="32"/>
          <w:szCs w:val="32"/>
        </w:rPr>
        <w:t>。本年度培训费支出12.08万元，与2023年度相比，增加1.38万元，增长12.9%，主要原因是</w:t>
      </w:r>
      <w:r>
        <w:rPr>
          <w:rFonts w:hint="eastAsia" w:ascii="方正仿宋_GBK" w:hAnsi="方正仿宋_GBK" w:eastAsia="方正仿宋_GBK" w:cs="方正仿宋_GBK"/>
          <w:sz w:val="32"/>
          <w:szCs w:val="32"/>
          <w:lang w:eastAsia="zh-CN"/>
        </w:rPr>
        <w:t>培训价格上涨。</w:t>
      </w:r>
      <w:r>
        <w:rPr>
          <w:rFonts w:hint="eastAsia" w:ascii="方正仿宋_GBK" w:hAnsi="方正仿宋_GBK" w:eastAsia="方正仿宋_GBK" w:cs="方正仿宋_GBK"/>
          <w:sz w:val="32"/>
          <w:szCs w:val="32"/>
        </w:rPr>
        <w:t>本年度差旅费支出2.90万元，与2023年度相比，减少55.96万元，下降95.1%，主要原因是</w:t>
      </w:r>
      <w:r>
        <w:rPr>
          <w:rFonts w:hint="eastAsia" w:ascii="方正仿宋_GBK" w:hAnsi="方正仿宋_GBK" w:eastAsia="方正仿宋_GBK" w:cs="方正仿宋_GBK"/>
          <w:sz w:val="32"/>
          <w:szCs w:val="32"/>
          <w:lang w:val="en-US" w:eastAsia="zh-CN"/>
        </w:rPr>
        <w:t>按照要求严控差旅费费，减少支出</w:t>
      </w:r>
      <w:r>
        <w:rPr>
          <w:rFonts w:hint="eastAsia" w:ascii="方正仿宋_GBK" w:hAnsi="方正仿宋_GBK" w:eastAsia="方正仿宋_GBK" w:cs="方正仿宋_GBK"/>
          <w:sz w:val="32"/>
          <w:szCs w:val="32"/>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楷体_GBK" w:cs="方正仿宋_GBK"/>
          <w:sz w:val="32"/>
          <w:szCs w:val="32"/>
          <w:lang w:eastAsia="zh-CN"/>
        </w:rPr>
      </w:pPr>
      <w:r>
        <w:rPr>
          <w:rFonts w:hint="eastAsia" w:ascii="方正楷体_GBK" w:hAnsi="方正楷体_GBK" w:eastAsia="方正楷体_GBK" w:cs="方正楷体_GBK"/>
          <w:sz w:val="32"/>
          <w:szCs w:val="32"/>
        </w:rPr>
        <w:t>（二）机关运行经费情况说明</w:t>
      </w:r>
      <w:r>
        <w:rPr>
          <w:rFonts w:hint="eastAsia" w:ascii="方正楷体_GBK" w:hAnsi="方正楷体_GBK" w:eastAsia="方正楷体_GBK" w:cs="方正楷体_GBK"/>
          <w:sz w:val="32"/>
          <w:szCs w:val="32"/>
          <w:lang w:eastAsia="zh-CN"/>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2024年度本部门机关运行经费支出183.74万元，机关运行经费主要用于开支</w:t>
      </w:r>
      <w:r>
        <w:rPr>
          <w:rFonts w:hint="eastAsia" w:ascii="方正仿宋_GBK" w:hAnsi="方正仿宋_GBK" w:eastAsia="方正仿宋_GBK" w:cs="方正仿宋_GBK"/>
          <w:sz w:val="32"/>
          <w:szCs w:val="32"/>
          <w:lang w:val="en-US" w:eastAsia="zh-CN"/>
        </w:rPr>
        <w:t>办公费、水电费、邮电费、会议费、培训费、公务接待费、劳务费、工会经费、福利费、公务用车运行维护费、其他交通费用、其他商品和服务支出、办公设备购置</w:t>
      </w:r>
      <w:r>
        <w:rPr>
          <w:rFonts w:hint="eastAsia" w:ascii="方正仿宋_GBK" w:hAnsi="方正仿宋_GBK" w:eastAsia="方正仿宋_GBK" w:cs="方正仿宋_GBK"/>
          <w:sz w:val="32"/>
          <w:szCs w:val="32"/>
        </w:rPr>
        <w:t>。机关运行经费较上年支出数减少29.16万元，下降13.7%，主要原因是</w:t>
      </w:r>
      <w:r>
        <w:rPr>
          <w:rFonts w:hint="eastAsia" w:ascii="方正仿宋_GBK" w:hAnsi="方正仿宋_GBK" w:eastAsia="方正仿宋_GBK" w:cs="方正仿宋_GBK"/>
          <w:sz w:val="32"/>
          <w:szCs w:val="32"/>
          <w:lang w:val="en-US" w:eastAsia="zh-CN"/>
        </w:rPr>
        <w:t>按照要求严控机关运行经费，减少支出</w:t>
      </w:r>
      <w:r>
        <w:rPr>
          <w:rFonts w:hint="eastAsia" w:ascii="方正仿宋_GBK" w:hAnsi="方正仿宋_GBK" w:eastAsia="方正仿宋_GBK" w:cs="方正仿宋_GBK"/>
          <w:sz w:val="32"/>
          <w:szCs w:val="32"/>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楷体_GBK" w:cs="方正仿宋_GBK"/>
          <w:sz w:val="32"/>
          <w:szCs w:val="32"/>
          <w:lang w:eastAsia="zh-CN"/>
        </w:rPr>
      </w:pPr>
      <w:r>
        <w:rPr>
          <w:rFonts w:hint="eastAsia" w:ascii="方正楷体_GBK" w:hAnsi="方正楷体_GBK" w:eastAsia="方正楷体_GBK" w:cs="方正楷体_GBK"/>
          <w:sz w:val="32"/>
          <w:szCs w:val="32"/>
        </w:rPr>
        <w:t>（三）国有资产占用情况说明</w:t>
      </w:r>
      <w:r>
        <w:rPr>
          <w:rFonts w:hint="eastAsia" w:ascii="方正楷体_GBK" w:hAnsi="方正楷体_GBK" w:eastAsia="方正楷体_GBK" w:cs="方正楷体_GBK"/>
          <w:sz w:val="32"/>
          <w:szCs w:val="32"/>
          <w:lang w:eastAsia="zh-CN"/>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截至2024年12月31日，本部门共有车辆7辆，其中，副部（省）级及以上领导用车0辆、主要负责人用车0辆、机要通信用车0辆、应急保障用车2辆、执法执勤用车0辆，特种专业技术用车5辆，离退休干部用车0辆。单价100万元（含）以上专用设备0台（套）。</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（四）政府采购支出情况说明</w:t>
      </w:r>
      <w:r>
        <w:rPr>
          <w:rFonts w:hint="eastAsia" w:ascii="方正楷体_GBK" w:hAnsi="方正楷体_GBK" w:eastAsia="方正楷体_GBK" w:cs="方正楷体_GBK"/>
          <w:sz w:val="32"/>
          <w:szCs w:val="32"/>
          <w:lang w:eastAsia="zh-CN"/>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2024年度本部门政府采购支出总额4.49万元，其中：政府采购货物支出4.49万元、政府采购工程支出0.00万元、政府采购服务支出0.00万元。授予中小企业合同金额4.49万元，占政府采购支出总额的100.0%，其中：授予小微企业合同金额4.49万元，占政府采购支出总额的100.0 %。主要用于采购</w:t>
      </w:r>
      <w:r>
        <w:rPr>
          <w:rFonts w:hint="eastAsia" w:ascii="方正仿宋_GBK" w:hAnsi="方正仿宋_GBK" w:eastAsia="方正仿宋_GBK" w:cs="方正仿宋_GBK"/>
          <w:sz w:val="32"/>
          <w:szCs w:val="32"/>
          <w:lang w:eastAsia="zh-CN"/>
        </w:rPr>
        <w:t>打印纸及其他日常办公设备。</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五、预算绩效管理情况说明</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（一）部门绩效自评情况。</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根据预算绩效管理要求，我部门对部门整体绩效自评，涉及</w:t>
      </w:r>
      <w:r>
        <w:rPr>
          <w:rFonts w:hint="eastAsia" w:ascii="方正仿宋_GBK" w:hAnsi="方正仿宋_GBK" w:eastAsia="方正仿宋_GBK" w:cs="方正仿宋_GBK"/>
          <w:sz w:val="32"/>
          <w:szCs w:val="32"/>
          <w:lang w:val="en-US" w:eastAsia="zh-CN"/>
        </w:rPr>
        <w:t>财政拨款</w:t>
      </w:r>
      <w:r>
        <w:rPr>
          <w:rFonts w:hint="eastAsia" w:ascii="方正仿宋_GBK" w:hAnsi="方正仿宋_GBK" w:eastAsia="方正仿宋_GBK" w:cs="方正仿宋_GBK"/>
          <w:sz w:val="32"/>
          <w:szCs w:val="32"/>
        </w:rPr>
        <w:t>资金</w:t>
      </w:r>
      <w:r>
        <w:rPr>
          <w:rFonts w:hint="eastAsia" w:ascii="方正仿宋_GBK" w:hAnsi="方正仿宋_GBK" w:eastAsia="方正仿宋_GBK" w:cs="方正仿宋_GBK"/>
          <w:sz w:val="32"/>
          <w:szCs w:val="32"/>
          <w:lang w:val="en-US" w:eastAsia="zh-CN"/>
        </w:rPr>
        <w:t>4652.54</w:t>
      </w:r>
      <w:r>
        <w:rPr>
          <w:rFonts w:hint="eastAsia" w:ascii="方正仿宋_GBK" w:hAnsi="方正仿宋_GBK" w:eastAsia="方正仿宋_GBK" w:cs="方正仿宋_GBK"/>
          <w:sz w:val="32"/>
          <w:szCs w:val="32"/>
        </w:rPr>
        <w:t>万元</w:t>
      </w:r>
      <w:r>
        <w:rPr>
          <w:rFonts w:hint="eastAsia" w:ascii="方正仿宋_GBK" w:hAnsi="方正仿宋_GBK" w:eastAsia="方正仿宋_GBK" w:cs="方正仿宋_GBK"/>
          <w:sz w:val="32"/>
          <w:szCs w:val="32"/>
          <w:lang w:eastAsia="zh-CN"/>
        </w:rPr>
        <w:t>。部门整体绩效自评表详见附表。</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（二）部门绩效评价情况。</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我部门组织对部门整体开展了绩效评价，涉及财政拨款项目资金4652.54万元，评价得分100分，评价等次为优。</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（三）财政绩效评价情况</w:t>
      </w:r>
      <w:r>
        <w:rPr>
          <w:rFonts w:hint="eastAsia" w:ascii="方正楷体_GBK" w:hAnsi="方正楷体_GBK" w:eastAsia="方正楷体_GBK" w:cs="方正楷体_GBK"/>
          <w:sz w:val="32"/>
          <w:szCs w:val="32"/>
          <w:lang w:eastAsia="zh-CN"/>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区</w:t>
      </w:r>
      <w:r>
        <w:rPr>
          <w:rFonts w:hint="eastAsia" w:ascii="方正仿宋_GBK" w:hAnsi="方正仿宋_GBK" w:eastAsia="方正仿宋_GBK" w:cs="方正仿宋_GBK"/>
          <w:sz w:val="32"/>
          <w:szCs w:val="32"/>
          <w:lang w:eastAsia="zh-CN"/>
        </w:rPr>
        <w:t>财政局未委托第三方对我部门开展绩效评价。</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lang w:eastAsia="zh-CN"/>
        </w:rPr>
        <w:t>六</w:t>
      </w:r>
      <w:r>
        <w:rPr>
          <w:rFonts w:hint="eastAsia" w:ascii="方正黑体_GBK" w:hAnsi="方正黑体_GBK" w:eastAsia="方正黑体_GBK" w:cs="方正黑体_GBK"/>
          <w:sz w:val="32"/>
          <w:szCs w:val="32"/>
        </w:rPr>
        <w:t>、专业名词解释</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（一）财政拨款收入：</w:t>
      </w:r>
      <w:r>
        <w:rPr>
          <w:rFonts w:hint="eastAsia" w:ascii="方正仿宋_GBK" w:hAnsi="方正仿宋_GBK" w:eastAsia="方正仿宋_GBK" w:cs="方正仿宋_GBK"/>
          <w:sz w:val="32"/>
          <w:szCs w:val="32"/>
        </w:rPr>
        <w:t>指本年度从本级财政部门取得的财政拨款。</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（二）事业收入：</w:t>
      </w:r>
      <w:r>
        <w:rPr>
          <w:rFonts w:hint="eastAsia" w:ascii="方正仿宋_GBK" w:hAnsi="方正仿宋_GBK" w:eastAsia="方正仿宋_GBK" w:cs="方正仿宋_GBK"/>
          <w:sz w:val="32"/>
          <w:szCs w:val="32"/>
        </w:rPr>
        <w:t>指事业单位开展专业业务活动及其辅助活动取得的</w:t>
      </w:r>
      <w:r>
        <w:rPr>
          <w:rFonts w:hint="eastAsia" w:ascii="方正仿宋_GBK" w:hAnsi="方正仿宋_GBK" w:eastAsia="方正仿宋_GBK" w:cs="方正仿宋_GBK"/>
          <w:sz w:val="32"/>
          <w:szCs w:val="32"/>
          <w:lang w:eastAsia="zh-CN"/>
        </w:rPr>
        <w:t>收入</w:t>
      </w:r>
      <w:r>
        <w:rPr>
          <w:rFonts w:hint="eastAsia" w:ascii="方正仿宋_GBK" w:hAnsi="方正仿宋_GBK" w:eastAsia="方正仿宋_GBK" w:cs="方正仿宋_GBK"/>
          <w:sz w:val="32"/>
          <w:szCs w:val="32"/>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（三）经营收入：</w:t>
      </w:r>
      <w:r>
        <w:rPr>
          <w:rFonts w:hint="eastAsia" w:ascii="方正仿宋_GBK" w:hAnsi="方正仿宋_GBK" w:eastAsia="方正仿宋_GBK" w:cs="方正仿宋_GBK"/>
          <w:sz w:val="32"/>
          <w:szCs w:val="32"/>
        </w:rPr>
        <w:t>指事业单位在专业业务活动及其辅助活动之外开展非独立核算经营活动取得的</w:t>
      </w:r>
      <w:r>
        <w:rPr>
          <w:rFonts w:hint="eastAsia" w:ascii="方正仿宋_GBK" w:hAnsi="方正仿宋_GBK" w:eastAsia="方正仿宋_GBK" w:cs="方正仿宋_GBK"/>
          <w:sz w:val="32"/>
          <w:szCs w:val="32"/>
          <w:lang w:eastAsia="zh-CN"/>
        </w:rPr>
        <w:t>收入</w:t>
      </w:r>
      <w:r>
        <w:rPr>
          <w:rFonts w:hint="eastAsia" w:ascii="方正仿宋_GBK" w:hAnsi="方正仿宋_GBK" w:eastAsia="方正仿宋_GBK" w:cs="方正仿宋_GBK"/>
          <w:sz w:val="32"/>
          <w:szCs w:val="32"/>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（四）其他收入：</w:t>
      </w:r>
      <w:r>
        <w:rPr>
          <w:rFonts w:hint="eastAsia" w:ascii="方正仿宋_GBK" w:hAnsi="方正仿宋_GBK" w:eastAsia="方正仿宋_GBK" w:cs="方正仿宋_GBK"/>
          <w:sz w:val="32"/>
          <w:szCs w:val="32"/>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（五）使用非财政拨款结余</w:t>
      </w:r>
      <w:r>
        <w:rPr>
          <w:rFonts w:hint="eastAsia" w:ascii="方正楷体_GBK" w:hAnsi="方正楷体_GBK" w:eastAsia="方正楷体_GBK" w:cs="方正楷体_GBK"/>
          <w:sz w:val="32"/>
          <w:szCs w:val="32"/>
          <w:lang w:eastAsia="zh-CN"/>
        </w:rPr>
        <w:t>（含专用结余）</w:t>
      </w:r>
      <w:r>
        <w:rPr>
          <w:rFonts w:hint="eastAsia" w:ascii="方正楷体_GBK" w:hAnsi="方正楷体_GBK" w:eastAsia="方正楷体_GBK" w:cs="方正楷体_GBK"/>
          <w:sz w:val="32"/>
          <w:szCs w:val="32"/>
        </w:rPr>
        <w:t>：</w:t>
      </w:r>
      <w:r>
        <w:rPr>
          <w:rFonts w:hint="eastAsia" w:ascii="方正仿宋_GBK" w:hAnsi="方正仿宋_GBK" w:eastAsia="方正仿宋_GBK" w:cs="方正仿宋_GBK"/>
          <w:sz w:val="32"/>
          <w:szCs w:val="32"/>
        </w:rPr>
        <w:t>指</w:t>
      </w:r>
      <w:r>
        <w:rPr>
          <w:rFonts w:hint="eastAsia" w:ascii="方正仿宋_GBK" w:hAnsi="方正仿宋_GBK" w:eastAsia="方正仿宋_GBK" w:cs="方正仿宋_GBK"/>
          <w:sz w:val="32"/>
          <w:szCs w:val="32"/>
          <w:lang w:eastAsia="zh-CN"/>
        </w:rPr>
        <w:t>事业单位按照预算管理要求使用非财政拨款结余弥补收支差额的金额，以及使用专用结余安排支出的金额。</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（六）年初结转和结余：</w:t>
      </w:r>
      <w:r>
        <w:rPr>
          <w:rFonts w:hint="eastAsia" w:ascii="方正仿宋_GBK" w:hAnsi="方正仿宋_GBK" w:eastAsia="方正仿宋_GBK" w:cs="方正仿宋_GBK"/>
          <w:sz w:val="32"/>
          <w:szCs w:val="32"/>
        </w:rPr>
        <w:t>指单位上年结转本年使用的基本支出结转、项目支出结转和结余、经营结余。</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（七）结余分配：</w:t>
      </w:r>
      <w:r>
        <w:rPr>
          <w:rFonts w:hint="eastAsia" w:ascii="方正仿宋_GBK" w:hAnsi="方正仿宋_GBK" w:eastAsia="方正仿宋_GBK" w:cs="方正仿宋_GBK"/>
          <w:sz w:val="32"/>
          <w:szCs w:val="32"/>
        </w:rPr>
        <w:t>指单位按照国家有关规定，缴纳所得税、提取专用基金、转入非财政拨款结余等当年结余的分配情况。</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（八）年末结转和结余：</w:t>
      </w:r>
      <w:r>
        <w:rPr>
          <w:rFonts w:hint="eastAsia" w:ascii="方正仿宋_GBK" w:hAnsi="方正仿宋_GBK" w:eastAsia="方正仿宋_GBK" w:cs="方正仿宋_GBK"/>
          <w:sz w:val="32"/>
          <w:szCs w:val="32"/>
        </w:rPr>
        <w:t>指单位结转下年的基本支出结转、项目支出结转和结余、经营结余。</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（九）基本支出：</w:t>
      </w:r>
      <w:r>
        <w:rPr>
          <w:rFonts w:hint="eastAsia" w:ascii="方正仿宋_GBK" w:hAnsi="方正仿宋_GBK" w:eastAsia="方正仿宋_GBK" w:cs="方正仿宋_GBK"/>
          <w:sz w:val="32"/>
          <w:szCs w:val="3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（十）项目支出：</w:t>
      </w:r>
      <w:r>
        <w:rPr>
          <w:rFonts w:hint="eastAsia" w:ascii="方正仿宋_GBK" w:hAnsi="方正仿宋_GBK" w:eastAsia="方正仿宋_GBK" w:cs="方正仿宋_GBK"/>
          <w:sz w:val="32"/>
          <w:szCs w:val="32"/>
        </w:rPr>
        <w:t>指在基本支出之外为完成特定行政任务和事业发展目标所发生的支出。</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（十一）经营支出：</w:t>
      </w:r>
      <w:r>
        <w:rPr>
          <w:rFonts w:hint="eastAsia" w:ascii="方正仿宋_GBK" w:hAnsi="方正仿宋_GBK" w:eastAsia="方正仿宋_GBK" w:cs="方正仿宋_GBK"/>
          <w:sz w:val="32"/>
          <w:szCs w:val="32"/>
        </w:rPr>
        <w:t>指事业单位在专业业务活动及其辅助活动之外开展非独立核算经营活动发生的支出。</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（十二）“三公”经费：</w:t>
      </w:r>
      <w:r>
        <w:rPr>
          <w:rFonts w:hint="eastAsia" w:ascii="方正仿宋_GBK" w:hAnsi="方正仿宋_GBK" w:eastAsia="方正仿宋_GBK" w:cs="方正仿宋_GBK"/>
          <w:sz w:val="32"/>
          <w:szCs w:val="32"/>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（十三）机关运行经费：</w:t>
      </w:r>
      <w:r>
        <w:rPr>
          <w:rFonts w:hint="eastAsia" w:ascii="方正仿宋_GBK" w:hAnsi="方正仿宋_GBK" w:eastAsia="方正仿宋_GBK" w:cs="方正仿宋_GBK"/>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（十四）工资福利支出（支出经济分类科目类级）：</w:t>
      </w:r>
      <w:r>
        <w:rPr>
          <w:rFonts w:hint="eastAsia" w:ascii="方正仿宋_GBK" w:hAnsi="方正仿宋_GBK" w:eastAsia="方正仿宋_GBK" w:cs="方正仿宋_GBK"/>
          <w:sz w:val="32"/>
          <w:szCs w:val="32"/>
        </w:rPr>
        <w:t>反映单位开支的在职职工和编制外长期聘用人员的各类劳动报酬，以及为上述人员缴纳的各项社会保险费等。</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（十五）商品和服务支出（支出经济分类科目类级）：</w:t>
      </w:r>
      <w:r>
        <w:rPr>
          <w:rFonts w:hint="eastAsia" w:ascii="方正仿宋_GBK" w:hAnsi="方正仿宋_GBK" w:eastAsia="方正仿宋_GBK" w:cs="方正仿宋_GBK"/>
          <w:sz w:val="32"/>
          <w:szCs w:val="32"/>
        </w:rPr>
        <w:t>反映单位购买商品和服务的支出（不包括用于购置固定资产的支出、战略性和应急储备支出）。</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（十六）对个人和家庭的补助（支出经济分类科目类级）：</w:t>
      </w:r>
      <w:r>
        <w:rPr>
          <w:rFonts w:hint="eastAsia" w:ascii="方正仿宋_GBK" w:hAnsi="方正仿宋_GBK" w:eastAsia="方正仿宋_GBK" w:cs="方正仿宋_GBK"/>
          <w:sz w:val="32"/>
          <w:szCs w:val="32"/>
        </w:rPr>
        <w:t>反映用于对个人和家庭的补助支出。</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（十七）其他资本性支出（支出经济分类科目类级）：</w:t>
      </w:r>
      <w:r>
        <w:rPr>
          <w:rFonts w:hint="eastAsia" w:ascii="方正仿宋_GBK" w:hAnsi="方正仿宋_GBK" w:eastAsia="方正仿宋_GBK" w:cs="方正仿宋_GBK"/>
          <w:sz w:val="32"/>
          <w:szCs w:val="32"/>
        </w:rPr>
        <w:t>反映非各级发展与改革部门集中安排的用于购置固定资产、战略性和应急性储备、土地和无形资产，以及构建基础设施、大型修缮和财政支持企业更新改造所发生的支出。</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七</w:t>
      </w:r>
      <w:r>
        <w:rPr>
          <w:rFonts w:hint="eastAsia" w:ascii="方正黑体_GBK" w:hAnsi="方正黑体_GBK" w:eastAsia="方正黑体_GBK" w:cs="方正黑体_GBK"/>
          <w:sz w:val="32"/>
          <w:szCs w:val="32"/>
        </w:rPr>
        <w:t>、决算公开联系方式及信息反馈渠道</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本部门决算公开信息反馈和联系方式：郎成，023-46212076</w:t>
      </w:r>
    </w:p>
    <w:p>
      <w:pPr>
        <w:keepNext w:val="0"/>
        <w:keepLines w:val="0"/>
        <w:pageBreakBefore w:val="0"/>
        <w:widowControl/>
        <w:kinsoku/>
        <w:wordWrap/>
        <w:overflowPunct/>
        <w:topLinePunct w:val="0"/>
        <w:autoSpaceDE/>
        <w:autoSpaceDN/>
        <w:bidi w:val="0"/>
        <w:adjustRightInd/>
        <w:snapToGrid w:val="0"/>
        <w:jc w:val="both"/>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kinsoku/>
        <w:wordWrap/>
        <w:overflowPunct/>
        <w:topLinePunct w:val="0"/>
        <w:autoSpaceDE/>
        <w:autoSpaceDN/>
        <w:bidi w:val="0"/>
        <w:adjustRightInd/>
        <w:snapToGrid w:val="0"/>
        <w:ind w:left="1598" w:leftChars="266" w:hanging="960" w:hangingChars="300"/>
        <w:jc w:val="both"/>
        <w:textAlignment w:val="auto"/>
        <w:rPr>
          <w:rFonts w:hint="eastAsia" w:ascii="方正仿宋_GBK" w:hAnsi="方正仿宋_GBK" w:eastAsia="方正仿宋_GBK" w:cs="方正仿宋_GBK"/>
          <w:sz w:val="32"/>
          <w:szCs w:val="32"/>
          <w:lang w:val="en-US" w:eastAsia="zh-CN"/>
        </w:rPr>
        <w:sectPr>
          <w:footerReference r:id="rId3" w:type="default"/>
          <w:pgSz w:w="11915" w:h="16840"/>
          <w:pgMar w:top="2098" w:right="1474" w:bottom="1984" w:left="1587" w:header="851" w:footer="992" w:gutter="0"/>
          <w:pgNumType w:fmt="numberInDash"/>
          <w:cols w:space="720" w:num="1"/>
          <w:docGrid w:type="lines" w:linePitch="312" w:charSpace="0"/>
        </w:sectPr>
      </w:pPr>
      <w:r>
        <w:rPr>
          <w:rFonts w:hint="eastAsia" w:ascii="方正仿宋_GBK" w:hAnsi="方正仿宋_GBK" w:eastAsia="方正仿宋_GBK" w:cs="方正仿宋_GBK"/>
          <w:sz w:val="32"/>
          <w:szCs w:val="32"/>
          <w:lang w:val="en-US" w:eastAsia="zh-CN"/>
        </w:rPr>
        <w:t>附件：重庆市荣昌区人民政府峰高街道办事处2024年度部门决算公开报表</w:t>
      </w:r>
    </w:p>
    <w:tbl>
      <w:tblPr>
        <w:tblStyle w:val="7"/>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部门：</w:t>
            </w:r>
            <w:r>
              <w:rPr>
                <w:sz w:val="20"/>
                <w:u w:color="auto"/>
              </w:rPr>
              <w:t>重庆市荣昌区人民政府峰高街道办事处</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4,366.58</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1,252.69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83.76</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79.87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786.45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154.87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112.31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453.28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1,294.71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198.99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50.64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189.46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62.18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4,450.34</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4,652.54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202.21</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4,652.54</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4,652.54</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03" w:type="dxa"/>
        <w:tblInd w:w="0" w:type="dxa"/>
        <w:tblLayout w:type="fixed"/>
        <w:tblCellMar>
          <w:top w:w="0" w:type="dxa"/>
          <w:left w:w="0" w:type="dxa"/>
          <w:bottom w:w="0" w:type="dxa"/>
          <w:right w:w="0" w:type="dxa"/>
        </w:tblCellMar>
      </w:tblPr>
      <w:tblGrid>
        <w:gridCol w:w="1436"/>
        <w:gridCol w:w="3116"/>
        <w:gridCol w:w="1349"/>
        <w:gridCol w:w="1408"/>
        <w:gridCol w:w="1228"/>
        <w:gridCol w:w="1228"/>
        <w:gridCol w:w="1361"/>
        <w:gridCol w:w="1299"/>
        <w:gridCol w:w="1432"/>
        <w:gridCol w:w="1646"/>
      </w:tblGrid>
      <w:tr>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5901"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部门：</w:t>
            </w:r>
            <w:r>
              <w:rPr>
                <w:sz w:val="20"/>
                <w:u w:color="auto"/>
              </w:rPr>
              <w:t>重庆市荣昌区人民政府峰高街道办事处</w:t>
            </w:r>
          </w:p>
        </w:tc>
        <w:tc>
          <w:tcPr>
            <w:tcW w:w="140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6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3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4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5901"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0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6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3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4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4552"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1436"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116"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5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4,450.34</w:t>
            </w:r>
            <w:r>
              <w:rPr>
                <w:rFonts w:ascii="Times New Roman" w:hAnsi="Times New Roman"/>
                <w:b/>
                <w:color w:val="000000"/>
                <w:sz w:val="20"/>
                <w:u w:color="auto"/>
              </w:rPr>
              <w:t xml:space="preserve"> </w:t>
            </w:r>
          </w:p>
        </w:tc>
        <w:tc>
          <w:tcPr>
            <w:tcW w:w="14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4,450.34</w:t>
            </w:r>
            <w:r>
              <w:rPr>
                <w:rFonts w:ascii="Times New Roman" w:hAnsi="Times New Roman"/>
                <w:b/>
                <w:color w:val="000000"/>
                <w:sz w:val="20"/>
                <w:u w:color="auto"/>
              </w:rPr>
              <w:t xml:space="preserve"> </w:t>
            </w:r>
          </w:p>
        </w:tc>
        <w:tc>
          <w:tcPr>
            <w:tcW w:w="12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1,252.69</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1,252.69</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11.23</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11.23</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2010106</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人大监督</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6.43</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6.43</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1,210.84</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1,210.84</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787.72</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787.72</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227.22</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227.22</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2010350</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181.68</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181.68</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其他政府办公厅（室）及相关机构事务支出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14.22</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14.22</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30.63</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30.63</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1.75</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1.75</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其他组织事务支出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28.88</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28.88</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17.08</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17.08</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小学教育</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12.08</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12.08</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12.08</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12.08</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79.87</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79.87</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79.87</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79.87</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64.39</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64.39</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15.48</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15.48</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786.45</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786.45</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82.84</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82.84</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2080150</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82.84</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82.84</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19.89</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19.89</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2080208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基层政权建设和社区治理</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19.89</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19.89</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542.15</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542.15</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225.54</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225.54</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112.90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112.90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203.71</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203.71</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其他优抚支出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退役安置</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2080999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其他退役安置支出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45.17</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45.17</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老年福利</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25.07</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25.07</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2.75</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2.75</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其他社会福利支出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17.35</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17.35</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特困人员救助供养</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8.61</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8.61</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2082102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农村特困人员救助供养支出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8.61</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8.61</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其他生活救助</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33.10</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33.10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2082502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其他农村生活救助</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33.10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33.10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42.49</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42.49</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2082850</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42.49</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42.49</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154.87</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154.87</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144.18</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144.18</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42.63</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42.63</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48.01</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48.01</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2101103</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公务员医疗补助</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19.66</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19.66</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33.88</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33.88</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10.68</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10.68</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10.68</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10.68</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112.31</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112.31</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112.31</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112.31</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水体</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4.81</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4.81</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2110307</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土壤</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107.49</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107.49</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453.28</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453.28</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314.55</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314.55</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314.55</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314.55</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33.16</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33.16</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2120303</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小城镇基础设施建设</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33.16</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33.16</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84.00</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84.00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21.58</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21.58</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其他国有土地使用权出让收入安排的支出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21.58</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21.58</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1,101.39</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1,101.39</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664.35</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664.35</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549.43</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549.43</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5.14</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5.14</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27.35</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27.35</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2130135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农业生态资源保护</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82.43</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82.43</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37.80</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37.80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森林资源培育</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37.80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37.80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17.00</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2130506</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社会发展</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382.24</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382.24</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43.98</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43.98</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338.26</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338.26</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198.99</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198.99</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198.99</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198.99</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142.30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142.30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56.69</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56.69</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41.75</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41.75</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41.75</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41.75</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41.75</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41.75</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189.46</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189.46</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51.13</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51.13</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老旧小区改造</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51.13</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51.13</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138.33</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138.33</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138.33</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138.33</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62.18</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62.18</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62.18</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62.18</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用于社会福利的彩票公益金支出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2296003</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用于体育事业的彩票公益金支出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49.38</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49.38</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7"/>
        <w:tblW w:w="15322" w:type="dxa"/>
        <w:tblInd w:w="0" w:type="dxa"/>
        <w:tblLayout w:type="fixed"/>
        <w:tblCellMar>
          <w:top w:w="0" w:type="dxa"/>
          <w:left w:w="0" w:type="dxa"/>
          <w:bottom w:w="0" w:type="dxa"/>
          <w:right w:w="0" w:type="dxa"/>
        </w:tblCellMar>
      </w:tblPr>
      <w:tblGrid>
        <w:gridCol w:w="1483"/>
        <w:gridCol w:w="3552"/>
        <w:gridCol w:w="1667"/>
        <w:gridCol w:w="1716"/>
        <w:gridCol w:w="1649"/>
        <w:gridCol w:w="1581"/>
        <w:gridCol w:w="1716"/>
        <w:gridCol w:w="1958"/>
      </w:tblGrid>
      <w:tr>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670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 xml:space="preserve">重庆市荣昌区人民政府峰高街道办事处 </w:t>
            </w:r>
          </w:p>
        </w:tc>
        <w:tc>
          <w:tcPr>
            <w:tcW w:w="171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4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8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1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670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1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4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8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1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1483"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52"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4,652.54</w:t>
            </w:r>
            <w:r>
              <w:rPr>
                <w:rFonts w:ascii="Times New Roman" w:hAnsi="Times New Roman"/>
                <w:b/>
                <w:color w:val="000000"/>
                <w:sz w:val="20"/>
                <w:u w:color="auto"/>
              </w:rPr>
              <w:t xml:space="preserve"> </w:t>
            </w:r>
          </w:p>
        </w:tc>
        <w:tc>
          <w:tcPr>
            <w:tcW w:w="17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2,807.60</w:t>
            </w:r>
            <w:r>
              <w:rPr>
                <w:rFonts w:ascii="Times New Roman" w:hAnsi="Times New Roman"/>
                <w:b/>
                <w:color w:val="000000"/>
                <w:sz w:val="20"/>
                <w:u w:color="auto"/>
              </w:rPr>
              <w:t xml:space="preserve"> </w:t>
            </w:r>
          </w:p>
        </w:tc>
        <w:tc>
          <w:tcPr>
            <w:tcW w:w="16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1,844.94</w:t>
            </w:r>
            <w:r>
              <w:rPr>
                <w:rFonts w:ascii="Times New Roman" w:hAnsi="Times New Roman"/>
                <w:b/>
                <w:color w:val="000000"/>
                <w:sz w:val="20"/>
                <w:u w:color="auto"/>
              </w:rPr>
              <w:t xml:space="preserve"> </w:t>
            </w:r>
          </w:p>
        </w:tc>
        <w:tc>
          <w:tcPr>
            <w:tcW w:w="1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1,252.69</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969.40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283.29</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11.23</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11.23</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人大监督</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6.43</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6.43</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1,210.84</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969.40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241.44</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787.72</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787.72</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227.22</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227.22</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2010350</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181.68</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181.68</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其他政府办公厅（室）及相关机构事务支出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14.22</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14.22</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30.63</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30.63</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1.75</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1.75</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其他组织事务支出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28.88</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28.88</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17.08</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10.67</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6.41</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小学教育</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12.08</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10.67</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1.41</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12.08</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10.67</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79.87</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64.39</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15.48</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79.87</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64.39</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15.48</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64.39</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64.39</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15.48</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15.48</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786.45</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667.48</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118.97</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82.84</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82.84</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2080150</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82.84</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82.84</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19.89</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19.89</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基层政权建设和社区治理</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19.89</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19.89</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542.15</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542.15</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225.54</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225.54</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112.90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112.90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203.71</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203.71</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其他优抚支出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退役安置</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2080999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其他退役安置支出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45.17</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45.17</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老年福利</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25.07</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25.07</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2.75</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2.75</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其他社会福利支出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17.35</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17.35</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特困人员救助供养</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8.61</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8.61</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2082102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农村特困人员救助供养支出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8.61</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8.61</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其他生活救助</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33.10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33.10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2082502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其他农村生活救助</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33.10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33.10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42.49</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42.49</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2082850</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42.49</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42.49</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154.87</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144.18</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10.68</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144.18</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144.18</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42.63</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42.63</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48.01</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48.01</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2101103</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公务员医疗补助</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19.66</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19.66</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33.88</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33.88</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10.68</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10.68</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10.68</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10.68</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112.31</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112.31</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112.31</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112.31</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水体</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4.81</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4.81</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2110307</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土壤</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107.49</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107.49</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453.28</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263.72</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189.56</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314.55</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263.72</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50.83</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314.55</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263.72</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50.83</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33.16</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33.16</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2120303</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小城镇基础设施建设</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33.16</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33.16</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21.58</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21.58</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其他国有土地使用权出让收入安排的支出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21.58</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21.58</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1,294.71</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549.43</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745.28</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664.35</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549.43</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114.93</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549.43</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549.43</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5.14</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5.14</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27.35</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27.35</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2130135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农业生态资源保护</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82.43</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82.43</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37.80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37.80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森林资源培育</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37.80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37.80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社会发展</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575.55</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575.55</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237.30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237.30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338.26</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338.26</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198.99</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198.99</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198.99</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198.99</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142.30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142.30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56.69</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56.69</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50.64</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50.64</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50.64</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50.64</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50.64</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50.64</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189.46</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138.33</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51.13</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51.13</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51.13</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老旧小区改造</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51.13</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51.13</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138.33</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138.33</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138.33</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138.33</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62.18</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62.18</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62.18</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62.18</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用于社会福利的彩票公益金支出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2296003</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用于体育事业的彩票公益金支出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49.38</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49.38</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7"/>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u w:color="auto"/>
              </w:rPr>
              <w:t>重庆市荣昌区人民政府峰高街道办事处</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4,366.58</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1,252.69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1,252.69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83.76</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17.08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17.08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79.87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79.87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786.45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786.45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154.87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154.87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112.31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112.31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453.28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431.71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21.58</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1,294.71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1,294.71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198.99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198.99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50.64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50.64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189.46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189.46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62.18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62.18</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4,450.34</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4,652.54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4,568.79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83.76</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202.21</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202.21</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4,652.54</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4,652.54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4,568.79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83.76</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486"/>
        <w:gridCol w:w="3895"/>
        <w:gridCol w:w="3306"/>
        <w:gridCol w:w="3300"/>
        <w:gridCol w:w="3335"/>
      </w:tblGrid>
      <w:tr>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重庆市荣昌区人民政府峰高街道办事处</w:t>
            </w:r>
          </w:p>
        </w:tc>
        <w:tc>
          <w:tcPr>
            <w:tcW w:w="330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8687"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0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53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14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538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4,568.79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2,807.60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1,761.18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1,252.69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969.40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283.29</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11.23</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11.23</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人大监督</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6.43</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1,210.84</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969.40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241.44</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787.72</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787.72</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227.22</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227.22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2010350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181.68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181.68</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其他政府办公厅（室）及相关机构事务支出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14.22</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14.22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30.63</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30.63</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1.75</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其他组织事务支出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28.88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28.88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17.08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10.67</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6.41</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小学教育</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10.67</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1.41</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10.67</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79.87</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64.39</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15.48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79.87</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64.39</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15.48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64.39</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64.39</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15.48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15.48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786.45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667.48</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118.97</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82.84</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82.84</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2080150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82.84</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82.84</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19.89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19.89</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基层政权建设和社区治理</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19.89</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19.89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542.15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542.15</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225.54</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225.54</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112.90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112.90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203.71</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203.71</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其他优抚支出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退役安置</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1.12</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1.12</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2080999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其他退役安置支出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1.12</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45.17</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45.17</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老年福利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25.07</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25.07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2.75</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其他社会福利支出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17.35</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17.35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特困人员救助供养</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8.61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8.61</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农村特困人员救助供养支出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8.61</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8.61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其他生活救助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33.10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33.10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2082502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其他农村生活救助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33.10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33.10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42.49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42.49</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2082850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42.49</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42.49</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154.87</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144.18</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10.68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144.18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144.18</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42.63</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42.63</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48.01</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48.01</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公务员医疗补助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19.66</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19.66</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33.88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33.88</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10.68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10.68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10.68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10.68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112.31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112.31</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112.31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112.31</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水体</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4.81</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2110307</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土壤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107.49</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107.49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431.71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263.72</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167.99</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314.55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263.72</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50.83</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314.55</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263.72</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50.83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33.16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33.16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2120303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小城镇基础设施建设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33.16</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33.16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84.00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84.00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84.00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1,294.71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549.43</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745.28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664.35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549.43</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114.93</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549.43</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549.43</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5.14</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27.35</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27.35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2130135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农业生态资源保护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82.43</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82.43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37.80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37.80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森林资源培育</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37.80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37.80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17.00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社会发展</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17.00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575.55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575.55</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237.30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237.30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338.26</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338.26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198.99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198.99</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198.99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198.99</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142.30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142.30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56.69</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56.69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50.64</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50.64</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50.64</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50.64</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50.64</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50.64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189.46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138.33</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51.13</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51.13</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51.13</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老旧小区改造</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51.13</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51.13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138.33</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138.33</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138.33</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138.33</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u w:color="auto"/>
              </w:rPr>
              <w:t>重庆市荣昌区人民政府峰高街道办事处</w:t>
            </w:r>
          </w:p>
        </w:tc>
        <w:tc>
          <w:tcPr>
            <w:tcW w:w="165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5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8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2,214.48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392.97</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520.78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28.47</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146.04</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256.14</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642.37</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2.84</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225.54</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27.97</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112.90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19.71</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90.64</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19.66</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26.28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138.33</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17.92</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44.94</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17.89</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200.15</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10.67</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1.01</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158.82</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34.86</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27.88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119.50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13.45</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2.91</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9.06</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36.29</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51.85</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2,414.63</w:t>
            </w:r>
            <w:r>
              <w:rPr>
                <w:rFonts w:ascii="Times New Roman" w:hAnsi="Times New Roman"/>
                <w:color w:val="000000"/>
                <w:sz w:val="18"/>
                <w:u w:color="auto"/>
              </w:rPr>
              <w:t xml:space="preserve"> </w:t>
            </w:r>
          </w:p>
        </w:tc>
        <w:tc>
          <w:tcPr>
            <w:tcW w:w="8718"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392.97</w:t>
            </w:r>
            <w:r>
              <w:rPr>
                <w:rFonts w:ascii="Times New Roman" w:hAnsi="Times New Roman"/>
                <w:color w:val="000000"/>
                <w:sz w:val="18"/>
                <w:u w:color="auto"/>
              </w:rPr>
              <w:t xml:space="preserve"> </w:t>
            </w:r>
          </w:p>
        </w:tc>
      </w:tr>
    </w:tbl>
    <w:p>
      <w:pPr>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重庆市荣昌区人民政府峰高街道办事处</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83.76</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83.76</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83.76</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w:t>
            </w: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城乡社区支出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21.58</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21.58</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21.58</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21208</w:t>
            </w: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21.58</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21.58</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21.58</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2120899</w:t>
            </w: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其他国有土地使用权出让收入安排的支出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21.58</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21.58</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21.58</w:t>
            </w:r>
            <w:r>
              <w:rPr>
                <w:rFonts w:ascii="Times New Roman" w:hAnsi="Times New Roman"/>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w:t>
            </w: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其他支出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62.18</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62.18</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62.18</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22960</w:t>
            </w: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彩票公益金安排的支出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62.18</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62.18</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62.18</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2296002</w:t>
            </w: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用于社会福利的彩票公益金支出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12.80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12.80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12.80</w:t>
            </w:r>
            <w:r>
              <w:rPr>
                <w:rFonts w:ascii="Times New Roman" w:hAnsi="Times New Roman"/>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2296003</w:t>
            </w: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用于体育事业的彩票公益金支出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49.38</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49.38</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49.38</w:t>
            </w:r>
            <w:r>
              <w:rPr>
                <w:rFonts w:ascii="Times New Roman" w:hAnsi="Times New Roman"/>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备注：1.本表反映部门本年度政府性基金预算财政拨款收入支出及结转和结余情况。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重庆市荣昌区人民政府峰高街道办事处</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7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CellMar>
            <w:top w:w="0" w:type="dxa"/>
            <w:left w:w="170" w:type="dxa"/>
            <w:bottom w:w="0" w:type="dxa"/>
            <w:right w:w="170" w:type="dxa"/>
          </w:tblCellMar>
        </w:tblPrEx>
        <w:trPr>
          <w:trHeight w:val="343" w:hRule="atLeast"/>
        </w:trPr>
        <w:tc>
          <w:tcPr>
            <w:tcW w:w="14131"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3179"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部门</w:t>
            </w:r>
            <w:r>
              <w:rPr>
                <w:rFonts w:cs="宋体"/>
                <w:color w:val="000000"/>
                <w:kern w:val="2"/>
                <w:sz w:val="20"/>
                <w:szCs w:val="20"/>
              </w:rPr>
              <w:t>：</w:t>
            </w:r>
            <w:r>
              <w:rPr>
                <w:color w:val="000000"/>
                <w:sz w:val="20"/>
                <w:u w:color="auto"/>
              </w:rPr>
              <w:t>重庆市荣昌区人民政府峰高街道办事处</w:t>
            </w:r>
          </w:p>
        </w:tc>
        <w:tc>
          <w:tcPr>
            <w:tcW w:w="2375"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183.74</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10.06</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10.06</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183.74</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9.06</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9.06</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9.06</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9.06</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1.01</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1.01</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1.01</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9</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4.49</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4.49</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4.49</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4.49</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0.74</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12.08</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2.90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cs="宋体"/>
          <w:sz w:val="18"/>
          <w:szCs w:val="18"/>
        </w:rPr>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p>
    <w:tbl>
      <w:tblPr>
        <w:tblStyle w:val="7"/>
        <w:tblW w:w="1074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570"/>
        <w:gridCol w:w="406"/>
        <w:gridCol w:w="1603"/>
        <w:gridCol w:w="811"/>
        <w:gridCol w:w="1794"/>
        <w:gridCol w:w="582"/>
        <w:gridCol w:w="927"/>
        <w:gridCol w:w="985"/>
        <w:gridCol w:w="734"/>
        <w:gridCol w:w="753"/>
        <w:gridCol w:w="5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56" w:hRule="atLeast"/>
        </w:trPr>
        <w:tc>
          <w:tcPr>
            <w:tcW w:w="10746"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方正黑体_GBK" w:hAnsi="方正黑体_GBK" w:eastAsia="方正黑体_GBK" w:cs="方正黑体_GBK"/>
                <w:b w:val="0"/>
                <w:bCs/>
                <w:i w:val="0"/>
                <w:color w:val="000000"/>
                <w:kern w:val="0"/>
                <w:sz w:val="32"/>
                <w:szCs w:val="32"/>
                <w:u w:val="none"/>
                <w:lang w:val="en-US" w:eastAsia="zh-CN" w:bidi="ar"/>
              </w:rPr>
              <w:t>2024年度部门整体绩效自评表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0" w:hRule="atLeast"/>
        </w:trPr>
        <w:tc>
          <w:tcPr>
            <w:tcW w:w="1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项目名称：</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重庆市荣昌区人民政府峰高街道办事处整体自评</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项目编码：</w:t>
            </w:r>
          </w:p>
        </w:tc>
        <w:tc>
          <w:tcPr>
            <w:tcW w:w="237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50015300024P000070</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自评总分：</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100.00</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6" w:hRule="atLeast"/>
        </w:trPr>
        <w:tc>
          <w:tcPr>
            <w:tcW w:w="1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项目主管部门：</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906-重庆市荣昌区人民政府峰高街道办事处</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财政归口处室：</w:t>
            </w:r>
          </w:p>
        </w:tc>
        <w:tc>
          <w:tcPr>
            <w:tcW w:w="237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002-预算科</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部门联系人：</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苟天任</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联系电话：</w:t>
            </w:r>
          </w:p>
        </w:tc>
        <w:tc>
          <w:tcPr>
            <w:tcW w:w="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46212076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trPr>
        <w:tc>
          <w:tcPr>
            <w:tcW w:w="10746"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微软雅黑" w:hAnsi="微软雅黑" w:eastAsia="微软雅黑" w:cs="微软雅黑"/>
                <w:b w:val="0"/>
                <w:bCs/>
                <w:i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78" w:hRule="atLeast"/>
        </w:trPr>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c>
          <w:tcPr>
            <w:tcW w:w="2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年初预算数</w:t>
            </w:r>
          </w:p>
        </w:tc>
        <w:tc>
          <w:tcPr>
            <w:tcW w:w="237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全年（调整）预算数</w:t>
            </w:r>
          </w:p>
        </w:tc>
        <w:tc>
          <w:tcPr>
            <w:tcW w:w="19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全年执行数</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执行率</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执行率权重</w:t>
            </w:r>
          </w:p>
        </w:tc>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4" w:hRule="atLeast"/>
        </w:trPr>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年度总金额</w:t>
            </w:r>
          </w:p>
        </w:tc>
        <w:tc>
          <w:tcPr>
            <w:tcW w:w="2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 xml:space="preserve">46,053,737.66 </w:t>
            </w:r>
          </w:p>
        </w:tc>
        <w:tc>
          <w:tcPr>
            <w:tcW w:w="237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 xml:space="preserve">46,560,604.31 </w:t>
            </w:r>
          </w:p>
        </w:tc>
        <w:tc>
          <w:tcPr>
            <w:tcW w:w="19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 xml:space="preserve">46,525,443.97 </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其中：财政拨款</w:t>
            </w:r>
          </w:p>
        </w:tc>
        <w:tc>
          <w:tcPr>
            <w:tcW w:w="2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 xml:space="preserve">46,053,737.66 </w:t>
            </w:r>
          </w:p>
        </w:tc>
        <w:tc>
          <w:tcPr>
            <w:tcW w:w="237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 xml:space="preserve">46,525,443.97 </w:t>
            </w:r>
          </w:p>
        </w:tc>
        <w:tc>
          <w:tcPr>
            <w:tcW w:w="19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 xml:space="preserve">46,525,443.97 </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100</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10.00</w:t>
            </w:r>
          </w:p>
        </w:tc>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一般公共预算</w:t>
            </w:r>
          </w:p>
        </w:tc>
        <w:tc>
          <w:tcPr>
            <w:tcW w:w="2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 xml:space="preserve">44,337,881.32 </w:t>
            </w:r>
          </w:p>
        </w:tc>
        <w:tc>
          <w:tcPr>
            <w:tcW w:w="237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 xml:space="preserve">45,687,869.27 </w:t>
            </w:r>
          </w:p>
        </w:tc>
        <w:tc>
          <w:tcPr>
            <w:tcW w:w="19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 xml:space="preserve">45,687,869.27 </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100</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0746"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微软雅黑" w:hAnsi="微软雅黑" w:eastAsia="微软雅黑" w:cs="微软雅黑"/>
                <w:b w:val="0"/>
                <w:bCs/>
                <w:i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439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年初绩效目标</w:t>
            </w:r>
          </w:p>
        </w:tc>
        <w:tc>
          <w:tcPr>
            <w:tcW w:w="428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全年（调整）绩效目标</w:t>
            </w:r>
          </w:p>
        </w:tc>
        <w:tc>
          <w:tcPr>
            <w:tcW w:w="206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66" w:hRule="atLeast"/>
        </w:trPr>
        <w:tc>
          <w:tcPr>
            <w:tcW w:w="439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负责本辖区农业农村工作，向农民推广农业技术为主要职责。组织群众文化活动，繁荣群众文化事业。承担辖区内文化体育阵地建设，组织开展文化体育、文化交流、全民健身活动，组织辖区内文艺培训，负责广播电视、旅游等事务性服务工作。主要办理辖区内的社会劳动保险业务和失业救济登记。</w:t>
            </w:r>
          </w:p>
        </w:tc>
        <w:tc>
          <w:tcPr>
            <w:tcW w:w="428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c>
          <w:tcPr>
            <w:tcW w:w="206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负责本辖区农业农村工作，向农民推广农业技术为主要职责。组织群众文化活动，繁荣群众文化事业。承担辖区内文化体育阵地建设，组织开展文化体育、文化交流、全民健身活动，组织辖区内文艺培训，负责广播电视、旅游等事务性服务工作。主要办理辖区内的社会劳动保险业务和失业救济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0746"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微软雅黑" w:hAnsi="微软雅黑" w:eastAsia="微软雅黑" w:cs="微软雅黑"/>
                <w:b w:val="0"/>
                <w:bCs/>
                <w:i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1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指标名称</w:t>
            </w: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计量单位</w:t>
            </w:r>
          </w:p>
        </w:tc>
        <w:tc>
          <w:tcPr>
            <w:tcW w:w="1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指标性质</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指标值</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全年完成值</w:t>
            </w: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偏离度（%）</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得分系数（%）</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指标权重</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指标得分</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是否核心指标</w:t>
            </w:r>
          </w:p>
        </w:tc>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GDP完成率</w:t>
            </w: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w:t>
            </w:r>
          </w:p>
        </w:tc>
        <w:tc>
          <w:tcPr>
            <w:tcW w:w="1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90</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90</w:t>
            </w: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0</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100</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15</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15</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是</w:t>
            </w:r>
          </w:p>
        </w:tc>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农村公路建成规模</w:t>
            </w: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w:t>
            </w:r>
          </w:p>
        </w:tc>
        <w:tc>
          <w:tcPr>
            <w:tcW w:w="1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w:t>
            </w: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0</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100</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5</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5</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否</w:t>
            </w:r>
          </w:p>
        </w:tc>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街道城镇建设质量合格率</w:t>
            </w: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w:t>
            </w:r>
          </w:p>
        </w:tc>
        <w:tc>
          <w:tcPr>
            <w:tcW w:w="1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95</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95</w:t>
            </w: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0</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100</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是</w:t>
            </w:r>
          </w:p>
        </w:tc>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trPr>
        <w:tc>
          <w:tcPr>
            <w:tcW w:w="1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安全隐患处置及时率</w:t>
            </w: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w:t>
            </w:r>
          </w:p>
        </w:tc>
        <w:tc>
          <w:tcPr>
            <w:tcW w:w="1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90</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90</w:t>
            </w: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0</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100</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20</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20</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是</w:t>
            </w:r>
          </w:p>
        </w:tc>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空气质量优良率</w:t>
            </w: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w:t>
            </w:r>
          </w:p>
        </w:tc>
        <w:tc>
          <w:tcPr>
            <w:tcW w:w="1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90</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90</w:t>
            </w: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0</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100</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是</w:t>
            </w:r>
          </w:p>
        </w:tc>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社会救助政策知晓率</w:t>
            </w: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w:t>
            </w:r>
          </w:p>
        </w:tc>
        <w:tc>
          <w:tcPr>
            <w:tcW w:w="1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90</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90</w:t>
            </w: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0</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100</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5</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5</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否</w:t>
            </w:r>
          </w:p>
        </w:tc>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水环境治理达标率</w:t>
            </w: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w:t>
            </w:r>
          </w:p>
        </w:tc>
        <w:tc>
          <w:tcPr>
            <w:tcW w:w="1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95</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95</w:t>
            </w: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0</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100</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5</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5</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否</w:t>
            </w:r>
          </w:p>
        </w:tc>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创建全国文明城区群众持续参与率</w:t>
            </w: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w:t>
            </w:r>
          </w:p>
        </w:tc>
        <w:tc>
          <w:tcPr>
            <w:tcW w:w="1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98</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98</w:t>
            </w: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0</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100</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是</w:t>
            </w:r>
          </w:p>
        </w:tc>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基本公共服务满意度</w:t>
            </w: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w:t>
            </w:r>
          </w:p>
        </w:tc>
        <w:tc>
          <w:tcPr>
            <w:tcW w:w="1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90</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90</w:t>
            </w: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0</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100</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否</w:t>
            </w:r>
          </w:p>
        </w:tc>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预算执行率</w:t>
            </w: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w:t>
            </w:r>
          </w:p>
        </w:tc>
        <w:tc>
          <w:tcPr>
            <w:tcW w:w="1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100</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100</w:t>
            </w: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0</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100</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否</w:t>
            </w:r>
          </w:p>
        </w:tc>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r>
    </w:tbl>
    <w:p>
      <w:pPr>
        <w:tabs>
          <w:tab w:val="left" w:pos="2840"/>
        </w:tabs>
        <w:bidi w:val="0"/>
        <w:jc w:val="left"/>
        <w:rPr>
          <w:rFonts w:hint="eastAsia"/>
          <w:vanish/>
          <w:lang w:val="en-US" w:eastAsia="zh-CN"/>
        </w:rPr>
        <w:sectPr>
          <w:pgSz w:w="11850" w:h="16783"/>
          <w:pgMar w:top="454" w:right="567" w:bottom="1037" w:left="567" w:header="0" w:footer="283" w:gutter="0"/>
          <w:pgNumType w:fmt="numberInDash"/>
          <w:cols w:space="720" w:num="1"/>
          <w:docGrid w:type="lines" w:linePitch="326" w:charSpace="0"/>
        </w:sectPr>
      </w:pPr>
    </w:p>
    <w:p>
      <w:pPr>
        <w:rPr>
          <w:rFonts w:hint="default" w:cs="宋体"/>
          <w:vanish/>
          <w:sz w:val="18"/>
          <w:szCs w:val="18"/>
        </w:rPr>
      </w:pPr>
      <w:r>
        <w:rPr>
          <w:rFonts w:cs="宋体"/>
          <w:vanish/>
          <w:sz w:val="18"/>
          <w:szCs w:val="18"/>
        </w:rPr>
        <w:br w:type="textWrapping"/>
      </w:r>
    </w:p>
    <w:sectPr>
      <w:pgSz w:w="11850" w:h="16783"/>
      <w:pgMar w:top="567" w:right="1037" w:bottom="567" w:left="454"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1C3753"/>
    <w:rsid w:val="03524E83"/>
    <w:rsid w:val="03647C20"/>
    <w:rsid w:val="03B87EA0"/>
    <w:rsid w:val="03E3214F"/>
    <w:rsid w:val="044C50BA"/>
    <w:rsid w:val="05BC6D49"/>
    <w:rsid w:val="06194FF1"/>
    <w:rsid w:val="06A2550B"/>
    <w:rsid w:val="06F80EE2"/>
    <w:rsid w:val="07001CCA"/>
    <w:rsid w:val="075678DB"/>
    <w:rsid w:val="079D7CC7"/>
    <w:rsid w:val="08051BCA"/>
    <w:rsid w:val="086C12F4"/>
    <w:rsid w:val="087B3940"/>
    <w:rsid w:val="08BA052C"/>
    <w:rsid w:val="08DB07BA"/>
    <w:rsid w:val="0969353F"/>
    <w:rsid w:val="098305D0"/>
    <w:rsid w:val="098A0877"/>
    <w:rsid w:val="0A5C4B69"/>
    <w:rsid w:val="0A86124A"/>
    <w:rsid w:val="0AB54CC0"/>
    <w:rsid w:val="0B9335CE"/>
    <w:rsid w:val="0C7927C4"/>
    <w:rsid w:val="0C9B098C"/>
    <w:rsid w:val="0D673E11"/>
    <w:rsid w:val="0DDA54E4"/>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9D5716"/>
    <w:rsid w:val="13A71CB4"/>
    <w:rsid w:val="13AF1D43"/>
    <w:rsid w:val="13BF1F0F"/>
    <w:rsid w:val="13CE1647"/>
    <w:rsid w:val="13DA0C25"/>
    <w:rsid w:val="13FD55AB"/>
    <w:rsid w:val="14200702"/>
    <w:rsid w:val="14907817"/>
    <w:rsid w:val="163A6CEE"/>
    <w:rsid w:val="173708E3"/>
    <w:rsid w:val="174C19C7"/>
    <w:rsid w:val="17C374FC"/>
    <w:rsid w:val="189079DC"/>
    <w:rsid w:val="189B0D0B"/>
    <w:rsid w:val="18B43F7C"/>
    <w:rsid w:val="194A1770"/>
    <w:rsid w:val="19B906A4"/>
    <w:rsid w:val="1B6F15B6"/>
    <w:rsid w:val="1BAA2EDC"/>
    <w:rsid w:val="1C5C0973"/>
    <w:rsid w:val="1C8402F0"/>
    <w:rsid w:val="1CA55E64"/>
    <w:rsid w:val="1D014A01"/>
    <w:rsid w:val="1D022362"/>
    <w:rsid w:val="1D1B04B0"/>
    <w:rsid w:val="1D6534C4"/>
    <w:rsid w:val="1DBD6767"/>
    <w:rsid w:val="1DC52125"/>
    <w:rsid w:val="1DD26311"/>
    <w:rsid w:val="1E374ACB"/>
    <w:rsid w:val="1E5E27E3"/>
    <w:rsid w:val="1EA33588"/>
    <w:rsid w:val="1ECF0A66"/>
    <w:rsid w:val="1EF67CA4"/>
    <w:rsid w:val="1F020D3A"/>
    <w:rsid w:val="1F2C5189"/>
    <w:rsid w:val="1F4B0B02"/>
    <w:rsid w:val="1FBB35CD"/>
    <w:rsid w:val="1FCD26AF"/>
    <w:rsid w:val="20574E0E"/>
    <w:rsid w:val="20642787"/>
    <w:rsid w:val="21556F04"/>
    <w:rsid w:val="22403BD3"/>
    <w:rsid w:val="23DA37D9"/>
    <w:rsid w:val="24120529"/>
    <w:rsid w:val="24B30B11"/>
    <w:rsid w:val="24B92327"/>
    <w:rsid w:val="24C14514"/>
    <w:rsid w:val="2533755C"/>
    <w:rsid w:val="25791755"/>
    <w:rsid w:val="26396DF4"/>
    <w:rsid w:val="27167136"/>
    <w:rsid w:val="27B23302"/>
    <w:rsid w:val="29310A5F"/>
    <w:rsid w:val="29C37A35"/>
    <w:rsid w:val="2A076083"/>
    <w:rsid w:val="2A73162E"/>
    <w:rsid w:val="2ADD03C9"/>
    <w:rsid w:val="2B167953"/>
    <w:rsid w:val="2B200583"/>
    <w:rsid w:val="2B220436"/>
    <w:rsid w:val="2B8209DE"/>
    <w:rsid w:val="2C6762A3"/>
    <w:rsid w:val="2EBF7B3E"/>
    <w:rsid w:val="2EDE1934"/>
    <w:rsid w:val="2FCA4B37"/>
    <w:rsid w:val="2FE029D7"/>
    <w:rsid w:val="2FF06E00"/>
    <w:rsid w:val="30562E26"/>
    <w:rsid w:val="30586FEC"/>
    <w:rsid w:val="309615C7"/>
    <w:rsid w:val="30EC7046"/>
    <w:rsid w:val="315F0B22"/>
    <w:rsid w:val="319D022C"/>
    <w:rsid w:val="31C90022"/>
    <w:rsid w:val="31D84415"/>
    <w:rsid w:val="32285F6F"/>
    <w:rsid w:val="32770556"/>
    <w:rsid w:val="329C0913"/>
    <w:rsid w:val="32AA0460"/>
    <w:rsid w:val="3337290D"/>
    <w:rsid w:val="33E31118"/>
    <w:rsid w:val="33EF7674"/>
    <w:rsid w:val="342D7BC6"/>
    <w:rsid w:val="34475F39"/>
    <w:rsid w:val="34D92688"/>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CD45FD0"/>
    <w:rsid w:val="3D2757A1"/>
    <w:rsid w:val="3D3D4FC4"/>
    <w:rsid w:val="3D546852"/>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3177D5"/>
    <w:rsid w:val="41E0734B"/>
    <w:rsid w:val="426554D0"/>
    <w:rsid w:val="426C1EA8"/>
    <w:rsid w:val="42736402"/>
    <w:rsid w:val="42E86A87"/>
    <w:rsid w:val="43307B09"/>
    <w:rsid w:val="43470647"/>
    <w:rsid w:val="438D0E97"/>
    <w:rsid w:val="43BB152F"/>
    <w:rsid w:val="44494994"/>
    <w:rsid w:val="44B96DCF"/>
    <w:rsid w:val="44C37687"/>
    <w:rsid w:val="45CB699A"/>
    <w:rsid w:val="463259A2"/>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FC6D10"/>
    <w:rsid w:val="4F0C6BA3"/>
    <w:rsid w:val="4F10477D"/>
    <w:rsid w:val="4F186D58"/>
    <w:rsid w:val="4FEA65B7"/>
    <w:rsid w:val="501F3295"/>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A3B59D6"/>
    <w:rsid w:val="5AD134D8"/>
    <w:rsid w:val="5B6503B1"/>
    <w:rsid w:val="5C0F7EC4"/>
    <w:rsid w:val="5C263CE4"/>
    <w:rsid w:val="5C5D2777"/>
    <w:rsid w:val="5CF66BF3"/>
    <w:rsid w:val="5D290C69"/>
    <w:rsid w:val="5F2D4A41"/>
    <w:rsid w:val="5F7F6FE3"/>
    <w:rsid w:val="60C74F6C"/>
    <w:rsid w:val="60F81AB5"/>
    <w:rsid w:val="61025A59"/>
    <w:rsid w:val="613D5BBC"/>
    <w:rsid w:val="61536C39"/>
    <w:rsid w:val="61E64F4A"/>
    <w:rsid w:val="623E0993"/>
    <w:rsid w:val="62944DD7"/>
    <w:rsid w:val="6319381F"/>
    <w:rsid w:val="63236436"/>
    <w:rsid w:val="63303185"/>
    <w:rsid w:val="63C25DC5"/>
    <w:rsid w:val="63C62057"/>
    <w:rsid w:val="64571EF5"/>
    <w:rsid w:val="64CB0157"/>
    <w:rsid w:val="64FB113D"/>
    <w:rsid w:val="65036946"/>
    <w:rsid w:val="654A25FE"/>
    <w:rsid w:val="656152C6"/>
    <w:rsid w:val="6587477F"/>
    <w:rsid w:val="658C3A08"/>
    <w:rsid w:val="65C031CA"/>
    <w:rsid w:val="65CE6852"/>
    <w:rsid w:val="65EB6584"/>
    <w:rsid w:val="66267C04"/>
    <w:rsid w:val="663F505A"/>
    <w:rsid w:val="66967186"/>
    <w:rsid w:val="66EE5541"/>
    <w:rsid w:val="67924660"/>
    <w:rsid w:val="67B3608E"/>
    <w:rsid w:val="683200C2"/>
    <w:rsid w:val="68407834"/>
    <w:rsid w:val="6883293E"/>
    <w:rsid w:val="688412AD"/>
    <w:rsid w:val="68EB1B71"/>
    <w:rsid w:val="69475C96"/>
    <w:rsid w:val="6AAD2300"/>
    <w:rsid w:val="6B474EF5"/>
    <w:rsid w:val="6BBF53FD"/>
    <w:rsid w:val="6C560CAE"/>
    <w:rsid w:val="6C576495"/>
    <w:rsid w:val="6D903FF5"/>
    <w:rsid w:val="6DA955B8"/>
    <w:rsid w:val="6DE346AB"/>
    <w:rsid w:val="6DE5391A"/>
    <w:rsid w:val="6EEA5552"/>
    <w:rsid w:val="6EFD1324"/>
    <w:rsid w:val="6F5A53AC"/>
    <w:rsid w:val="6FAC003D"/>
    <w:rsid w:val="6FE55E12"/>
    <w:rsid w:val="6FFB2E76"/>
    <w:rsid w:val="708F6F7F"/>
    <w:rsid w:val="70D94BD3"/>
    <w:rsid w:val="71C34D91"/>
    <w:rsid w:val="72DB435C"/>
    <w:rsid w:val="72E2613A"/>
    <w:rsid w:val="72F771F4"/>
    <w:rsid w:val="734150D5"/>
    <w:rsid w:val="736650B0"/>
    <w:rsid w:val="73934AD2"/>
    <w:rsid w:val="750837F0"/>
    <w:rsid w:val="754758CF"/>
    <w:rsid w:val="761275E6"/>
    <w:rsid w:val="764F62AB"/>
    <w:rsid w:val="765C45EC"/>
    <w:rsid w:val="768A7619"/>
    <w:rsid w:val="772E1EBA"/>
    <w:rsid w:val="77EB79F7"/>
    <w:rsid w:val="796D60A4"/>
    <w:rsid w:val="79A031D5"/>
    <w:rsid w:val="7A030791"/>
    <w:rsid w:val="7A1525F7"/>
    <w:rsid w:val="7B420052"/>
    <w:rsid w:val="7B861484"/>
    <w:rsid w:val="7BD06A28"/>
    <w:rsid w:val="7C3A7C0B"/>
    <w:rsid w:val="7C5248E4"/>
    <w:rsid w:val="7C566698"/>
    <w:rsid w:val="7C5866A3"/>
    <w:rsid w:val="7CA0151B"/>
    <w:rsid w:val="7D7406BB"/>
    <w:rsid w:val="7DE94331"/>
    <w:rsid w:val="7DECD0A0"/>
    <w:rsid w:val="7F446A19"/>
    <w:rsid w:val="7F7452B9"/>
    <w:rsid w:val="7F8401D1"/>
    <w:rsid w:val="7FAC32D7"/>
    <w:rsid w:val="FC77B68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List Paragraph"/>
    <w:qFormat/>
    <w:uiPriority w:val="99"/>
    <w:pPr>
      <w:ind w:firstLine="420" w:firstLineChars="200"/>
    </w:pPr>
    <w:rPr>
      <w:rFonts w:hint="default"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31</Pages>
  <Words>6243</Words>
  <Characters>8020</Characters>
  <Lines>186</Lines>
  <Paragraphs>52</Paragraphs>
  <TotalTime>20</TotalTime>
  <ScaleCrop>false</ScaleCrop>
  <LinksUpToDate>false</LinksUpToDate>
  <CharactersWithSpaces>8323</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2025-06-26T23:40:00Z</dcterms:created>
  <dc:creator>Administrator</dc:creator>
  <cp:lastModifiedBy>Administrator</cp:lastModifiedBy>
  <dcterms:modified xsi:type="dcterms:W3CDTF">2025-09-28T01:24:30Z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BB46EABDBB2749749395447164B066B3_12</vt:lpwstr>
  </property>
  <property fmtid="{D5CDD505-2E9C-101B-9397-08002B2CF9AE}" pid="4" name="KSOTemplateDocerSaveRecord">
    <vt:lpwstr>eyJoZGlkIjoiOTRmMTA2MjUwYTg4MWE3MTdkZTE2NjAxYzk4YWViZWUiLCJ1c2VySWQiOiIxMzQ2NjAxMzAwIn0=</vt:lpwstr>
  </property>
</Properties>
</file>