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重庆市荣昌区峰高街道社区文化服务中心</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pPr>
        <w:keepNext w:val="0"/>
        <w:keepLines w:val="0"/>
        <w:pageBreakBefore w:val="0"/>
        <w:widowControl/>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织群众文化活动，繁荣群众文化事业。承担辖区内文化体育阵地建设，组织开展文化体育、文化交流、全民健身活动，组织辖区内文艺培训，负责广播电视、旅游等事务性服务工作，完成文化体育事业方面的其他服务工作。</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（二）机构设置</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本单位为重庆市荣昌区人民政府峰高街道办事处下属二级预算单位，无内设机构，2024年末实有在职人员5人。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（一）收入支出决算总体情况说明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2024年度收</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总计</w:t>
      </w:r>
      <w:r>
        <w:rPr>
          <w:rFonts w:hint="eastAsia" w:ascii="方正仿宋_GBK" w:hAnsi="方正仿宋_GBK" w:eastAsia="方正仿宋_GBK" w:cs="方正仿宋_GBK"/>
          <w:sz w:val="32"/>
          <w:szCs w:val="32"/>
          <w:lang w:eastAsia="zh-CN"/>
        </w:rPr>
        <w:t>均为</w:t>
      </w:r>
      <w:r>
        <w:rPr>
          <w:rFonts w:hint="eastAsia" w:ascii="方正仿宋_GBK" w:hAnsi="方正仿宋_GBK" w:eastAsia="方正仿宋_GBK" w:cs="方正仿宋_GBK"/>
          <w:sz w:val="32"/>
          <w:szCs w:val="32"/>
        </w:rPr>
        <w:t>94.36万元。收、支与2023年度相比，减少0.31万元，下降0.3%，主要原因是</w:t>
      </w:r>
      <w:r>
        <w:rPr>
          <w:rFonts w:hint="eastAsia" w:ascii="方正仿宋_GBK" w:hAnsi="方正仿宋_GBK" w:eastAsia="方正仿宋_GBK" w:cs="方正仿宋_GBK"/>
          <w:sz w:val="32"/>
          <w:szCs w:val="32"/>
          <w:lang w:eastAsia="zh-CN"/>
        </w:rPr>
        <w:t>人员工资变化导致职工工资福利减少。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.收入情况。2024年度收入合计94.36万元，与2023年度相比，减少0.31万元，下降0.3%，主要原因是</w:t>
      </w:r>
      <w:r>
        <w:rPr>
          <w:rFonts w:hint="eastAsia" w:ascii="方正仿宋_GBK" w:hAnsi="方正仿宋_GBK" w:eastAsia="方正仿宋_GBK" w:cs="方正仿宋_GBK"/>
          <w:sz w:val="32"/>
          <w:szCs w:val="32"/>
          <w:lang w:eastAsia="zh-CN"/>
        </w:rPr>
        <w:t>人员工资变化导致职工工资福利减少。</w:t>
      </w:r>
      <w:r>
        <w:rPr>
          <w:rFonts w:hint="eastAsia" w:ascii="方正仿宋_GBK" w:hAnsi="方正仿宋_GBK" w:eastAsia="方正仿宋_GBK" w:cs="方正仿宋_GBK"/>
          <w:sz w:val="32"/>
          <w:szCs w:val="32"/>
        </w:rPr>
        <w:t>其中：财政拨款收入94.36万元，占100.0%；事业收入0.00万元，占0.0%；经营收入0.00万元，占0.0%；其他收入0.00万元，占0.0%。此外，使用非财政拨款结余（含专用结余）0.00万元，年初结转和结余0.00万元。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.支出情况。2024年度支出合计94.36万元，与2023年度相比，减少0.31万元，下降0.3%，主要原因是</w:t>
      </w:r>
      <w:r>
        <w:rPr>
          <w:rFonts w:hint="eastAsia" w:ascii="方正仿宋_GBK" w:hAnsi="方正仿宋_GBK" w:eastAsia="方正仿宋_GBK" w:cs="方正仿宋_GBK"/>
          <w:sz w:val="32"/>
          <w:szCs w:val="32"/>
          <w:lang w:eastAsia="zh-CN"/>
        </w:rPr>
        <w:t>人员工资变化导致职工工资福利减少。</w:t>
      </w:r>
      <w:r>
        <w:rPr>
          <w:rFonts w:hint="eastAsia" w:ascii="方正仿宋_GBK" w:hAnsi="方正仿宋_GBK" w:eastAsia="方正仿宋_GBK" w:cs="方正仿宋_GBK"/>
          <w:sz w:val="32"/>
          <w:szCs w:val="32"/>
        </w:rPr>
        <w:t>其中：基本支出94.36万元，占100.0%；项目支出0.00万元，占0.0%；经营支出0.00万元，占0.0%。此外，结余分配0.00万元。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.结转结余情况。2024年度年末结转和结余0.00万元，与2023年度相比，无增减，主要原因是</w:t>
      </w:r>
      <w:r>
        <w:rPr>
          <w:rFonts w:hint="eastAsia" w:ascii="方正仿宋_GBK" w:hAnsi="方正仿宋_GBK" w:eastAsia="方正仿宋_GBK" w:cs="方正仿宋_GBK"/>
          <w:sz w:val="32"/>
          <w:szCs w:val="32"/>
          <w:lang w:val="en-US" w:eastAsia="zh-CN"/>
        </w:rPr>
        <w:t>准确预算经费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（二）财政拨款收入支出决算总体情况说明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2024年度财政拨款收、支总计均为94.36万元。与2023年</w:t>
      </w:r>
      <w:r>
        <w:rPr>
          <w:rFonts w:hint="eastAsia" w:ascii="方正仿宋_GBK" w:hAnsi="方正仿宋_GBK" w:eastAsia="方正仿宋_GBK" w:cs="方正仿宋_GBK"/>
          <w:sz w:val="32"/>
          <w:szCs w:val="32"/>
          <w:lang w:eastAsia="zh-CN"/>
        </w:rPr>
        <w:t>度</w:t>
      </w:r>
      <w:r>
        <w:rPr>
          <w:rFonts w:hint="eastAsia" w:ascii="方正仿宋_GBK" w:hAnsi="方正仿宋_GBK" w:eastAsia="方正仿宋_GBK" w:cs="方正仿宋_GBK"/>
          <w:sz w:val="32"/>
          <w:szCs w:val="32"/>
        </w:rPr>
        <w:t>相比，财政拨款收、支总计各减少0.31万元，下降0.3%。主要原因是</w:t>
      </w:r>
      <w:r>
        <w:rPr>
          <w:rFonts w:hint="eastAsia" w:ascii="方正仿宋_GBK" w:hAnsi="方正仿宋_GBK" w:eastAsia="方正仿宋_GBK" w:cs="方正仿宋_GBK"/>
          <w:sz w:val="32"/>
          <w:szCs w:val="32"/>
          <w:lang w:eastAsia="zh-CN"/>
        </w:rPr>
        <w:t>人员工资变化导致职工工资福利减少。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（三）一般公共预算财政拨款收入支出决算情况说明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1.收入情况。2024年度一般公共预算财政拨款收入94.36万元，与2023年度相比，减少0.31万元，下降0.3%。主要原因是</w:t>
      </w:r>
      <w:r>
        <w:rPr>
          <w:rFonts w:hint="eastAsia" w:ascii="方正仿宋_GBK" w:hAnsi="方正仿宋_GBK" w:eastAsia="方正仿宋_GBK" w:cs="方正仿宋_GBK"/>
          <w:sz w:val="32"/>
          <w:szCs w:val="32"/>
          <w:lang w:eastAsia="zh-CN"/>
        </w:rPr>
        <w:t>人员工资变化导致职工工资福利减少。</w:t>
      </w:r>
      <w:r>
        <w:rPr>
          <w:rFonts w:hint="eastAsia" w:ascii="方正仿宋_GBK" w:hAnsi="方正仿宋_GBK" w:eastAsia="方正仿宋_GBK" w:cs="方正仿宋_GBK"/>
          <w:sz w:val="32"/>
          <w:szCs w:val="32"/>
        </w:rPr>
        <w:t>较年初预算数减少2.03万元，下降2.1%。主要原因是</w:t>
      </w:r>
      <w:r>
        <w:rPr>
          <w:rFonts w:hint="eastAsia" w:ascii="方正仿宋_GBK" w:hAnsi="方正仿宋_GBK" w:eastAsia="方正仿宋_GBK" w:cs="方正仿宋_GBK"/>
          <w:sz w:val="32"/>
          <w:szCs w:val="32"/>
          <w:lang w:eastAsia="zh-CN"/>
        </w:rPr>
        <w:t>人员工资变化导致职工工资福利减少。</w:t>
      </w:r>
      <w:r>
        <w:rPr>
          <w:rFonts w:hint="eastAsia" w:ascii="方正仿宋_GBK" w:hAnsi="方正仿宋_GBK" w:eastAsia="方正仿宋_GBK" w:cs="方正仿宋_GBK"/>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2.支出情况。2024年度一般公共预算财政拨款支出94.36万元，与2023年度相比，减少0.31万元，下降0.3%。主要原因是</w:t>
      </w:r>
      <w:r>
        <w:rPr>
          <w:rFonts w:hint="eastAsia" w:ascii="方正仿宋_GBK" w:hAnsi="方正仿宋_GBK" w:eastAsia="方正仿宋_GBK" w:cs="方正仿宋_GBK"/>
          <w:sz w:val="32"/>
          <w:szCs w:val="32"/>
          <w:lang w:eastAsia="zh-CN"/>
        </w:rPr>
        <w:t>人员工资变化导致职工工资福利减少。</w:t>
      </w:r>
      <w:r>
        <w:rPr>
          <w:rFonts w:hint="eastAsia" w:ascii="方正仿宋_GBK" w:hAnsi="方正仿宋_GBK" w:eastAsia="方正仿宋_GBK" w:cs="方正仿宋_GBK"/>
          <w:sz w:val="32"/>
          <w:szCs w:val="32"/>
        </w:rPr>
        <w:t>较年初预算数减少2.03万元，下降2.1%。主要原因是</w:t>
      </w:r>
      <w:r>
        <w:rPr>
          <w:rFonts w:hint="eastAsia" w:ascii="方正仿宋_GBK" w:hAnsi="方正仿宋_GBK" w:eastAsia="方正仿宋_GBK" w:cs="方正仿宋_GBK"/>
          <w:sz w:val="32"/>
          <w:szCs w:val="32"/>
          <w:lang w:eastAsia="zh-CN"/>
        </w:rPr>
        <w:t>人员工资变化导致职工工资福利减少。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一般公共预算财政拨款支出主要</w:t>
      </w:r>
      <w:r>
        <w:rPr>
          <w:rFonts w:hint="eastAsia" w:ascii="方正仿宋_GBK" w:hAnsi="方正仿宋_GBK" w:eastAsia="方正仿宋_GBK" w:cs="方正仿宋_GBK"/>
          <w:sz w:val="32"/>
          <w:szCs w:val="32"/>
          <w:lang w:eastAsia="zh-CN"/>
        </w:rPr>
        <w:t>用途如下</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）教育支出0.48万元，占0.5%，较年初预算数无增减，主要原因是</w:t>
      </w:r>
      <w:r>
        <w:rPr>
          <w:rFonts w:hint="eastAsia" w:ascii="方正仿宋_GBK" w:hAnsi="方正仿宋_GBK" w:eastAsia="方正仿宋_GBK" w:cs="方正仿宋_GBK"/>
          <w:sz w:val="32"/>
          <w:szCs w:val="32"/>
          <w:lang w:val="en-US" w:eastAsia="zh-CN"/>
        </w:rPr>
        <w:t>准确预算经费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）文化旅游体育与传媒支出64.39万元，占68.2%，较年初预算数减少6.83万元，下降9.6%，主要原因是</w:t>
      </w:r>
      <w:r>
        <w:rPr>
          <w:rFonts w:hint="eastAsia" w:ascii="方正仿宋_GBK" w:hAnsi="方正仿宋_GBK" w:eastAsia="方正仿宋_GBK" w:cs="方正仿宋_GBK"/>
          <w:sz w:val="32"/>
          <w:szCs w:val="32"/>
          <w:lang w:eastAsia="zh-CN"/>
        </w:rPr>
        <w:t>职工工资福利减少。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）社会保障</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就业支出21.37万元，占22.7%，较年初预算数增加4.42万元，增长26.1%，主要原因是</w:t>
      </w:r>
      <w:r>
        <w:rPr>
          <w:rFonts w:hint="eastAsia" w:ascii="方正仿宋_GBK" w:hAnsi="方正仿宋_GBK" w:eastAsia="方正仿宋_GBK" w:cs="方正仿宋_GBK"/>
          <w:sz w:val="32"/>
          <w:szCs w:val="32"/>
          <w:lang w:val="en-US" w:eastAsia="zh-CN"/>
        </w:rPr>
        <w:t>职业年金缴费支出增加。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）卫生健康支出4.00万元，占4.2%，较年初预算数增加0.13万元，增长3.4%，主要原因是</w:t>
      </w:r>
      <w:r>
        <w:rPr>
          <w:rFonts w:hint="eastAsia" w:ascii="方正仿宋_GBK" w:hAnsi="方正仿宋_GBK" w:eastAsia="方正仿宋_GBK" w:cs="方正仿宋_GBK"/>
          <w:sz w:val="32"/>
          <w:szCs w:val="32"/>
          <w:lang w:val="en-US" w:eastAsia="zh-CN"/>
        </w:rPr>
        <w:t>在职大额医疗和生育保险缴费增加。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）住房保障支出4.12万元，占4.4%，较年初预算数增加0.25万元，增长6.5%，主要原因是</w:t>
      </w:r>
      <w:r>
        <w:rPr>
          <w:rFonts w:hint="eastAsia" w:ascii="方正仿宋_GBK" w:hAnsi="方正仿宋_GBK" w:eastAsia="方正仿宋_GBK" w:cs="方正仿宋_GBK"/>
          <w:sz w:val="32"/>
          <w:szCs w:val="32"/>
          <w:lang w:eastAsia="zh-CN"/>
        </w:rPr>
        <w:t>住房公积金支出增加。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3.结转结余情况。2024年度年末一般公共预算财政拨款结转和结余0.00万元，与2023年度相比，无增减，主要原因是</w:t>
      </w:r>
      <w:r>
        <w:rPr>
          <w:rFonts w:hint="eastAsia" w:ascii="方正仿宋_GBK" w:hAnsi="方正仿宋_GBK" w:eastAsia="方正仿宋_GBK" w:cs="方正仿宋_GBK"/>
          <w:sz w:val="32"/>
          <w:szCs w:val="32"/>
          <w:lang w:val="en-US" w:eastAsia="zh-CN"/>
        </w:rPr>
        <w:t>准确预算经费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（四）一般公共预算财政拨款基本支出决算情况说明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2024年度一般公共财政拨款基本支出94.36万元。其中：</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人员经费87.08万元，与2023年度相比，增加6.45万元，增长8.0%，主要原因是</w:t>
      </w:r>
      <w:r>
        <w:rPr>
          <w:rFonts w:hint="eastAsia" w:ascii="方正仿宋_GBK" w:hAnsi="方正仿宋_GBK" w:eastAsia="方正仿宋_GBK" w:cs="方正仿宋_GBK"/>
          <w:sz w:val="32"/>
          <w:szCs w:val="32"/>
          <w:lang w:eastAsia="zh-CN"/>
        </w:rPr>
        <w:t>人员增加导致基本工资支出增加。</w:t>
      </w:r>
      <w:r>
        <w:rPr>
          <w:rFonts w:hint="eastAsia" w:ascii="方正仿宋_GBK" w:hAnsi="方正仿宋_GBK" w:eastAsia="方正仿宋_GBK" w:cs="方正仿宋_GBK"/>
          <w:sz w:val="32"/>
          <w:szCs w:val="32"/>
        </w:rPr>
        <w:t>人员经费用途主要包括基本工资、津贴补贴、绩效工资、社会保障缴费、住房公积金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对个人和家庭的补助</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公用经费7.28万元，与2023年度相比，减少6.76万元，下降48.2%，主要原因是</w:t>
      </w:r>
      <w:r>
        <w:rPr>
          <w:rFonts w:hint="eastAsia" w:ascii="方正仿宋_GBK" w:hAnsi="方正仿宋_GBK" w:eastAsia="方正仿宋_GBK" w:cs="方正仿宋_GBK"/>
          <w:sz w:val="32"/>
          <w:szCs w:val="32"/>
          <w:lang w:eastAsia="zh-CN"/>
        </w:rPr>
        <w:t>工会经费支出减少。</w:t>
      </w:r>
      <w:r>
        <w:rPr>
          <w:rFonts w:hint="eastAsia" w:ascii="方正仿宋_GBK" w:hAnsi="方正仿宋_GBK" w:eastAsia="方正仿宋_GBK" w:cs="方正仿宋_GBK"/>
          <w:sz w:val="32"/>
          <w:szCs w:val="32"/>
        </w:rPr>
        <w:t>公用经费用途主要包括办公费、水电费、培训费、工会经费、其他商品和服务支出。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（五）政府性基金预算收支决算情况说明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本单位2024年度无政府性基金预算财政拨款收支。</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（六）国有资本经营预算财政拨款支出决算情况说明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（一）“三公”经费支出总体情况说明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2024年度“三公”经费支出共计0.00万元，较年初预算数无增减，主要原因是</w:t>
      </w:r>
      <w:r>
        <w:rPr>
          <w:rFonts w:hint="eastAsia" w:ascii="方正仿宋_GBK" w:hAnsi="方正仿宋_GBK" w:eastAsia="方正仿宋_GBK" w:cs="方正仿宋_GBK"/>
          <w:sz w:val="32"/>
          <w:szCs w:val="32"/>
          <w:lang w:val="en-US" w:eastAsia="zh-CN"/>
        </w:rPr>
        <w:t>准确预算经费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未发生“三公”经费支出。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（二）“三公”经费分项支出情况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因公出国（境）费用0.00万元，费用支出较年初预算数无增减，主要原因是</w:t>
      </w:r>
      <w:r>
        <w:rPr>
          <w:rFonts w:hint="eastAsia" w:ascii="方正仿宋_GBK" w:hAnsi="方正仿宋_GBK" w:eastAsia="方正仿宋_GBK" w:cs="方正仿宋_GBK"/>
          <w:sz w:val="32"/>
          <w:szCs w:val="32"/>
          <w:lang w:val="en-US" w:eastAsia="zh-CN"/>
        </w:rPr>
        <w:t>准确预算经费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val="en-US" w:eastAsia="zh-CN"/>
        </w:rPr>
        <w:t>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车购置费0.00万元，费用支出较年初预算数无增减，主要原因是</w:t>
      </w:r>
      <w:r>
        <w:rPr>
          <w:rFonts w:hint="eastAsia" w:ascii="方正仿宋_GBK" w:hAnsi="方正仿宋_GBK" w:eastAsia="方正仿宋_GBK" w:cs="方正仿宋_GBK"/>
          <w:sz w:val="32"/>
          <w:szCs w:val="32"/>
          <w:lang w:val="en-US" w:eastAsia="zh-CN"/>
        </w:rPr>
        <w:t>准确预算经费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未发生公务车购置支出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车运行维护费0.00万元，费用支出较年初预算数无增减，主要原因是</w:t>
      </w:r>
      <w:r>
        <w:rPr>
          <w:rFonts w:hint="eastAsia" w:ascii="方正仿宋_GBK" w:hAnsi="方正仿宋_GBK" w:eastAsia="方正仿宋_GBK" w:cs="方正仿宋_GBK"/>
          <w:sz w:val="32"/>
          <w:szCs w:val="32"/>
          <w:lang w:val="en-US" w:eastAsia="zh-CN"/>
        </w:rPr>
        <w:t>准确预算经费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未发生公务车运行维护费支出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公务接待费0.00万元，费用支出较年初预算数无增减，主要原因是</w:t>
      </w:r>
      <w:r>
        <w:rPr>
          <w:rFonts w:hint="eastAsia" w:ascii="方正仿宋_GBK" w:hAnsi="方正仿宋_GBK" w:eastAsia="方正仿宋_GBK" w:cs="方正仿宋_GBK"/>
          <w:sz w:val="32"/>
          <w:szCs w:val="32"/>
          <w:lang w:val="en-US" w:eastAsia="zh-CN"/>
        </w:rPr>
        <w:t>准确预算经费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未发生公务接待费支出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（三）“三公”经费实物量情况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人均接待费0元，车均购置费0万元，车均维护费0万元。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（一）财政拨款会议费、培训费和差旅费情况说明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本年度会议费支出0.00万元，与2023年度相比，无增减，主要原因是</w:t>
      </w:r>
      <w:r>
        <w:rPr>
          <w:rFonts w:hint="eastAsia" w:ascii="方正仿宋_GBK" w:hAnsi="方正仿宋_GBK" w:eastAsia="方正仿宋_GBK" w:cs="方正仿宋_GBK"/>
          <w:sz w:val="32"/>
          <w:szCs w:val="32"/>
          <w:lang w:eastAsia="zh-CN"/>
        </w:rPr>
        <w:t>未发生会议费支出。</w:t>
      </w:r>
      <w:r>
        <w:rPr>
          <w:rFonts w:hint="eastAsia" w:ascii="方正仿宋_GBK" w:hAnsi="方正仿宋_GBK" w:eastAsia="方正仿宋_GBK" w:cs="方正仿宋_GBK"/>
          <w:sz w:val="32"/>
          <w:szCs w:val="32"/>
        </w:rPr>
        <w:t>本年度培训费支出0.48万元，与2023年度相比，增加0.02万元，增长4.4%，主要原因是</w:t>
      </w:r>
      <w:r>
        <w:rPr>
          <w:rFonts w:hint="eastAsia" w:ascii="方正仿宋_GBK" w:hAnsi="方正仿宋_GBK" w:eastAsia="方正仿宋_GBK" w:cs="方正仿宋_GBK"/>
          <w:sz w:val="32"/>
          <w:szCs w:val="32"/>
          <w:lang w:eastAsia="zh-CN"/>
        </w:rPr>
        <w:t>培训价格上涨。</w:t>
      </w:r>
      <w:r>
        <w:rPr>
          <w:rFonts w:hint="eastAsia" w:ascii="方正仿宋_GBK" w:hAnsi="方正仿宋_GBK" w:eastAsia="方正仿宋_GBK" w:cs="方正仿宋_GBK"/>
          <w:sz w:val="32"/>
          <w:szCs w:val="32"/>
        </w:rPr>
        <w:t>本年度差旅费支出0.00万元，与2023年度相比，无变化，主要原因是</w:t>
      </w:r>
      <w:r>
        <w:rPr>
          <w:rFonts w:hint="eastAsia" w:ascii="方正仿宋_GBK" w:hAnsi="方正仿宋_GBK" w:eastAsia="方正仿宋_GBK" w:cs="方正仿宋_GBK"/>
          <w:sz w:val="32"/>
          <w:szCs w:val="32"/>
          <w:lang w:eastAsia="zh-CN"/>
        </w:rPr>
        <w:t>未发生差旅费支出。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（二）机关运行经费情况说明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（三）国有资产占用情况说明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截至2024年12月31日，本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（四）政府采购支出情况说明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年度我单位未发生政府采购事项，无相关经费支出。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w:t>
      </w:r>
      <w:r>
        <w:rPr>
          <w:rFonts w:hint="eastAsia" w:ascii="方正黑体_GBK" w:hAnsi="方正黑体_GBK" w:eastAsia="方正黑体_GBK" w:cs="方正黑体_GBK"/>
          <w:sz w:val="32"/>
          <w:szCs w:val="32"/>
          <w:lang w:eastAsia="zh-CN"/>
        </w:rPr>
        <w:t>预算</w:t>
      </w:r>
      <w:r>
        <w:rPr>
          <w:rFonts w:hint="eastAsia" w:ascii="方正黑体_GBK" w:hAnsi="方正黑体_GBK" w:eastAsia="方正黑体_GBK" w:cs="方正黑体_GBK"/>
          <w:sz w:val="32"/>
          <w:szCs w:val="32"/>
          <w:lang w:val="en-US" w:eastAsia="zh-CN"/>
        </w:rPr>
        <w:t>绩效管理情况说明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（一）单位绩效</w:t>
      </w:r>
      <w:r>
        <w:rPr>
          <w:rFonts w:hint="eastAsia" w:ascii="方正楷体_GBK" w:hAnsi="方正楷体_GBK" w:eastAsia="方正楷体_GBK" w:cs="方正楷体_GBK"/>
          <w:sz w:val="32"/>
          <w:szCs w:val="32"/>
        </w:rPr>
        <w:t>自评情况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根据预算绩效管理要求，我单位对整体绩效开展了绩效自评，涉及财政拨款资金94.36万元，评价得分100分，评价等次为优。</w:t>
      </w:r>
      <w:r>
        <w:rPr>
          <w:rFonts w:hint="eastAsia" w:ascii="方正仿宋_GBK" w:hAnsi="方正仿宋_GBK" w:eastAsia="方正仿宋_GBK" w:cs="方正仿宋_GBK"/>
          <w:sz w:val="32"/>
          <w:szCs w:val="32"/>
          <w:lang w:eastAsia="zh-CN"/>
        </w:rPr>
        <w:t>单位整体绩效自评表详见附表。</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（二）单位绩效评价情况。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我单位未组织开展绩效评价。</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财政绩效评价情况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lang w:eastAsia="zh-CN"/>
        </w:rPr>
        <w:t>财政局未委托第三方对我单位开展绩效评价。</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、专业名词解释</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（二）事业收入：</w:t>
      </w:r>
      <w:r>
        <w:rPr>
          <w:rFonts w:hint="eastAsia" w:ascii="方正仿宋_GBK" w:hAnsi="方正仿宋_GBK" w:eastAsia="方正仿宋_GBK" w:cs="方正仿宋_GBK"/>
          <w:sz w:val="32"/>
          <w:szCs w:val="32"/>
        </w:rPr>
        <w:t>指事业单位开展专业业务活动及其辅助活动取得的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（五）使用非财政拨款结余</w:t>
      </w:r>
      <w:r>
        <w:rPr>
          <w:rFonts w:hint="eastAsia" w:ascii="方正楷体_GBK" w:hAnsi="方正楷体_GBK" w:eastAsia="方正楷体_GBK" w:cs="方正楷体_GBK"/>
          <w:sz w:val="32"/>
          <w:szCs w:val="32"/>
          <w:lang w:eastAsia="zh-CN"/>
        </w:rPr>
        <w:t>（含专用结余）</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指</w:t>
      </w:r>
      <w:r>
        <w:rPr>
          <w:rFonts w:hint="eastAsia" w:ascii="方正仿宋_GBK" w:hAnsi="方正仿宋_GBK" w:eastAsia="方正仿宋_GBK" w:cs="方正仿宋_GBK"/>
          <w:sz w:val="32"/>
          <w:szCs w:val="32"/>
          <w:lang w:eastAsia="zh-CN"/>
        </w:rPr>
        <w:t>事业单位按照预算管理要求使用非财政拨款结余弥补收支差额的金额，以及使用专用结余安排支出的金额。</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（十二）“三公”经费：</w:t>
      </w:r>
      <w:r>
        <w:rPr>
          <w:rFonts w:hint="eastAsia" w:ascii="方正仿宋_GBK" w:hAnsi="方正仿宋_GBK" w:eastAsia="方正仿宋_GBK" w:cs="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、决算公开联系方式及信息反馈渠道</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本部门决算公开信息反馈和联系方式：郎成，023-46212076</w:t>
      </w:r>
    </w:p>
    <w:p>
      <w:pPr>
        <w:keepNext w:val="0"/>
        <w:keepLines w:val="0"/>
        <w:pageBreakBefore w:val="0"/>
        <w:widowControl/>
        <w:kinsoku/>
        <w:wordWrap/>
        <w:overflowPunct/>
        <w:topLinePunct w:val="0"/>
        <w:autoSpaceDE/>
        <w:autoSpaceDN/>
        <w:bidi w:val="0"/>
        <w:adjustRightInd/>
        <w:snapToGrid w:val="0"/>
        <w:ind w:left="0" w:leftChars="0" w:firstLine="640" w:firstLineChars="200"/>
        <w:jc w:val="both"/>
        <w:textAlignment w:val="auto"/>
        <w:rPr>
          <w:rFonts w:hint="eastAsia" w:ascii="方正仿宋_GBK" w:hAnsi="方正仿宋_GBK" w:eastAsia="方正仿宋_GBK" w:cs="方正仿宋_GBK"/>
          <w:color w:val="auto"/>
          <w:sz w:val="32"/>
          <w:szCs w:val="32"/>
        </w:rPr>
      </w:pPr>
    </w:p>
    <w:p>
      <w:pPr>
        <w:keepNext w:val="0"/>
        <w:keepLines w:val="0"/>
        <w:pageBreakBefore w:val="0"/>
        <w:widowControl/>
        <w:kinsoku/>
        <w:wordWrap/>
        <w:overflowPunct/>
        <w:topLinePunct w:val="0"/>
        <w:autoSpaceDE/>
        <w:autoSpaceDN/>
        <w:bidi w:val="0"/>
        <w:adjustRightInd/>
        <w:snapToGrid w:val="0"/>
        <w:ind w:left="1598" w:leftChars="266" w:hanging="960" w:hangingChars="300"/>
        <w:jc w:val="both"/>
        <w:textAlignment w:val="auto"/>
        <w:rPr>
          <w:rFonts w:hint="eastAsia" w:ascii="方正仿宋_GBK" w:hAnsi="方正仿宋_GBK" w:eastAsia="方正仿宋_GBK" w:cs="方正仿宋_GBK"/>
          <w:color w:val="auto"/>
          <w:sz w:val="32"/>
          <w:szCs w:val="32"/>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lang w:val="en-US" w:eastAsia="zh-CN"/>
        </w:rPr>
        <w:t>附件：重庆市荣昌区峰高街道社区文化服务中心2024年度单位决算公开报表</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重庆市荣昌区峰高街道社区文化服务中心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重庆市荣昌区峰高街道社区文化服务中心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94.36</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94.36</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重庆市荣昌区峰高街道社区文化服务中心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94.36</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94.36</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重庆市荣昌区峰高街道社区文化服务中心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重庆市荣昌区峰高街道社区文化服务中心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94.36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94.36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重庆市荣昌区峰高街道社区文化服务中心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78.50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87.08</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重庆市荣昌区峰高街道社区文化服务中心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重庆市荣昌区峰高街道社区文化服务中心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重庆市荣昌区峰高街道社区文化服务中心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70"/>
        <w:gridCol w:w="406"/>
        <w:gridCol w:w="1603"/>
        <w:gridCol w:w="811"/>
        <w:gridCol w:w="1794"/>
        <w:gridCol w:w="582"/>
        <w:gridCol w:w="927"/>
        <w:gridCol w:w="985"/>
        <w:gridCol w:w="734"/>
        <w:gridCol w:w="753"/>
        <w:gridCol w:w="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32"/>
                <w:szCs w:val="32"/>
                <w:u w:val="none"/>
                <w:lang w:val="en-US" w:eastAsia="zh-CN" w:bidi="ar"/>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项目名称：</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重庆市荣昌区峰高街道</w:t>
            </w:r>
            <w:r>
              <w:rPr>
                <w:rFonts w:hint="eastAsia" w:cs="宋体"/>
                <w:b w:val="0"/>
                <w:bCs/>
                <w:i w:val="0"/>
                <w:color w:val="000000"/>
                <w:kern w:val="0"/>
                <w:sz w:val="22"/>
                <w:szCs w:val="22"/>
                <w:u w:val="none"/>
                <w:lang w:val="en-US" w:eastAsia="zh-CN" w:bidi="ar"/>
              </w:rPr>
              <w:t>社区文化服务中心</w:t>
            </w:r>
            <w:r>
              <w:rPr>
                <w:rFonts w:hint="eastAsia" w:ascii="宋体" w:hAnsi="宋体" w:eastAsia="宋体" w:cs="宋体"/>
                <w:b w:val="0"/>
                <w:bCs/>
                <w:i w:val="0"/>
                <w:color w:val="000000"/>
                <w:kern w:val="0"/>
                <w:sz w:val="22"/>
                <w:szCs w:val="22"/>
                <w:u w:val="none"/>
                <w:lang w:val="en-US" w:eastAsia="zh-CN" w:bidi="ar"/>
              </w:rPr>
              <w:t>整体自评</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项目编码：</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自评总分：</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项目主管</w:t>
            </w:r>
            <w:r>
              <w:rPr>
                <w:rFonts w:hint="eastAsia" w:cs="宋体"/>
                <w:b w:val="0"/>
                <w:bCs/>
                <w:i w:val="0"/>
                <w:color w:val="000000"/>
                <w:kern w:val="0"/>
                <w:sz w:val="22"/>
                <w:szCs w:val="22"/>
                <w:u w:val="none"/>
                <w:lang w:val="en-US" w:eastAsia="zh-CN" w:bidi="ar"/>
              </w:rPr>
              <w:t>单位</w:t>
            </w:r>
            <w:r>
              <w:rPr>
                <w:rFonts w:hint="eastAsia" w:ascii="宋体" w:hAnsi="宋体" w:eastAsia="宋体" w:cs="宋体"/>
                <w:b w:val="0"/>
                <w:bCs/>
                <w:i w:val="0"/>
                <w:color w:val="000000"/>
                <w:kern w:val="0"/>
                <w:sz w:val="22"/>
                <w:szCs w:val="22"/>
                <w:u w:val="none"/>
                <w:lang w:val="en-US" w:eastAsia="zh-CN" w:bidi="ar"/>
              </w:rPr>
              <w:t>：</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906</w:t>
            </w:r>
            <w:r>
              <w:rPr>
                <w:rFonts w:hint="eastAsia" w:cs="宋体"/>
                <w:b w:val="0"/>
                <w:bCs/>
                <w:i w:val="0"/>
                <w:color w:val="000000"/>
                <w:kern w:val="0"/>
                <w:sz w:val="22"/>
                <w:szCs w:val="22"/>
                <w:u w:val="none"/>
                <w:lang w:val="en-US" w:eastAsia="zh-CN" w:bidi="ar"/>
              </w:rPr>
              <w:t>003</w:t>
            </w:r>
            <w:r>
              <w:rPr>
                <w:rFonts w:hint="eastAsia" w:ascii="宋体" w:hAnsi="宋体" w:eastAsia="宋体" w:cs="宋体"/>
                <w:b w:val="0"/>
                <w:bCs/>
                <w:i w:val="0"/>
                <w:color w:val="000000"/>
                <w:kern w:val="0"/>
                <w:sz w:val="22"/>
                <w:szCs w:val="22"/>
                <w:u w:val="none"/>
                <w:lang w:val="en-US" w:eastAsia="zh-CN" w:bidi="ar"/>
              </w:rPr>
              <w:t>-重庆市荣昌区峰高街道</w:t>
            </w:r>
            <w:r>
              <w:rPr>
                <w:rFonts w:hint="eastAsia" w:cs="宋体"/>
                <w:b w:val="0"/>
                <w:bCs/>
                <w:i w:val="0"/>
                <w:color w:val="000000"/>
                <w:kern w:val="0"/>
                <w:sz w:val="22"/>
                <w:szCs w:val="22"/>
                <w:u w:val="none"/>
                <w:lang w:val="en-US" w:eastAsia="zh-CN" w:bidi="ar"/>
              </w:rPr>
              <w:t>社区文化服务中心</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财政归口处室：</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002-预算科</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部门联系人：</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苟天任</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联系电话：</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46212076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8"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年初预算数</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全年（调整）预算数</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全年执行数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年度总金额</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940,705.86</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 </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943,563.35 </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其中：财政拨款</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940,705.86</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i w:val="0"/>
                <w:color w:val="000000"/>
                <w:kern w:val="0"/>
                <w:sz w:val="22"/>
                <w:szCs w:val="22"/>
                <w:u w:val="none"/>
                <w:lang w:val="en-US" w:eastAsia="zh-CN" w:bidi="ar"/>
              </w:rPr>
            </w:pPr>
            <w:r>
              <w:rPr>
                <w:rFonts w:hint="default" w:ascii="宋体" w:hAnsi="宋体" w:eastAsia="宋体" w:cs="宋体"/>
                <w:b w:val="0"/>
                <w:bCs/>
                <w:i w:val="0"/>
                <w:color w:val="000000"/>
                <w:kern w:val="0"/>
                <w:sz w:val="22"/>
                <w:szCs w:val="22"/>
                <w:u w:val="none"/>
                <w:lang w:val="en-US" w:eastAsia="zh-CN" w:bidi="ar"/>
              </w:rPr>
              <w:t>943,563.35</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943,563.35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一般公共预算</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年初绩效目标</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全年（调整）绩效目标</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6" w:hRule="atLeast"/>
        </w:trPr>
        <w:tc>
          <w:tcPr>
            <w:tcW w:w="204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承担辖区内文化体育阵地建设，组织开展文化体育、文化交流、全民健身活动，组织辖区内文艺培训，负责广播电视、旅游等事务性服务工作，完成文化体育事业方面的其他服务工作。</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承担辖区内文化体育阵地建设，组织开展文化体育、文化交流、全民健身活动，组织辖区内文艺培训，负责广播电视、旅游等事务性服务工作，完成文化体育事业方面的其他服务工作。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指标名称</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计量单位</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指标性质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指标值</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全年完成值</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偏离度（%）</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得分系数（%）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指标权重</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指标得分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是否核心指标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GDP完成率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街道城镇建设质量合格率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社会救助政策知晓率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创建全国文明城区群众持续参与率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基本公共服务满意度</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bl>
    <w:p>
      <w:pPr>
        <w:tabs>
          <w:tab w:val="left" w:pos="1685"/>
        </w:tabs>
        <w:bidi w:val="0"/>
        <w:jc w:val="left"/>
        <w:rPr>
          <w:rFonts w:hint="default"/>
          <w:lang w:val="en-US" w:eastAsia="zh-CN"/>
        </w:rPr>
      </w:pPr>
    </w:p>
    <w:sectPr>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0E5453"/>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CB00587"/>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2DA6505"/>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8CF6644"/>
    <w:rsid w:val="191C433B"/>
    <w:rsid w:val="194A1770"/>
    <w:rsid w:val="19B906A4"/>
    <w:rsid w:val="1B6F15B6"/>
    <w:rsid w:val="1BAA2EDC"/>
    <w:rsid w:val="1C3602AC"/>
    <w:rsid w:val="1CA55E64"/>
    <w:rsid w:val="1D014A01"/>
    <w:rsid w:val="1D022362"/>
    <w:rsid w:val="1D1B04B0"/>
    <w:rsid w:val="1DA52501"/>
    <w:rsid w:val="1DBD6767"/>
    <w:rsid w:val="1DC52125"/>
    <w:rsid w:val="1DD26311"/>
    <w:rsid w:val="1E106290"/>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7B1867"/>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2842C0"/>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8E36BC5"/>
    <w:rsid w:val="5A3B59D6"/>
    <w:rsid w:val="5AD134D8"/>
    <w:rsid w:val="5BF41F67"/>
    <w:rsid w:val="5C263CE4"/>
    <w:rsid w:val="5C5D2777"/>
    <w:rsid w:val="5CF66BF3"/>
    <w:rsid w:val="5D290C69"/>
    <w:rsid w:val="5DA80C2C"/>
    <w:rsid w:val="5E6726BE"/>
    <w:rsid w:val="5F2D4A41"/>
    <w:rsid w:val="60C74F6C"/>
    <w:rsid w:val="60D10CC0"/>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5D52D0"/>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4436</Words>
  <Characters>4851</Characters>
  <Lines>186</Lines>
  <Paragraphs>52</Paragraphs>
  <TotalTime>10</TotalTime>
  <ScaleCrop>false</ScaleCrop>
  <LinksUpToDate>false</LinksUpToDate>
  <CharactersWithSpaces>4906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2025-09-28T01:26:14Z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BB46EABDBB2749749395447164B066B3_12</vt:lpwstr>
  </property>
  <property fmtid="{D5CDD505-2E9C-101B-9397-08002B2CF9AE}" pid="4" name="KSOTemplateDocerSaveRecord">
    <vt:lpwstr>eyJoZGlkIjoiOTRmMTA2MjUwYTg4MWE3MTdkZTE2NjAxYzk4YWViZWUiLCJ1c2VySWQiOiIxMzQ2NjAxMzAwIn0=</vt:lpwstr>
  </property>
</Properties>
</file>