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重庆市荣昌区峰高街道退役军人服务站</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w:t>
      </w:r>
      <w:bookmarkStart w:id="0" w:name="_GoBack"/>
      <w:bookmarkEnd w:id="0"/>
      <w:r>
        <w:rPr>
          <w:rFonts w:hint="eastAsia" w:ascii="方正小标宋_GBK" w:hAnsi="方正小标宋_GBK" w:eastAsia="方正小标宋_GBK" w:cs="方正小标宋_GBK"/>
          <w:sz w:val="44"/>
          <w:szCs w:val="44"/>
        </w:rPr>
        <w:t>决算公开说明</w:t>
      </w:r>
    </w:p>
    <w:p>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退役军人提供服务。负责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工作。</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本单位为重庆市荣昌区人民政府峰高街道办事处下属二级预算单位，无内设机构，2024年末实有在职人员2人。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总计</w:t>
      </w:r>
      <w:r>
        <w:rPr>
          <w:rFonts w:hint="eastAsia" w:ascii="方正仿宋_GBK" w:hAnsi="方正仿宋_GBK" w:eastAsia="方正仿宋_GBK" w:cs="方正仿宋_GBK"/>
          <w:sz w:val="32"/>
          <w:szCs w:val="32"/>
          <w:lang w:eastAsia="zh-CN"/>
        </w:rPr>
        <w:t>均为</w:t>
      </w:r>
      <w:r>
        <w:rPr>
          <w:rFonts w:hint="eastAsia" w:ascii="方正仿宋_GBK" w:hAnsi="方正仿宋_GBK" w:eastAsia="方正仿宋_GBK" w:cs="方正仿宋_GBK"/>
          <w:sz w:val="32"/>
          <w:szCs w:val="32"/>
        </w:rPr>
        <w:t>55.30万元。收、支与2023年度相比，减少10.13万元，下降15.5%，主要原因是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.收入情况。2024年度收入合计55.30万元，与2023年度相比，减少10.13万元，下降15.5%，主要原因是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其中：财政拨款收入55.30万元，占100.0%；事业收入0.00万元，占0.0%；经营收入0.00万元，占0.0%；其他收入0.00万元，占0.0%。此外，使用非财政拨款结余（含专用结余）0.00万元，年初结转和结余0.00万元。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.支出情况。2024年度支出合计55.30万元，与2023年度相比，减少10.13万元，下降15.5%，主要原因是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其中：基本支出55.30万元，占100.0%；项目支出0.00万元，占0.0%；经营支出0.00万元，占0.0%。此外，结余分配0.00万元。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.结转结余情况。2024年度年末结转和结余0.00万元，与2023年度相比，无增减，主要原因是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2024年度财政拨款收、支总计均为55.30万元。与2023年</w:t>
      </w:r>
      <w:r>
        <w:rPr>
          <w:rFonts w:hint="eastAsia" w:ascii="方正仿宋_GBK" w:hAnsi="方正仿宋_GBK" w:eastAsia="方正仿宋_GBK" w:cs="方正仿宋_GBK"/>
          <w:sz w:val="32"/>
          <w:szCs w:val="32"/>
          <w:lang w:eastAsia="zh-CN"/>
        </w:rPr>
        <w:t>度</w:t>
      </w:r>
      <w:r>
        <w:rPr>
          <w:rFonts w:hint="eastAsia" w:ascii="方正仿宋_GBK" w:hAnsi="方正仿宋_GBK" w:eastAsia="方正仿宋_GBK" w:cs="方正仿宋_GBK"/>
          <w:sz w:val="32"/>
          <w:szCs w:val="32"/>
        </w:rPr>
        <w:t>相比，财政拨款收、支总计各减少10.13万元，下降15.5%。主要原因是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一般公共预算财政拨款收入支出决算情况说明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1.收入情况。</w:t>
      </w:r>
      <w:r>
        <w:rPr>
          <w:rFonts w:hint="eastAsia" w:ascii="方正仿宋_GBK" w:hAnsi="方正仿宋_GBK" w:eastAsia="方正仿宋_GBK" w:cs="方正仿宋_GBK"/>
          <w:sz w:val="32"/>
          <w:szCs w:val="32"/>
        </w:rPr>
        <w:t>2024年度一般公共预算财政拨款收入55.30万元，与2023年度相比，减少10.13万元，下降15.5%。主要原因是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较年初预算数减少8.93万元，下降13.9%。主要原因是</w:t>
      </w:r>
      <w:r>
        <w:rPr>
          <w:rFonts w:hint="eastAsia" w:ascii="方正仿宋_GBK" w:hAnsi="方正仿宋_GBK" w:eastAsia="方正仿宋_GBK" w:cs="方正仿宋_GBK"/>
          <w:sz w:val="32"/>
          <w:szCs w:val="32"/>
          <w:lang w:val="en-US" w:eastAsia="zh-CN"/>
        </w:rPr>
        <w:t>职工工资福利减少。</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2.支出情况。2024年度一般公共预算财政拨款支出55.30万元，与2023年度相比，减少10.13万元，下降15.5%。主要原因是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较年初预算数减少8.93万元，下降13.9%。主要原因是</w:t>
      </w:r>
      <w:r>
        <w:rPr>
          <w:rFonts w:hint="eastAsia" w:ascii="方正仿宋_GBK" w:hAnsi="方正仿宋_GBK" w:eastAsia="方正仿宋_GBK" w:cs="方正仿宋_GBK"/>
          <w:sz w:val="32"/>
          <w:szCs w:val="32"/>
          <w:lang w:val="en-US" w:eastAsia="zh-CN"/>
        </w:rPr>
        <w:t>职工工资福利减少。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一般公共预算财政拨款支出主要</w:t>
      </w:r>
      <w:r>
        <w:rPr>
          <w:rFonts w:hint="eastAsia" w:ascii="方正仿宋_GBK" w:hAnsi="方正仿宋_GBK" w:eastAsia="方正仿宋_GBK" w:cs="方正仿宋_GBK"/>
          <w:sz w:val="32"/>
          <w:szCs w:val="32"/>
          <w:lang w:eastAsia="zh-CN"/>
        </w:rPr>
        <w:t>用途如下</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）教育支出0.35万元，占0.6%，较年初预算数无增减，主要原因是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就业支出49.95万元，占90.3%，较年初预算数减少8.29万元，下降14.2%，主要原因是</w:t>
      </w:r>
      <w:r>
        <w:rPr>
          <w:rFonts w:hint="eastAsia" w:ascii="方正仿宋_GBK" w:hAnsi="方正仿宋_GBK" w:eastAsia="方正仿宋_GBK" w:cs="方正仿宋_GBK"/>
          <w:sz w:val="32"/>
          <w:szCs w:val="32"/>
          <w:lang w:eastAsia="zh-CN"/>
        </w:rPr>
        <w:t>人员减少导致职工福利减少。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）卫生健康支出2.47万元，占4.5%，较年初预算数减少0.35万元，下降12.4%，主要原因是</w:t>
      </w:r>
      <w:r>
        <w:rPr>
          <w:rFonts w:hint="eastAsia" w:ascii="方正仿宋_GBK" w:hAnsi="方正仿宋_GBK" w:eastAsia="方正仿宋_GBK" w:cs="方正仿宋_GBK"/>
          <w:sz w:val="32"/>
          <w:szCs w:val="32"/>
          <w:lang w:eastAsia="zh-CN"/>
        </w:rPr>
        <w:t>人员减少导致职工医疗保险费用减少。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）住房保障支出2.54万元，占4.6%，较年初预算数减少0.27万元，下降9.6%，主要原因是</w:t>
      </w:r>
      <w:r>
        <w:rPr>
          <w:rFonts w:hint="eastAsia" w:ascii="方正仿宋_GBK" w:hAnsi="方正仿宋_GBK" w:eastAsia="方正仿宋_GBK" w:cs="方正仿宋_GBK"/>
          <w:sz w:val="32"/>
          <w:szCs w:val="32"/>
          <w:lang w:eastAsia="zh-CN"/>
        </w:rPr>
        <w:t>人员减少导致住房公积金减少。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3.结转结余情况。2024年度年末一般公共预算财政拨款结转和结余0.00万元，与2023年度相比，无增减，主要原因是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2024年度一般公共财政拨款基本支出55.30万元。其中：</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人员经费49.63万元，与2023年度相比，减少5.72万元，下降10.3%，主要原因是</w:t>
      </w:r>
      <w:r>
        <w:rPr>
          <w:rFonts w:hint="eastAsia" w:ascii="方正仿宋_GBK" w:hAnsi="方正仿宋_GBK" w:eastAsia="方正仿宋_GBK" w:cs="方正仿宋_GBK"/>
          <w:sz w:val="32"/>
          <w:szCs w:val="32"/>
          <w:lang w:eastAsia="zh-CN"/>
        </w:rPr>
        <w:t>人员减少导致职工工资福利减少。</w:t>
      </w:r>
      <w:r>
        <w:rPr>
          <w:rFonts w:hint="eastAsia" w:ascii="方正仿宋_GBK" w:hAnsi="方正仿宋_GBK" w:eastAsia="方正仿宋_GBK" w:cs="方正仿宋_GBK"/>
          <w:sz w:val="32"/>
          <w:szCs w:val="32"/>
        </w:rPr>
        <w:t>人员经费用途主要包括基本工资、津贴补贴、绩效工资、社会保障缴费、住房公积金。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公用经费5.68万元，与2023年度相比，减少4.40万元，下降43.7%，主要原因是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培训费和工会经费减少。</w:t>
      </w:r>
      <w:r>
        <w:rPr>
          <w:rFonts w:hint="eastAsia" w:ascii="方正仿宋_GBK" w:hAnsi="方正仿宋_GBK" w:eastAsia="方正仿宋_GBK" w:cs="方正仿宋_GBK"/>
          <w:sz w:val="32"/>
          <w:szCs w:val="32"/>
        </w:rPr>
        <w:t>公用经费用途主要包括办公费、水电费、培训费、福利费、工会经费、其他商品和服务支出。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本单位2024年度无政府性基金预算财政拨款收支。</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2024年度“三公”经费支出共计0.00万元，较年初预算数无增减，主要原因</w:t>
      </w:r>
      <w:r>
        <w:rPr>
          <w:rFonts w:hint="eastAsia" w:ascii="方正仿宋_GBK" w:hAnsi="方正仿宋_GBK" w:eastAsia="方正仿宋_GBK" w:cs="方正仿宋_GBK"/>
          <w:sz w:val="32"/>
          <w:szCs w:val="32"/>
          <w:lang w:eastAsia="zh-CN"/>
        </w:rPr>
        <w:t>未发生“三公”经费支出。</w:t>
      </w:r>
      <w:r>
        <w:rPr>
          <w:rFonts w:hint="eastAsia" w:ascii="方正仿宋_GBK" w:hAnsi="方正仿宋_GBK" w:eastAsia="方正仿宋_GBK" w:cs="方正仿宋_GBK"/>
          <w:sz w:val="32"/>
          <w:szCs w:val="32"/>
        </w:rPr>
        <w:t>较上年支出数无增减，主要原因</w:t>
      </w:r>
      <w:r>
        <w:rPr>
          <w:rFonts w:hint="eastAsia" w:ascii="方正仿宋_GBK" w:hAnsi="方正仿宋_GBK" w:eastAsia="方正仿宋_GBK" w:cs="方正仿宋_GBK"/>
          <w:sz w:val="32"/>
          <w:szCs w:val="32"/>
          <w:lang w:eastAsia="zh-CN"/>
        </w:rPr>
        <w:t>未发生“三公”经费支出。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因公出国（境）费用0.00万元，</w:t>
      </w:r>
      <w:r>
        <w:rPr>
          <w:rFonts w:hint="eastAsia" w:ascii="方正仿宋_GBK" w:hAnsi="方正仿宋_GBK" w:eastAsia="方正仿宋_GBK" w:cs="方正仿宋_GBK"/>
          <w:sz w:val="32"/>
          <w:szCs w:val="32"/>
          <w:lang w:val="en-US" w:eastAsia="zh-CN"/>
        </w:rPr>
        <w:t>未发生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未发生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车购置费0.00万元，</w:t>
      </w:r>
      <w:r>
        <w:rPr>
          <w:rFonts w:hint="eastAsia" w:ascii="方正仿宋_GBK" w:hAnsi="方正仿宋_GBK" w:eastAsia="方正仿宋_GBK" w:cs="方正仿宋_GBK"/>
          <w:sz w:val="32"/>
          <w:szCs w:val="32"/>
          <w:lang w:val="en-US" w:eastAsia="zh-CN"/>
        </w:rPr>
        <w:t>未发生公务车购置支出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未发生公务车购置支出</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未发生公务车购置支出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车运行维护费0.00万元，</w:t>
      </w:r>
      <w:r>
        <w:rPr>
          <w:rFonts w:hint="eastAsia" w:ascii="方正仿宋_GBK" w:hAnsi="方正仿宋_GBK" w:eastAsia="方正仿宋_GBK" w:cs="方正仿宋_GBK"/>
          <w:sz w:val="32"/>
          <w:szCs w:val="32"/>
          <w:lang w:eastAsia="zh-CN"/>
        </w:rPr>
        <w:t>未发生公务用车运行维护支出。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eastAsia="zh-CN"/>
        </w:rPr>
        <w:t>未发生公务用车运行维护支出。</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eastAsia="zh-CN"/>
        </w:rPr>
        <w:t>未发生公务用车运行维护支出。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w:t>
      </w:r>
      <w:r>
        <w:rPr>
          <w:rFonts w:hint="eastAsia" w:ascii="方正仿宋_GBK" w:hAnsi="方正仿宋_GBK" w:eastAsia="方正仿宋_GBK" w:cs="方正仿宋_GBK"/>
          <w:sz w:val="32"/>
          <w:szCs w:val="32"/>
          <w:lang w:val="en-US" w:eastAsia="zh-CN"/>
        </w:rPr>
        <w:t>未发生公务接待费支出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未发生公务接待费支出</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未发生公务接待费支出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人均接待费0元，车均购置费0万元，车均维护费0万元。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（一）财政拨款会议费、培训费和差旅费情况说明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本年度会议费支出0.00万元，与2023年度相比，无增减，主要原因是</w:t>
      </w:r>
      <w:r>
        <w:rPr>
          <w:rFonts w:hint="eastAsia" w:ascii="方正仿宋_GBK" w:hAnsi="方正仿宋_GBK" w:eastAsia="方正仿宋_GBK" w:cs="方正仿宋_GBK"/>
          <w:sz w:val="32"/>
          <w:szCs w:val="32"/>
          <w:lang w:eastAsia="zh-CN"/>
        </w:rPr>
        <w:t>未发生会议费支出。</w:t>
      </w:r>
      <w:r>
        <w:rPr>
          <w:rFonts w:hint="eastAsia" w:ascii="方正仿宋_GBK" w:hAnsi="方正仿宋_GBK" w:eastAsia="方正仿宋_GBK" w:cs="方正仿宋_GBK"/>
          <w:sz w:val="32"/>
          <w:szCs w:val="32"/>
        </w:rPr>
        <w:t>本年度培训费支出0.35万元，与2023年度相比，增加0.01万元，增长2.9%，主要原因是</w:t>
      </w:r>
      <w:r>
        <w:rPr>
          <w:rFonts w:hint="eastAsia" w:ascii="方正仿宋_GBK" w:hAnsi="方正仿宋_GBK" w:eastAsia="方正仿宋_GBK" w:cs="方正仿宋_GBK"/>
          <w:sz w:val="32"/>
          <w:szCs w:val="32"/>
          <w:lang w:eastAsia="zh-CN"/>
        </w:rPr>
        <w:t>培训价格上涨。</w:t>
      </w:r>
      <w:r>
        <w:rPr>
          <w:rFonts w:hint="eastAsia" w:ascii="方正仿宋_GBK" w:hAnsi="方正仿宋_GBK" w:eastAsia="方正仿宋_GBK" w:cs="方正仿宋_GBK"/>
          <w:sz w:val="32"/>
          <w:szCs w:val="32"/>
        </w:rPr>
        <w:t>本年度差旅费支出0.00万元，与2023年度相比，无变化，主要原因是</w:t>
      </w:r>
      <w:r>
        <w:rPr>
          <w:rFonts w:hint="eastAsia" w:ascii="方正仿宋_GBK" w:hAnsi="方正仿宋_GBK" w:eastAsia="方正仿宋_GBK" w:cs="方正仿宋_GBK"/>
          <w:sz w:val="32"/>
          <w:szCs w:val="32"/>
          <w:lang w:eastAsia="zh-CN"/>
        </w:rPr>
        <w:t>未发生差旅费支出。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年度我单位未发生政府采购事项，无相关经费支</w:t>
      </w:r>
      <w:r>
        <w:rPr>
          <w:rFonts w:hint="eastAsia" w:ascii="方正仿宋_GBK" w:hAnsi="方正仿宋_GBK" w:eastAsia="方正仿宋_GBK" w:cs="方正仿宋_GBK"/>
          <w:sz w:val="32"/>
          <w:szCs w:val="32"/>
          <w:lang w:eastAsia="zh-CN"/>
        </w:rPr>
        <w:t>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sz w:val="32"/>
          <w:szCs w:val="32"/>
          <w:lang w:eastAsia="zh-CN"/>
        </w:rPr>
        <w:t>预算</w:t>
      </w:r>
      <w:r>
        <w:rPr>
          <w:rFonts w:hint="eastAsia" w:ascii="方正黑体_GBK" w:hAnsi="方正黑体_GBK" w:eastAsia="方正黑体_GBK" w:cs="方正黑体_GBK"/>
          <w:sz w:val="32"/>
          <w:szCs w:val="32"/>
          <w:lang w:val="en-US" w:eastAsia="zh-CN"/>
        </w:rPr>
        <w:t>绩效管理情况说明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单位绩效</w:t>
      </w:r>
      <w:r>
        <w:rPr>
          <w:rFonts w:hint="eastAsia" w:ascii="方正楷体_GBK" w:hAnsi="方正楷体_GBK" w:eastAsia="方正楷体_GBK" w:cs="方正楷体_GBK"/>
          <w:sz w:val="32"/>
          <w:szCs w:val="32"/>
        </w:rPr>
        <w:t>自评情况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根据预算绩效管理要求，我单位对整体绩效开展了绩效自评，涉及财政拨款资金55.30万元，评价得分100分，评价等次为优。</w:t>
      </w:r>
      <w:r>
        <w:rPr>
          <w:rFonts w:hint="eastAsia" w:ascii="方正仿宋_GBK" w:hAnsi="方正仿宋_GBK" w:eastAsia="方正仿宋_GBK" w:cs="方正仿宋_GBK"/>
          <w:sz w:val="32"/>
          <w:szCs w:val="32"/>
          <w:lang w:eastAsia="zh-CN"/>
        </w:rPr>
        <w:t>单位整体绩效自评表详见附表。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US" w:eastAsia="zh-CN"/>
        </w:rPr>
        <w:t>单位</w:t>
      </w:r>
      <w:r>
        <w:rPr>
          <w:rFonts w:hint="eastAsia" w:ascii="方正楷体_GBK" w:hAnsi="方正楷体_GBK" w:eastAsia="方正楷体_GBK" w:cs="方正楷体_GBK"/>
          <w:sz w:val="32"/>
          <w:szCs w:val="32"/>
        </w:rPr>
        <w:t>绩效评价情况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我单位未组织开展绩效评价。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财政绩效评价情况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财政局未委托第三方对我单位开展绩效评价。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、专业名词解释</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楷体_GBK" w:hAnsi="方正楷体_GBK" w:eastAsia="方正楷体_GBK" w:cs="方正楷体_GBK"/>
          <w:sz w:val="32"/>
          <w:szCs w:val="32"/>
          <w:lang w:eastAsia="zh-CN"/>
        </w:rPr>
        <w:t>（含专用结余）</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指</w:t>
      </w:r>
      <w:r>
        <w:rPr>
          <w:rFonts w:hint="eastAsia" w:ascii="方正仿宋_GBK" w:hAnsi="方正仿宋_GBK" w:eastAsia="方正仿宋_GBK" w:cs="方正仿宋_GBK"/>
          <w:sz w:val="32"/>
          <w:szCs w:val="32"/>
          <w:lang w:eastAsia="zh-CN"/>
        </w:rPr>
        <w:t>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、决算公开联系方式及信息反馈渠道</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本部门决算公开信息反馈和联系方式：郎成，023-46212076</w:t>
      </w:r>
    </w:p>
    <w:p>
      <w:pPr>
        <w:bidi w:val="0"/>
        <w:rPr>
          <w:rFonts w:hint="eastAsia"/>
        </w:rPr>
      </w:pPr>
    </w:p>
    <w:p>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eastAsia" w:ascii="方正仿宋_GBK" w:hAnsi="方正仿宋_GBK" w:eastAsia="方正仿宋_GBK" w:cs="方正仿宋_GBK"/>
          <w:color w:val="auto"/>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lang w:val="en-US" w:eastAsia="zh-CN"/>
        </w:rPr>
        <w:t>附件：重庆市荣昌区峰高街道退役军人服务站2024年度单位决算公开报表</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重庆市荣昌区峰高街道退役军人服务站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重庆市荣昌区峰高街道退役军人服务站</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55.30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55.30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重庆市荣昌区峰高街道退役军人服务站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55.30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55.30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重庆市荣昌区峰高街道退役军人服务站</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重庆市荣昌区峰高街道退役军人服务站</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49.63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重庆市荣昌区峰高街道退役军人服务站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重庆市荣昌区峰高街道退役军人服务站</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0"/>
        <w:gridCol w:w="406"/>
        <w:gridCol w:w="1603"/>
        <w:gridCol w:w="811"/>
        <w:gridCol w:w="1794"/>
        <w:gridCol w:w="582"/>
        <w:gridCol w:w="927"/>
        <w:gridCol w:w="985"/>
        <w:gridCol w:w="734"/>
        <w:gridCol w:w="753"/>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32"/>
                <w:szCs w:val="32"/>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项目名称：</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退役军人服务站</w:t>
            </w:r>
            <w:r>
              <w:rPr>
                <w:rFonts w:hint="eastAsia" w:ascii="宋体" w:hAnsi="宋体" w:eastAsia="宋体" w:cs="宋体"/>
                <w:b w:val="0"/>
                <w:bCs/>
                <w:i w:val="0"/>
                <w:color w:val="000000"/>
                <w:kern w:val="0"/>
                <w:sz w:val="22"/>
                <w:szCs w:val="22"/>
                <w:u w:val="none"/>
                <w:lang w:val="en-US" w:eastAsia="zh-CN" w:bidi="ar"/>
              </w:rPr>
              <w:t>整体自评</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项目编码：</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自评总分：</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项目主管</w:t>
            </w:r>
            <w:r>
              <w:rPr>
                <w:rFonts w:hint="eastAsia" w:cs="宋体"/>
                <w:b w:val="0"/>
                <w:bCs/>
                <w:i w:val="0"/>
                <w:color w:val="000000"/>
                <w:kern w:val="0"/>
                <w:sz w:val="22"/>
                <w:szCs w:val="22"/>
                <w:u w:val="none"/>
                <w:lang w:val="en-US" w:eastAsia="zh-CN" w:bidi="ar"/>
              </w:rPr>
              <w:t>单位</w:t>
            </w:r>
            <w:r>
              <w:rPr>
                <w:rFonts w:hint="eastAsia" w:ascii="宋体" w:hAnsi="宋体" w:eastAsia="宋体" w:cs="宋体"/>
                <w:b w:val="0"/>
                <w:bCs/>
                <w:i w:val="0"/>
                <w:color w:val="000000"/>
                <w:kern w:val="0"/>
                <w:sz w:val="22"/>
                <w:szCs w:val="22"/>
                <w:u w:val="none"/>
                <w:lang w:val="en-US" w:eastAsia="zh-CN" w:bidi="ar"/>
              </w:rPr>
              <w:t>：</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906</w:t>
            </w:r>
            <w:r>
              <w:rPr>
                <w:rFonts w:hint="eastAsia" w:cs="宋体"/>
                <w:b w:val="0"/>
                <w:bCs/>
                <w:i w:val="0"/>
                <w:color w:val="000000"/>
                <w:kern w:val="0"/>
                <w:sz w:val="22"/>
                <w:szCs w:val="22"/>
                <w:u w:val="none"/>
                <w:lang w:val="en-US" w:eastAsia="zh-CN" w:bidi="ar"/>
              </w:rPr>
              <w:t>005</w:t>
            </w: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退役军人服务站</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财政归口处室：</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002-预算科</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部门联系人：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苟天任</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联系电话：</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46212076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年初预算数</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全年执行数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年度总金额</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616,272.88</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553,016.94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其中：财政拨款</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616,272.88</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553,016.94</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553,016.94</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一般公共预算</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年初绩效目标</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全年（调整）绩效目标</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6"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负责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工作。</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负责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指标名称</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计量单位</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指标性质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指标值</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得分系数（%）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指标权重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是否核心指标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GDP完成率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街道城镇建设质量合格率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安全隐患处置及时率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社会救助政策知晓率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创建全国文明城区群众持续参与率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基本公共服务满意度</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bl>
    <w:p>
      <w:pPr>
        <w:rPr>
          <w:rFonts w:hint="default" w:cs="宋体"/>
          <w:sz w:val="18"/>
          <w:szCs w:val="18"/>
        </w:rPr>
      </w:pPr>
    </w:p>
    <w:sectPr>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5D7171"/>
    <w:rsid w:val="27B23302"/>
    <w:rsid w:val="29310A5F"/>
    <w:rsid w:val="29C37A35"/>
    <w:rsid w:val="2A076083"/>
    <w:rsid w:val="2A73162E"/>
    <w:rsid w:val="2AFD0785"/>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6CE242B"/>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B0370C"/>
    <w:rsid w:val="3FCD675E"/>
    <w:rsid w:val="4004000C"/>
    <w:rsid w:val="40BD5482"/>
    <w:rsid w:val="411B6CE5"/>
    <w:rsid w:val="412070D7"/>
    <w:rsid w:val="41314E40"/>
    <w:rsid w:val="41E0734B"/>
    <w:rsid w:val="42636A11"/>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E7333BC"/>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496058"/>
    <w:rsid w:val="5BF41F67"/>
    <w:rsid w:val="5C263CE4"/>
    <w:rsid w:val="5C5D2777"/>
    <w:rsid w:val="5CF66BF3"/>
    <w:rsid w:val="5D290C69"/>
    <w:rsid w:val="5DA80C2C"/>
    <w:rsid w:val="5F2D4A41"/>
    <w:rsid w:val="600D5BB3"/>
    <w:rsid w:val="60C74F6C"/>
    <w:rsid w:val="61015958"/>
    <w:rsid w:val="61025A59"/>
    <w:rsid w:val="61107182"/>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BFF7E2B"/>
    <w:rsid w:val="6C0A5AC5"/>
    <w:rsid w:val="6C560CAE"/>
    <w:rsid w:val="6C576495"/>
    <w:rsid w:val="6D903FF5"/>
    <w:rsid w:val="6DA955B8"/>
    <w:rsid w:val="6DE346AB"/>
    <w:rsid w:val="6DE5391A"/>
    <w:rsid w:val="6EA33243"/>
    <w:rsid w:val="6EAC53BE"/>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4485</Words>
  <Characters>4898</Characters>
  <Lines>186</Lines>
  <Paragraphs>52</Paragraphs>
  <TotalTime>16</TotalTime>
  <ScaleCrop>false</ScaleCrop>
  <LinksUpToDate>false</LinksUpToDate>
  <CharactersWithSpaces>4953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2025-09-28T01:22:17Z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eyJoZGlkIjoiOTRmMTA2MjUwYTg4MWE3MTdkZTE2NjAxYzk4YWViZWUiLCJ1c2VySWQiOiIxMzQ2NjAxMzAwIn0=</vt:lpwstr>
  </property>
</Properties>
</file>