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val="0"/>
        <w:jc w:val="center"/>
        <w:textAlignment w:val="auto"/>
        <w:rPr>
          <w:rFonts w:hint="eastAsia" w:ascii="方正小标宋_GBK" w:hAnsi="方正小标宋_GBK" w:eastAsia="方正小标宋_GBK" w:cs="方正小标宋_GBK"/>
          <w:sz w:val="44"/>
          <w:szCs w:val="44"/>
        </w:rPr>
      </w:pPr>
      <w:bookmarkStart w:id="0" w:name="_GoBack"/>
      <w:bookmarkEnd w:id="0"/>
      <w:r>
        <w:rPr>
          <w:rFonts w:hint="eastAsia" w:ascii="方正小标宋_GBK" w:hAnsi="方正小标宋_GBK" w:eastAsia="方正小标宋_GBK" w:cs="方正小标宋_GBK"/>
          <w:sz w:val="44"/>
          <w:szCs w:val="44"/>
        </w:rPr>
        <w:t>重庆市荣昌区峰高街道农业服务中心</w:t>
      </w:r>
    </w:p>
    <w:p>
      <w:pPr>
        <w:keepNext w:val="0"/>
        <w:keepLines w:val="0"/>
        <w:pageBreakBefore w:val="0"/>
        <w:widowControl/>
        <w:kinsoku/>
        <w:wordWrap/>
        <w:overflowPunct/>
        <w:topLinePunct w:val="0"/>
        <w:autoSpaceDE/>
        <w:autoSpaceDN/>
        <w:bidi w:val="0"/>
        <w:adjustRightInd/>
        <w:snapToGrid w:val="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2024年度决算公开说明</w:t>
      </w:r>
    </w:p>
    <w:p>
      <w:pPr>
        <w:keepNext w:val="0"/>
        <w:keepLines w:val="0"/>
        <w:pageBreakBefore w:val="0"/>
        <w:widowControl/>
        <w:kinsoku/>
        <w:wordWrap/>
        <w:overflowPunct/>
        <w:topLinePunct w:val="0"/>
        <w:autoSpaceDE/>
        <w:autoSpaceDN/>
        <w:bidi w:val="0"/>
        <w:adjustRightInd/>
        <w:snapToGrid w:val="0"/>
        <w:jc w:val="both"/>
        <w:textAlignment w:val="auto"/>
        <w:rPr>
          <w:rFonts w:hint="eastAsia" w:ascii="方正仿宋_GBK" w:hAnsi="方正仿宋_GBK" w:eastAsia="方正仿宋_GBK" w:cs="方正仿宋_GBK"/>
          <w:sz w:val="32"/>
          <w:szCs w:val="32"/>
        </w:rPr>
      </w:pP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w:t>
      </w:r>
      <w:r>
        <w:rPr>
          <w:rFonts w:hint="eastAsia" w:ascii="方正黑体_GBK" w:hAnsi="方正黑体_GBK" w:eastAsia="方正黑体_GBK" w:cs="方正黑体_GBK"/>
          <w:sz w:val="32"/>
          <w:szCs w:val="32"/>
          <w:lang w:eastAsia="zh-CN"/>
        </w:rPr>
        <w:t>单位</w:t>
      </w:r>
      <w:r>
        <w:rPr>
          <w:rFonts w:hint="eastAsia" w:ascii="方正黑体_GBK" w:hAnsi="方正黑体_GBK" w:eastAsia="方正黑体_GBK" w:cs="方正黑体_GBK"/>
          <w:sz w:val="32"/>
          <w:szCs w:val="32"/>
        </w:rPr>
        <w:t>基本情况</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rPr>
        <w:t>（一）职能职责</w:t>
      </w:r>
      <w:r>
        <w:rPr>
          <w:rFonts w:hint="eastAsia" w:ascii="方正楷体_GBK" w:hAnsi="方正楷体_GBK" w:eastAsia="方正楷体_GBK" w:cs="方正楷体_GBK"/>
          <w:sz w:val="32"/>
          <w:szCs w:val="32"/>
          <w:lang w:eastAsia="zh-CN"/>
        </w:rPr>
        <w:t>。</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推广先进农业技术，促进农村发展。负责农技、农机、林业、水利水保、水产等方面的重大技术推广、信息服务、资源环境保护、灾害防治、土地规模经营管理、农产品质量安全监管公共服务工作。实施动物疫病的防疫、强制免疫。承担辖区内疫病监测报告、病死畜禽无害化处理，指导做好动物免疫、兽药饲料使用等工作，开展动物产地检疫</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畜禽调备案工作。</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rPr>
        <w:t>（二）机构设置</w:t>
      </w:r>
      <w:r>
        <w:rPr>
          <w:rFonts w:hint="eastAsia" w:ascii="方正楷体_GBK" w:hAnsi="方正楷体_GBK" w:eastAsia="方正楷体_GBK" w:cs="方正楷体_GBK"/>
          <w:sz w:val="32"/>
          <w:szCs w:val="32"/>
          <w:lang w:eastAsia="zh-CN"/>
        </w:rPr>
        <w:t>。</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本单位为重庆市荣昌区人民政府峰高街道办事处下属二级预算单位，无内设机构，2024年末实有在职人员29人。</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w:t>
      </w:r>
      <w:r>
        <w:rPr>
          <w:rFonts w:hint="eastAsia" w:ascii="方正黑体_GBK" w:hAnsi="方正黑体_GBK" w:eastAsia="方正黑体_GBK" w:cs="方正黑体_GBK"/>
          <w:sz w:val="32"/>
          <w:szCs w:val="32"/>
          <w:lang w:eastAsia="zh-CN"/>
        </w:rPr>
        <w:t>单位</w:t>
      </w:r>
      <w:r>
        <w:rPr>
          <w:rFonts w:hint="eastAsia" w:ascii="方正黑体_GBK" w:hAnsi="方正黑体_GBK" w:eastAsia="方正黑体_GBK" w:cs="方正黑体_GBK"/>
          <w:sz w:val="32"/>
          <w:szCs w:val="32"/>
        </w:rPr>
        <w:t>决算</w:t>
      </w:r>
      <w:r>
        <w:rPr>
          <w:rFonts w:hint="eastAsia" w:ascii="方正黑体_GBK" w:hAnsi="方正黑体_GBK" w:eastAsia="方正黑体_GBK" w:cs="方正黑体_GBK"/>
          <w:sz w:val="32"/>
          <w:szCs w:val="32"/>
          <w:lang w:eastAsia="zh-CN"/>
        </w:rPr>
        <w:t>收支</w:t>
      </w:r>
      <w:r>
        <w:rPr>
          <w:rFonts w:hint="eastAsia" w:ascii="方正黑体_GBK" w:hAnsi="方正黑体_GBK" w:eastAsia="方正黑体_GBK" w:cs="方正黑体_GBK"/>
          <w:sz w:val="32"/>
          <w:szCs w:val="32"/>
        </w:rPr>
        <w:t>情况说明</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rPr>
        <w:t>（一）收入支出决算总体情况说明</w:t>
      </w:r>
      <w:r>
        <w:rPr>
          <w:rFonts w:hint="eastAsia" w:ascii="方正楷体_GBK" w:hAnsi="方正楷体_GBK" w:eastAsia="方正楷体_GBK" w:cs="方正楷体_GBK"/>
          <w:sz w:val="32"/>
          <w:szCs w:val="32"/>
          <w:lang w:eastAsia="zh-CN"/>
        </w:rPr>
        <w:t>。</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2024年度收</w:t>
      </w:r>
      <w:r>
        <w:rPr>
          <w:rFonts w:hint="eastAsia" w:ascii="方正仿宋_GBK" w:hAnsi="方正仿宋_GBK" w:eastAsia="方正仿宋_GBK" w:cs="方正仿宋_GBK"/>
          <w:sz w:val="32"/>
          <w:szCs w:val="32"/>
          <w:lang w:eastAsia="zh-CN"/>
        </w:rPr>
        <w:t>、支</w:t>
      </w:r>
      <w:r>
        <w:rPr>
          <w:rFonts w:hint="eastAsia" w:ascii="方正仿宋_GBK" w:hAnsi="方正仿宋_GBK" w:eastAsia="方正仿宋_GBK" w:cs="方正仿宋_GBK"/>
          <w:sz w:val="32"/>
          <w:szCs w:val="32"/>
        </w:rPr>
        <w:t>总计</w:t>
      </w:r>
      <w:r>
        <w:rPr>
          <w:rFonts w:hint="eastAsia" w:ascii="方正仿宋_GBK" w:hAnsi="方正仿宋_GBK" w:eastAsia="方正仿宋_GBK" w:cs="方正仿宋_GBK"/>
          <w:sz w:val="32"/>
          <w:szCs w:val="32"/>
          <w:lang w:eastAsia="zh-CN"/>
        </w:rPr>
        <w:t>均为</w:t>
      </w:r>
      <w:r>
        <w:rPr>
          <w:rFonts w:hint="eastAsia" w:ascii="方正仿宋_GBK" w:hAnsi="方正仿宋_GBK" w:eastAsia="方正仿宋_GBK" w:cs="方正仿宋_GBK"/>
          <w:sz w:val="32"/>
          <w:szCs w:val="32"/>
        </w:rPr>
        <w:t>788.21万元。收、支与2023年度相比，减少89.48万元，下降10.2%，主要原因是</w:t>
      </w:r>
      <w:r>
        <w:rPr>
          <w:rFonts w:hint="eastAsia" w:ascii="方正仿宋_GBK" w:hAnsi="方正仿宋_GBK" w:eastAsia="方正仿宋_GBK" w:cs="方正仿宋_GBK"/>
          <w:sz w:val="32"/>
          <w:szCs w:val="32"/>
          <w:lang w:eastAsia="zh-CN"/>
        </w:rPr>
        <w:t>人员减少导致</w:t>
      </w:r>
      <w:r>
        <w:rPr>
          <w:rFonts w:hint="eastAsia" w:ascii="方正仿宋_GBK" w:hAnsi="方正仿宋_GBK" w:eastAsia="方正仿宋_GBK" w:cs="方正仿宋_GBK"/>
          <w:sz w:val="32"/>
          <w:szCs w:val="32"/>
          <w:lang w:val="en-US" w:eastAsia="zh-CN"/>
        </w:rPr>
        <w:t>职工工资福利和社会保障减少。</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.收入情况。2024年度收入合计788.21万元，与2023年度相比，减少89.48万元，下降10.2%，主要原因是主要原因是</w:t>
      </w:r>
      <w:r>
        <w:rPr>
          <w:rFonts w:hint="eastAsia" w:ascii="方正仿宋_GBK" w:hAnsi="方正仿宋_GBK" w:eastAsia="方正仿宋_GBK" w:cs="方正仿宋_GBK"/>
          <w:sz w:val="32"/>
          <w:szCs w:val="32"/>
          <w:lang w:eastAsia="zh-CN"/>
        </w:rPr>
        <w:t>人员减少导致</w:t>
      </w:r>
      <w:r>
        <w:rPr>
          <w:rFonts w:hint="eastAsia" w:ascii="方正仿宋_GBK" w:hAnsi="方正仿宋_GBK" w:eastAsia="方正仿宋_GBK" w:cs="方正仿宋_GBK"/>
          <w:sz w:val="32"/>
          <w:szCs w:val="32"/>
          <w:lang w:val="en-US" w:eastAsia="zh-CN"/>
        </w:rPr>
        <w:t>职工工资福利和社会保障减少。</w:t>
      </w:r>
      <w:r>
        <w:rPr>
          <w:rFonts w:hint="eastAsia" w:ascii="方正仿宋_GBK" w:hAnsi="方正仿宋_GBK" w:eastAsia="方正仿宋_GBK" w:cs="方正仿宋_GBK"/>
          <w:sz w:val="32"/>
          <w:szCs w:val="32"/>
        </w:rPr>
        <w:t>其中：财政拨款收入788.21万元，占100.0%；事业收入0.00万元，占0.0%；经营收入0.00万元，占0.0%；其他收入0.00万元，占0.0%。此外，使用非财政拨款结余（含专用结余）0.00万元，年初结转和结余0.00万元。</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.支出情况。2024年度支出合计788.21万元，与2023年度相比，减少89.48万元，下降10.2%，主要原因是</w:t>
      </w:r>
      <w:r>
        <w:rPr>
          <w:rFonts w:hint="eastAsia" w:ascii="方正仿宋_GBK" w:hAnsi="方正仿宋_GBK" w:eastAsia="方正仿宋_GBK" w:cs="方正仿宋_GBK"/>
          <w:sz w:val="32"/>
          <w:szCs w:val="32"/>
          <w:lang w:eastAsia="zh-CN"/>
        </w:rPr>
        <w:t>人员减少导致</w:t>
      </w:r>
      <w:r>
        <w:rPr>
          <w:rFonts w:hint="eastAsia" w:ascii="方正仿宋_GBK" w:hAnsi="方正仿宋_GBK" w:eastAsia="方正仿宋_GBK" w:cs="方正仿宋_GBK"/>
          <w:sz w:val="32"/>
          <w:szCs w:val="32"/>
          <w:lang w:val="en-US" w:eastAsia="zh-CN"/>
        </w:rPr>
        <w:t>职工工资福利和社会保障减少。</w:t>
      </w:r>
      <w:r>
        <w:rPr>
          <w:rFonts w:hint="eastAsia" w:ascii="方正仿宋_GBK" w:hAnsi="方正仿宋_GBK" w:eastAsia="方正仿宋_GBK" w:cs="方正仿宋_GBK"/>
          <w:sz w:val="32"/>
          <w:szCs w:val="32"/>
        </w:rPr>
        <w:t>其中：基本支出788.21万元，占100.0%；项目支出0.00万元，占0.0%；经营支出0.00万元，占0.0%。此外，结余分配0.00万元。</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.结转结余情况。2024年度年末结转和结余0.00万元，与2023年度相比，无增减，</w:t>
      </w:r>
      <w:r>
        <w:rPr>
          <w:rFonts w:hint="eastAsia" w:ascii="方正仿宋_GBK" w:hAnsi="方正仿宋_GBK" w:eastAsia="方正仿宋_GBK" w:cs="方正仿宋_GBK"/>
          <w:sz w:val="32"/>
          <w:szCs w:val="32"/>
          <w:lang w:eastAsia="zh-CN"/>
        </w:rPr>
        <w:t>与上年持平。</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rPr>
        <w:t>（二）财政拨款收入支出决算总体情况说明</w:t>
      </w:r>
      <w:r>
        <w:rPr>
          <w:rFonts w:hint="eastAsia" w:ascii="方正楷体_GBK" w:hAnsi="方正楷体_GBK" w:eastAsia="方正楷体_GBK" w:cs="方正楷体_GBK"/>
          <w:sz w:val="32"/>
          <w:szCs w:val="32"/>
          <w:lang w:eastAsia="zh-CN"/>
        </w:rPr>
        <w:t>。</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2024年度财政拨款收、支总计均为788.21万元。与2023年</w:t>
      </w:r>
      <w:r>
        <w:rPr>
          <w:rFonts w:hint="eastAsia" w:ascii="方正仿宋_GBK" w:hAnsi="方正仿宋_GBK" w:eastAsia="方正仿宋_GBK" w:cs="方正仿宋_GBK"/>
          <w:sz w:val="32"/>
          <w:szCs w:val="32"/>
          <w:lang w:eastAsia="zh-CN"/>
        </w:rPr>
        <w:t>度</w:t>
      </w:r>
      <w:r>
        <w:rPr>
          <w:rFonts w:hint="eastAsia" w:ascii="方正仿宋_GBK" w:hAnsi="方正仿宋_GBK" w:eastAsia="方正仿宋_GBK" w:cs="方正仿宋_GBK"/>
          <w:sz w:val="32"/>
          <w:szCs w:val="32"/>
        </w:rPr>
        <w:t>相比，财政拨款收、支总计各减少89.48万元，下降10.2%。主要原因是</w:t>
      </w:r>
      <w:r>
        <w:rPr>
          <w:rFonts w:hint="eastAsia" w:ascii="方正仿宋_GBK" w:hAnsi="方正仿宋_GBK" w:eastAsia="方正仿宋_GBK" w:cs="方正仿宋_GBK"/>
          <w:sz w:val="32"/>
          <w:szCs w:val="32"/>
          <w:lang w:eastAsia="zh-CN"/>
        </w:rPr>
        <w:t>人员减少导致</w:t>
      </w:r>
      <w:r>
        <w:rPr>
          <w:rFonts w:hint="eastAsia" w:ascii="方正仿宋_GBK" w:hAnsi="方正仿宋_GBK" w:eastAsia="方正仿宋_GBK" w:cs="方正仿宋_GBK"/>
          <w:sz w:val="32"/>
          <w:szCs w:val="32"/>
          <w:lang w:val="en-US" w:eastAsia="zh-CN"/>
        </w:rPr>
        <w:t>职工工资福利和社会保障减少。</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rPr>
        <w:t>（三）一般公共预算财政拨款收入支出决算情况说明</w:t>
      </w:r>
      <w:r>
        <w:rPr>
          <w:rFonts w:hint="eastAsia" w:ascii="方正楷体_GBK" w:hAnsi="方正楷体_GBK" w:eastAsia="方正楷体_GBK" w:cs="方正楷体_GBK"/>
          <w:sz w:val="32"/>
          <w:szCs w:val="32"/>
          <w:lang w:eastAsia="zh-CN"/>
        </w:rPr>
        <w:t>。</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1.收入情况。2024年度一般公共预算财政拨款收入788.21万元，与2023年度相比，减少89.48万元，下降10.2%。主要原因是</w:t>
      </w:r>
      <w:r>
        <w:rPr>
          <w:rFonts w:hint="eastAsia" w:ascii="方正仿宋_GBK" w:hAnsi="方正仿宋_GBK" w:eastAsia="方正仿宋_GBK" w:cs="方正仿宋_GBK"/>
          <w:sz w:val="32"/>
          <w:szCs w:val="32"/>
          <w:lang w:eastAsia="zh-CN"/>
        </w:rPr>
        <w:t>人员减少导致</w:t>
      </w:r>
      <w:r>
        <w:rPr>
          <w:rFonts w:hint="eastAsia" w:ascii="方正仿宋_GBK" w:hAnsi="方正仿宋_GBK" w:eastAsia="方正仿宋_GBK" w:cs="方正仿宋_GBK"/>
          <w:sz w:val="32"/>
          <w:szCs w:val="32"/>
          <w:lang w:val="en-US" w:eastAsia="zh-CN"/>
        </w:rPr>
        <w:t>职工工资福利和社会保障减少。</w:t>
      </w:r>
      <w:r>
        <w:rPr>
          <w:rFonts w:hint="eastAsia" w:ascii="方正仿宋_GBK" w:hAnsi="方正仿宋_GBK" w:eastAsia="方正仿宋_GBK" w:cs="方正仿宋_GBK"/>
          <w:sz w:val="32"/>
          <w:szCs w:val="32"/>
        </w:rPr>
        <w:t>较年初预算数减少29.89万元，下降3.7%。主要原因是</w:t>
      </w:r>
      <w:r>
        <w:rPr>
          <w:rFonts w:hint="eastAsia" w:ascii="方正仿宋_GBK" w:hAnsi="方正仿宋_GBK" w:eastAsia="方正仿宋_GBK" w:cs="方正仿宋_GBK"/>
          <w:sz w:val="32"/>
          <w:szCs w:val="32"/>
          <w:lang w:val="en-US" w:eastAsia="zh-CN"/>
        </w:rPr>
        <w:t>职工工资福利减少。</w:t>
      </w:r>
      <w:r>
        <w:rPr>
          <w:rFonts w:hint="eastAsia" w:ascii="方正仿宋_GBK" w:hAnsi="方正仿宋_GBK" w:eastAsia="方正仿宋_GBK" w:cs="方正仿宋_GBK"/>
          <w:sz w:val="32"/>
          <w:szCs w:val="32"/>
        </w:rPr>
        <w:t>此外，年初财政拨款结转和结余0.00万元。</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2.支出情况。2024年度一般公共预算财政拨款支出788.21万元，与2023年度相比，减少89.48万元，下降10.2%。主要原因是</w:t>
      </w:r>
      <w:r>
        <w:rPr>
          <w:rFonts w:hint="eastAsia" w:ascii="方正仿宋_GBK" w:hAnsi="方正仿宋_GBK" w:eastAsia="方正仿宋_GBK" w:cs="方正仿宋_GBK"/>
          <w:sz w:val="32"/>
          <w:szCs w:val="32"/>
          <w:lang w:eastAsia="zh-CN"/>
        </w:rPr>
        <w:t>人员减少导致</w:t>
      </w:r>
      <w:r>
        <w:rPr>
          <w:rFonts w:hint="eastAsia" w:ascii="方正仿宋_GBK" w:hAnsi="方正仿宋_GBK" w:eastAsia="方正仿宋_GBK" w:cs="方正仿宋_GBK"/>
          <w:sz w:val="32"/>
          <w:szCs w:val="32"/>
          <w:lang w:val="en-US" w:eastAsia="zh-CN"/>
        </w:rPr>
        <w:t>职工工资福利和社会保障减少。</w:t>
      </w:r>
      <w:r>
        <w:rPr>
          <w:rFonts w:hint="eastAsia" w:ascii="方正仿宋_GBK" w:hAnsi="方正仿宋_GBK" w:eastAsia="方正仿宋_GBK" w:cs="方正仿宋_GBK"/>
          <w:sz w:val="32"/>
          <w:szCs w:val="32"/>
        </w:rPr>
        <w:t>较年初预算数减少29.89万元，下降3.7%。主要原因是</w:t>
      </w:r>
      <w:r>
        <w:rPr>
          <w:rFonts w:hint="eastAsia" w:ascii="方正仿宋_GBK" w:hAnsi="方正仿宋_GBK" w:eastAsia="方正仿宋_GBK" w:cs="方正仿宋_GBK"/>
          <w:sz w:val="32"/>
          <w:szCs w:val="32"/>
          <w:lang w:val="en-US" w:eastAsia="zh-CN"/>
        </w:rPr>
        <w:t>职工工资福利减少。</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一般公共预算财政拨款支出主要</w:t>
      </w:r>
      <w:r>
        <w:rPr>
          <w:rFonts w:hint="eastAsia" w:ascii="方正仿宋_GBK" w:hAnsi="方正仿宋_GBK" w:eastAsia="方正仿宋_GBK" w:cs="方正仿宋_GBK"/>
          <w:sz w:val="32"/>
          <w:szCs w:val="32"/>
          <w:lang w:eastAsia="zh-CN"/>
        </w:rPr>
        <w:t>用途如下</w:t>
      </w:r>
      <w:r>
        <w:rPr>
          <w:rFonts w:hint="eastAsia" w:ascii="方正仿宋_GBK" w:hAnsi="方正仿宋_GBK" w:eastAsia="方正仿宋_GBK" w:cs="方正仿宋_GBK"/>
          <w:sz w:val="32"/>
          <w:szCs w:val="32"/>
        </w:rPr>
        <w:t>：</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）教育支出4.48万元，占0.6%，较年初预算数无增减，主要原因是</w:t>
      </w:r>
      <w:r>
        <w:rPr>
          <w:rFonts w:hint="eastAsia" w:ascii="方正仿宋_GBK" w:hAnsi="方正仿宋_GBK" w:eastAsia="方正仿宋_GBK" w:cs="方正仿宋_GBK"/>
          <w:sz w:val="32"/>
          <w:szCs w:val="32"/>
          <w:lang w:val="en-US" w:eastAsia="zh-CN"/>
        </w:rPr>
        <w:t>准确预算经费</w:t>
      </w:r>
      <w:r>
        <w:rPr>
          <w:rFonts w:hint="eastAsia" w:ascii="方正仿宋_GBK" w:hAnsi="方正仿宋_GBK" w:eastAsia="方正仿宋_GBK" w:cs="方正仿宋_GBK"/>
          <w:sz w:val="32"/>
          <w:szCs w:val="32"/>
        </w:rPr>
        <w:t>。</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）社会保障</w:t>
      </w:r>
      <w:r>
        <w:rPr>
          <w:rFonts w:hint="eastAsia" w:ascii="方正仿宋_GBK" w:hAnsi="方正仿宋_GBK" w:eastAsia="方正仿宋_GBK" w:cs="方正仿宋_GBK"/>
          <w:sz w:val="32"/>
          <w:szCs w:val="32"/>
          <w:lang w:eastAsia="zh-CN"/>
        </w:rPr>
        <w:t>和</w:t>
      </w:r>
      <w:r>
        <w:rPr>
          <w:rFonts w:hint="eastAsia" w:ascii="方正仿宋_GBK" w:hAnsi="方正仿宋_GBK" w:eastAsia="方正仿宋_GBK" w:cs="方正仿宋_GBK"/>
          <w:sz w:val="32"/>
          <w:szCs w:val="32"/>
        </w:rPr>
        <w:t>就业支出169.75万元，占21.5%，较年初预算数增加39.70万元，增长30.5%，主要原因是</w:t>
      </w:r>
      <w:r>
        <w:rPr>
          <w:rFonts w:hint="eastAsia" w:ascii="方正仿宋_GBK" w:hAnsi="方正仿宋_GBK" w:eastAsia="方正仿宋_GBK" w:cs="方正仿宋_GBK"/>
          <w:sz w:val="32"/>
          <w:szCs w:val="32"/>
          <w:lang w:val="en-US" w:eastAsia="zh-CN"/>
        </w:rPr>
        <w:t>职业年金、退休医保垫底和公用经费支出增加。</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）卫生健康支出31.88万元，占4.0%，较年初预算数减少3.08万元，下降8.8%，主要原因是</w:t>
      </w:r>
      <w:r>
        <w:rPr>
          <w:rFonts w:hint="eastAsia" w:ascii="方正仿宋_GBK" w:hAnsi="方正仿宋_GBK" w:eastAsia="方正仿宋_GBK" w:cs="方正仿宋_GBK"/>
          <w:sz w:val="32"/>
          <w:szCs w:val="32"/>
          <w:lang w:val="en-US" w:eastAsia="zh-CN"/>
        </w:rPr>
        <w:t>在职大额医疗和生育保险支出减少</w:t>
      </w:r>
      <w:r>
        <w:rPr>
          <w:rFonts w:hint="eastAsia" w:ascii="方正仿宋_GBK" w:hAnsi="方正仿宋_GBK" w:eastAsia="方正仿宋_GBK" w:cs="方正仿宋_GBK"/>
          <w:sz w:val="32"/>
          <w:szCs w:val="32"/>
        </w:rPr>
        <w:t>。</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rPr>
        <w:t>）农林水支出549.43万元，占69.7%，较年初预算数减少63.37万元，下降10.3%，主要原因是</w:t>
      </w:r>
      <w:r>
        <w:rPr>
          <w:rFonts w:hint="eastAsia" w:ascii="方正仿宋_GBK" w:hAnsi="方正仿宋_GBK" w:eastAsia="方正仿宋_GBK" w:cs="方正仿宋_GBK"/>
          <w:sz w:val="32"/>
          <w:szCs w:val="32"/>
          <w:lang w:eastAsia="zh-CN"/>
        </w:rPr>
        <w:t>人员减少导致</w:t>
      </w:r>
      <w:r>
        <w:rPr>
          <w:rFonts w:hint="eastAsia" w:ascii="方正仿宋_GBK" w:hAnsi="方正仿宋_GBK" w:eastAsia="方正仿宋_GBK" w:cs="方正仿宋_GBK"/>
          <w:sz w:val="32"/>
          <w:szCs w:val="32"/>
          <w:lang w:val="en-US" w:eastAsia="zh-CN"/>
        </w:rPr>
        <w:t>职工工资福利和抚恤金支出减少</w:t>
      </w:r>
      <w:r>
        <w:rPr>
          <w:rFonts w:hint="eastAsia" w:ascii="方正仿宋_GBK" w:hAnsi="方正仿宋_GBK" w:eastAsia="方正仿宋_GBK" w:cs="方正仿宋_GBK"/>
          <w:sz w:val="32"/>
          <w:szCs w:val="32"/>
        </w:rPr>
        <w:t>。</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rPr>
        <w:t>）住房保障支出32.67万元，占4.1%，较年初预算数减少3.14万元，下降8.8%，主要原因是</w:t>
      </w:r>
      <w:r>
        <w:rPr>
          <w:rFonts w:hint="eastAsia" w:ascii="方正仿宋_GBK" w:hAnsi="方正仿宋_GBK" w:eastAsia="方正仿宋_GBK" w:cs="方正仿宋_GBK"/>
          <w:sz w:val="32"/>
          <w:szCs w:val="32"/>
          <w:lang w:eastAsia="zh-CN"/>
        </w:rPr>
        <w:t>人员减少导致公积金减少。</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3.结转结余情况。2024年度年末一般公共预算财政拨款结转和结余0.00万元，与2023年度相比，无增减，与上年持平。</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rPr>
        <w:t>（四）一般公共预算财政拨款基本支出决算情况说明</w:t>
      </w:r>
      <w:r>
        <w:rPr>
          <w:rFonts w:hint="eastAsia" w:ascii="方正楷体_GBK" w:hAnsi="方正楷体_GBK" w:eastAsia="方正楷体_GBK" w:cs="方正楷体_GBK"/>
          <w:sz w:val="32"/>
          <w:szCs w:val="32"/>
          <w:lang w:eastAsia="zh-CN"/>
        </w:rPr>
        <w:t>。</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2024年度一般公共财政拨款基本支出788.21万元。其中：</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人员经费681.52万元，与2023年度相比，减少83.12万元，下降10.9%，主要原因是</w:t>
      </w:r>
      <w:r>
        <w:rPr>
          <w:rFonts w:hint="eastAsia" w:ascii="方正仿宋_GBK" w:hAnsi="方正仿宋_GBK" w:eastAsia="方正仿宋_GBK" w:cs="方正仿宋_GBK"/>
          <w:sz w:val="32"/>
          <w:szCs w:val="32"/>
          <w:lang w:val="en-US" w:eastAsia="zh-CN"/>
        </w:rPr>
        <w:t>职工工资福利和抚恤金支出减少</w:t>
      </w:r>
      <w:r>
        <w:rPr>
          <w:rFonts w:hint="eastAsia" w:ascii="方正仿宋_GBK" w:hAnsi="方正仿宋_GBK" w:eastAsia="方正仿宋_GBK" w:cs="方正仿宋_GBK"/>
          <w:sz w:val="32"/>
          <w:szCs w:val="32"/>
        </w:rPr>
        <w:t>。人员经费用途主要包括基本工资、津贴补贴、绩效工资、社会保障缴费、住房公积金、</w:t>
      </w:r>
      <w:r>
        <w:rPr>
          <w:rFonts w:hint="eastAsia" w:ascii="方正仿宋_GBK" w:hAnsi="方正仿宋_GBK" w:eastAsia="方正仿宋_GBK" w:cs="方正仿宋_GBK"/>
          <w:sz w:val="32"/>
          <w:szCs w:val="32"/>
          <w:lang w:val="en-US" w:eastAsia="zh-CN"/>
        </w:rPr>
        <w:t>对个人和家庭的</w:t>
      </w:r>
      <w:r>
        <w:rPr>
          <w:rFonts w:hint="eastAsia" w:ascii="方正仿宋_GBK" w:hAnsi="方正仿宋_GBK" w:eastAsia="方正仿宋_GBK" w:cs="方正仿宋_GBK"/>
          <w:sz w:val="32"/>
          <w:szCs w:val="32"/>
        </w:rPr>
        <w:t>补助。</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公用经费106.69万元，与2023年度相比，减少6.35万元，下降5.6%，主要原因是</w:t>
      </w:r>
      <w:r>
        <w:rPr>
          <w:rFonts w:hint="eastAsia" w:ascii="方正仿宋_GBK" w:hAnsi="方正仿宋_GBK" w:eastAsia="方正仿宋_GBK" w:cs="方正仿宋_GBK"/>
          <w:sz w:val="32"/>
          <w:szCs w:val="32"/>
          <w:lang w:val="en-US" w:eastAsia="zh-CN"/>
        </w:rPr>
        <w:t>差旅费支出减少</w:t>
      </w:r>
      <w:r>
        <w:rPr>
          <w:rFonts w:hint="eastAsia" w:ascii="方正仿宋_GBK" w:hAnsi="方正仿宋_GBK" w:eastAsia="方正仿宋_GBK" w:cs="方正仿宋_GBK"/>
          <w:sz w:val="32"/>
          <w:szCs w:val="32"/>
        </w:rPr>
        <w:t>。公用经费用途主要包括办公费、水电费、培训费、福利费、工会经费、公务车运行维护费、</w:t>
      </w:r>
      <w:r>
        <w:rPr>
          <w:rFonts w:hint="eastAsia" w:ascii="方正仿宋_GBK" w:hAnsi="方正仿宋_GBK" w:eastAsia="方正仿宋_GBK" w:cs="方正仿宋_GBK"/>
          <w:sz w:val="32"/>
          <w:szCs w:val="32"/>
          <w:lang w:val="en-US" w:eastAsia="zh-CN"/>
        </w:rPr>
        <w:t>差旅费、</w:t>
      </w:r>
      <w:r>
        <w:rPr>
          <w:rFonts w:hint="eastAsia" w:ascii="方正仿宋_GBK" w:hAnsi="方正仿宋_GBK" w:eastAsia="方正仿宋_GBK" w:cs="方正仿宋_GBK"/>
          <w:sz w:val="32"/>
          <w:szCs w:val="32"/>
        </w:rPr>
        <w:t>其他商品和服务支出。</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rPr>
        <w:t>（五）政府性基金预算收支决算情况说明</w:t>
      </w:r>
      <w:r>
        <w:rPr>
          <w:rFonts w:hint="eastAsia" w:ascii="方正楷体_GBK" w:hAnsi="方正楷体_GBK" w:eastAsia="方正楷体_GBK" w:cs="方正楷体_GBK"/>
          <w:sz w:val="32"/>
          <w:szCs w:val="32"/>
          <w:lang w:eastAsia="zh-CN"/>
        </w:rPr>
        <w:t>。</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本单位2024年度无政府性基金预算财政拨款收支。</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rPr>
        <w:t>（六）国有资本经营预算财政拨款支出决算情况说明</w:t>
      </w:r>
      <w:r>
        <w:rPr>
          <w:rFonts w:hint="eastAsia" w:ascii="方正楷体_GBK" w:hAnsi="方正楷体_GBK" w:eastAsia="方正楷体_GBK" w:cs="方正楷体_GBK"/>
          <w:sz w:val="32"/>
          <w:szCs w:val="32"/>
          <w:lang w:eastAsia="zh-CN"/>
        </w:rPr>
        <w:t>。</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本单位2024年度无国有资本经营预算财政拨款支出。</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w:t>
      </w:r>
      <w:r>
        <w:rPr>
          <w:rFonts w:hint="eastAsia" w:ascii="方正黑体_GBK" w:hAnsi="方正黑体_GBK" w:eastAsia="方正黑体_GBK" w:cs="方正黑体_GBK"/>
          <w:sz w:val="32"/>
          <w:szCs w:val="32"/>
          <w:lang w:eastAsia="zh-CN"/>
        </w:rPr>
        <w:t>财政拨款</w:t>
      </w:r>
      <w:r>
        <w:rPr>
          <w:rFonts w:hint="eastAsia" w:ascii="方正黑体_GBK" w:hAnsi="方正黑体_GBK" w:eastAsia="方正黑体_GBK" w:cs="方正黑体_GBK"/>
          <w:sz w:val="32"/>
          <w:szCs w:val="32"/>
        </w:rPr>
        <w:t>“三公”经费情况说明</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rPr>
        <w:t>（一）“三公”经费支出总体情况说明</w:t>
      </w:r>
      <w:r>
        <w:rPr>
          <w:rFonts w:hint="eastAsia" w:ascii="方正楷体_GBK" w:hAnsi="方正楷体_GBK" w:eastAsia="方正楷体_GBK" w:cs="方正楷体_GBK"/>
          <w:sz w:val="32"/>
          <w:szCs w:val="32"/>
          <w:lang w:eastAsia="zh-CN"/>
        </w:rPr>
        <w:t>。</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2024年度“三公”经费支出共计0.00万元，较年初预算数无增减，较上年支出数无增减，与上年持平。</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楷体_GBK" w:cs="方正仿宋_GBK"/>
          <w:sz w:val="32"/>
          <w:szCs w:val="32"/>
          <w:lang w:eastAsia="zh-CN"/>
        </w:rPr>
      </w:pPr>
      <w:r>
        <w:rPr>
          <w:rFonts w:hint="eastAsia" w:ascii="方正楷体_GBK" w:hAnsi="方正楷体_GBK" w:eastAsia="方正楷体_GBK" w:cs="方正楷体_GBK"/>
          <w:sz w:val="32"/>
          <w:szCs w:val="32"/>
        </w:rPr>
        <w:t>（二）“三公”经费分项支出情况</w:t>
      </w:r>
      <w:r>
        <w:rPr>
          <w:rFonts w:hint="eastAsia" w:ascii="方正楷体_GBK" w:hAnsi="方正楷体_GBK" w:eastAsia="方正楷体_GBK" w:cs="方正楷体_GBK"/>
          <w:sz w:val="32"/>
          <w:szCs w:val="32"/>
          <w:lang w:eastAsia="zh-CN"/>
        </w:rPr>
        <w:t>。</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2024年度本</w:t>
      </w:r>
      <w:r>
        <w:rPr>
          <w:rFonts w:hint="eastAsia" w:ascii="方正仿宋_GBK" w:hAnsi="方正仿宋_GBK" w:eastAsia="方正仿宋_GBK" w:cs="方正仿宋_GBK"/>
          <w:sz w:val="32"/>
          <w:szCs w:val="32"/>
          <w:lang w:eastAsia="zh-CN"/>
        </w:rPr>
        <w:t>单位</w:t>
      </w:r>
      <w:r>
        <w:rPr>
          <w:rFonts w:hint="eastAsia" w:ascii="方正仿宋_GBK" w:hAnsi="方正仿宋_GBK" w:eastAsia="方正仿宋_GBK" w:cs="方正仿宋_GBK"/>
          <w:sz w:val="32"/>
          <w:szCs w:val="32"/>
        </w:rPr>
        <w:t>因公出国（境）费用0.00万元，</w:t>
      </w:r>
      <w:r>
        <w:rPr>
          <w:rFonts w:hint="eastAsia" w:ascii="方正仿宋_GBK" w:hAnsi="方正仿宋_GBK" w:eastAsia="方正仿宋_GBK" w:cs="方正仿宋_GBK"/>
          <w:sz w:val="32"/>
          <w:szCs w:val="32"/>
          <w:lang w:val="en-US" w:eastAsia="zh-CN"/>
        </w:rPr>
        <w:t>未发生</w:t>
      </w:r>
      <w:r>
        <w:rPr>
          <w:rFonts w:hint="eastAsia" w:ascii="方正仿宋_GBK" w:hAnsi="方正仿宋_GBK" w:eastAsia="方正仿宋_GBK" w:cs="方正仿宋_GBK"/>
          <w:sz w:val="32"/>
          <w:szCs w:val="32"/>
        </w:rPr>
        <w:t>因公出国（境）</w:t>
      </w:r>
      <w:r>
        <w:rPr>
          <w:rFonts w:hint="eastAsia" w:ascii="方正仿宋_GBK" w:hAnsi="方正仿宋_GBK" w:eastAsia="方正仿宋_GBK" w:cs="方正仿宋_GBK"/>
          <w:sz w:val="32"/>
          <w:szCs w:val="32"/>
          <w:lang w:val="en-US" w:eastAsia="zh-CN"/>
        </w:rPr>
        <w:t>支出</w:t>
      </w:r>
      <w:r>
        <w:rPr>
          <w:rFonts w:hint="eastAsia" w:ascii="方正仿宋_GBK" w:hAnsi="方正仿宋_GBK" w:eastAsia="方正仿宋_GBK" w:cs="方正仿宋_GBK"/>
          <w:sz w:val="32"/>
          <w:szCs w:val="32"/>
        </w:rPr>
        <w:t>。费用支出较年初预算数无增减，较上年支出数无增减，与上年持平。</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公务</w:t>
      </w:r>
      <w:r>
        <w:rPr>
          <w:rFonts w:hint="eastAsia" w:ascii="方正仿宋_GBK" w:hAnsi="方正仿宋_GBK" w:eastAsia="方正仿宋_GBK" w:cs="方正仿宋_GBK"/>
          <w:sz w:val="32"/>
          <w:szCs w:val="32"/>
          <w:lang w:eastAsia="zh-CN"/>
        </w:rPr>
        <w:t>用</w:t>
      </w:r>
      <w:r>
        <w:rPr>
          <w:rFonts w:hint="eastAsia" w:ascii="方正仿宋_GBK" w:hAnsi="方正仿宋_GBK" w:eastAsia="方正仿宋_GBK" w:cs="方正仿宋_GBK"/>
          <w:sz w:val="32"/>
          <w:szCs w:val="32"/>
        </w:rPr>
        <w:t>车购置费0.00万元，</w:t>
      </w:r>
      <w:r>
        <w:rPr>
          <w:rFonts w:hint="eastAsia" w:ascii="方正仿宋_GBK" w:hAnsi="方正仿宋_GBK" w:eastAsia="方正仿宋_GBK" w:cs="方正仿宋_GBK"/>
          <w:sz w:val="32"/>
          <w:szCs w:val="32"/>
          <w:lang w:val="en-US" w:eastAsia="zh-CN"/>
        </w:rPr>
        <w:t>未发生公务车购置支出</w:t>
      </w:r>
      <w:r>
        <w:rPr>
          <w:rFonts w:hint="eastAsia" w:ascii="方正仿宋_GBK" w:hAnsi="方正仿宋_GBK" w:eastAsia="方正仿宋_GBK" w:cs="方正仿宋_GBK"/>
          <w:sz w:val="32"/>
          <w:szCs w:val="32"/>
        </w:rPr>
        <w:t>。费用支出较年初预算数无增减，较上年支出数无增减，与上年持平。</w:t>
      </w:r>
    </w:p>
    <w:p>
      <w:pPr>
        <w:keepNext w:val="0"/>
        <w:keepLines w:val="0"/>
        <w:pageBreakBefore w:val="0"/>
        <w:widowControl/>
        <w:kinsoku/>
        <w:wordWrap/>
        <w:overflowPunct/>
        <w:topLinePunct w:val="0"/>
        <w:autoSpaceDE/>
        <w:autoSpaceDN/>
        <w:bidi w:val="0"/>
        <w:adjustRightInd/>
        <w:snapToGrid w:val="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公务</w:t>
      </w:r>
      <w:r>
        <w:rPr>
          <w:rFonts w:hint="eastAsia" w:ascii="方正仿宋_GBK" w:hAnsi="方正仿宋_GBK" w:eastAsia="方正仿宋_GBK" w:cs="方正仿宋_GBK"/>
          <w:sz w:val="32"/>
          <w:szCs w:val="32"/>
          <w:lang w:eastAsia="zh-CN"/>
        </w:rPr>
        <w:t>用</w:t>
      </w:r>
      <w:r>
        <w:rPr>
          <w:rFonts w:hint="eastAsia" w:ascii="方正仿宋_GBK" w:hAnsi="方正仿宋_GBK" w:eastAsia="方正仿宋_GBK" w:cs="方正仿宋_GBK"/>
          <w:sz w:val="32"/>
          <w:szCs w:val="32"/>
        </w:rPr>
        <w:t>车运行维护费0.00万元，</w:t>
      </w:r>
      <w:r>
        <w:rPr>
          <w:rFonts w:hint="eastAsia" w:ascii="方正仿宋_GBK" w:hAnsi="方正仿宋_GBK" w:eastAsia="方正仿宋_GBK" w:cs="方正仿宋_GBK"/>
          <w:sz w:val="32"/>
          <w:szCs w:val="32"/>
          <w:lang w:val="en-US" w:eastAsia="zh-CN"/>
        </w:rPr>
        <w:t>未发生公务车运行维护费支出</w:t>
      </w:r>
      <w:r>
        <w:rPr>
          <w:rFonts w:hint="eastAsia" w:ascii="方正仿宋_GBK" w:hAnsi="方正仿宋_GBK" w:eastAsia="方正仿宋_GBK" w:cs="方正仿宋_GBK"/>
          <w:sz w:val="32"/>
          <w:szCs w:val="32"/>
        </w:rPr>
        <w:t>。费用支出较年初预算数无增减，较上年支出数无增减，与上年持平。</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公务接待费0.00万元，</w:t>
      </w:r>
      <w:r>
        <w:rPr>
          <w:rFonts w:hint="eastAsia" w:ascii="方正仿宋_GBK" w:hAnsi="方正仿宋_GBK" w:eastAsia="方正仿宋_GBK" w:cs="方正仿宋_GBK"/>
          <w:sz w:val="32"/>
          <w:szCs w:val="32"/>
          <w:lang w:val="en-US" w:eastAsia="zh-CN"/>
        </w:rPr>
        <w:t>未发生公务接待费支出</w:t>
      </w:r>
      <w:r>
        <w:rPr>
          <w:rFonts w:hint="eastAsia" w:ascii="方正仿宋_GBK" w:hAnsi="方正仿宋_GBK" w:eastAsia="方正仿宋_GBK" w:cs="方正仿宋_GBK"/>
          <w:sz w:val="32"/>
          <w:szCs w:val="32"/>
        </w:rPr>
        <w:t>。费用支出较年初预算数无增减，较上年支出数无增减，与上年持平。</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rPr>
        <w:t>（三）“三公”经费实物量情况</w:t>
      </w:r>
      <w:r>
        <w:rPr>
          <w:rFonts w:hint="eastAsia" w:ascii="方正楷体_GBK" w:hAnsi="方正楷体_GBK" w:eastAsia="方正楷体_GBK" w:cs="方正楷体_GBK"/>
          <w:sz w:val="32"/>
          <w:szCs w:val="32"/>
          <w:lang w:eastAsia="zh-CN"/>
        </w:rPr>
        <w:t>。</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2024年度本</w:t>
      </w:r>
      <w:r>
        <w:rPr>
          <w:rFonts w:hint="eastAsia" w:ascii="方正仿宋_GBK" w:hAnsi="方正仿宋_GBK" w:eastAsia="方正仿宋_GBK" w:cs="方正仿宋_GBK"/>
          <w:sz w:val="32"/>
          <w:szCs w:val="32"/>
          <w:lang w:eastAsia="zh-CN"/>
        </w:rPr>
        <w:t>单位</w:t>
      </w:r>
      <w:r>
        <w:rPr>
          <w:rFonts w:hint="eastAsia" w:ascii="方正仿宋_GBK" w:hAnsi="方正仿宋_GBK" w:eastAsia="方正仿宋_GBK" w:cs="方正仿宋_GBK"/>
          <w:sz w:val="32"/>
          <w:szCs w:val="32"/>
        </w:rPr>
        <w:t>因公出国（境）共计0个团组，0人；公务用车购置0辆，公务车保有量为0辆；国内公务接待0批次0人，其中：国内外事接待0批次，0人；国（境）外公务接待0批次，0人。2024年本</w:t>
      </w:r>
      <w:r>
        <w:rPr>
          <w:rFonts w:hint="eastAsia" w:ascii="方正仿宋_GBK" w:hAnsi="方正仿宋_GBK" w:eastAsia="方正仿宋_GBK" w:cs="方正仿宋_GBK"/>
          <w:sz w:val="32"/>
          <w:szCs w:val="32"/>
          <w:lang w:eastAsia="zh-CN"/>
        </w:rPr>
        <w:t>单位</w:t>
      </w:r>
      <w:r>
        <w:rPr>
          <w:rFonts w:hint="eastAsia" w:ascii="方正仿宋_GBK" w:hAnsi="方正仿宋_GBK" w:eastAsia="方正仿宋_GBK" w:cs="方正仿宋_GBK"/>
          <w:sz w:val="32"/>
          <w:szCs w:val="32"/>
        </w:rPr>
        <w:t>人均接待费0元，车均购置费0万元，车均维护费0万元。</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四、其他需要说明的事项</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rPr>
        <w:t>（一）财政拨款会议费、培训费和差旅费情况说明</w:t>
      </w:r>
      <w:r>
        <w:rPr>
          <w:rFonts w:hint="eastAsia" w:ascii="方正楷体_GBK" w:hAnsi="方正楷体_GBK" w:eastAsia="方正楷体_GBK" w:cs="方正楷体_GBK"/>
          <w:sz w:val="32"/>
          <w:szCs w:val="32"/>
          <w:lang w:eastAsia="zh-CN"/>
        </w:rPr>
        <w:t>。</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本年度会议费支出0.00万元，与2023年度相比，无增减，</w:t>
      </w:r>
      <w:r>
        <w:rPr>
          <w:rFonts w:hint="eastAsia" w:ascii="方正仿宋_GBK" w:hAnsi="方正仿宋_GBK" w:eastAsia="方正仿宋_GBK" w:cs="方正仿宋_GBK"/>
          <w:sz w:val="32"/>
          <w:szCs w:val="32"/>
          <w:lang w:eastAsia="zh-CN"/>
        </w:rPr>
        <w:t>与上年持平。</w:t>
      </w:r>
      <w:r>
        <w:rPr>
          <w:rFonts w:hint="eastAsia" w:ascii="方正仿宋_GBK" w:hAnsi="方正仿宋_GBK" w:eastAsia="方正仿宋_GBK" w:cs="方正仿宋_GBK"/>
          <w:sz w:val="32"/>
          <w:szCs w:val="32"/>
        </w:rPr>
        <w:t>本年度培训费支出4.48万元，与2023年度相比，增加0.22万元，增长5.2%，主要原因是</w:t>
      </w:r>
      <w:r>
        <w:rPr>
          <w:rFonts w:hint="eastAsia" w:ascii="方正仿宋_GBK" w:hAnsi="方正仿宋_GBK" w:eastAsia="方正仿宋_GBK" w:cs="方正仿宋_GBK"/>
          <w:sz w:val="32"/>
          <w:szCs w:val="32"/>
          <w:lang w:eastAsia="zh-CN"/>
        </w:rPr>
        <w:t>培训价格上涨。</w:t>
      </w:r>
      <w:r>
        <w:rPr>
          <w:rFonts w:hint="eastAsia" w:ascii="方正仿宋_GBK" w:hAnsi="方正仿宋_GBK" w:eastAsia="方正仿宋_GBK" w:cs="方正仿宋_GBK"/>
          <w:sz w:val="32"/>
          <w:szCs w:val="32"/>
        </w:rPr>
        <w:t>本年度差旅费支出0.09万元，与2023年度相比，减少58.77万元，下降99.9%，主要原因是</w:t>
      </w:r>
      <w:r>
        <w:rPr>
          <w:rFonts w:hint="eastAsia" w:ascii="方正仿宋_GBK" w:hAnsi="方正仿宋_GBK" w:eastAsia="方正仿宋_GBK" w:cs="方正仿宋_GBK"/>
          <w:sz w:val="32"/>
          <w:szCs w:val="32"/>
          <w:lang w:eastAsia="zh-CN"/>
        </w:rPr>
        <w:t>压缩了差旅费预算。</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rPr>
        <w:t>（二）机关运行经费情况说明</w:t>
      </w:r>
      <w:r>
        <w:rPr>
          <w:rFonts w:hint="eastAsia" w:ascii="方正楷体_GBK" w:hAnsi="方正楷体_GBK" w:eastAsia="方正楷体_GBK" w:cs="方正楷体_GBK"/>
          <w:sz w:val="32"/>
          <w:szCs w:val="32"/>
          <w:lang w:eastAsia="zh-CN"/>
        </w:rPr>
        <w:t>。</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按照部门决算列报口径，我单位不在机关运行经费统计范围之内。</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rPr>
        <w:t>（三）国有资产占用情况说明</w:t>
      </w:r>
      <w:r>
        <w:rPr>
          <w:rFonts w:hint="eastAsia" w:ascii="方正楷体_GBK" w:hAnsi="方正楷体_GBK" w:eastAsia="方正楷体_GBK" w:cs="方正楷体_GBK"/>
          <w:sz w:val="32"/>
          <w:szCs w:val="32"/>
          <w:lang w:eastAsia="zh-CN"/>
        </w:rPr>
        <w:t>。</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截至2024年12月31日，本</w:t>
      </w:r>
      <w:r>
        <w:rPr>
          <w:rFonts w:hint="eastAsia" w:ascii="方正仿宋_GBK" w:hAnsi="方正仿宋_GBK" w:eastAsia="方正仿宋_GBK" w:cs="方正仿宋_GBK"/>
          <w:sz w:val="32"/>
          <w:szCs w:val="32"/>
          <w:lang w:eastAsia="zh-CN"/>
        </w:rPr>
        <w:t>单位</w:t>
      </w:r>
      <w:r>
        <w:rPr>
          <w:rFonts w:hint="eastAsia" w:ascii="方正仿宋_GBK" w:hAnsi="方正仿宋_GBK" w:eastAsia="方正仿宋_GBK" w:cs="方正仿宋_GBK"/>
          <w:sz w:val="32"/>
          <w:szCs w:val="32"/>
        </w:rPr>
        <w:t>共有车辆0辆，其中，副部（省）级及以上领导用车0辆、主要负责人用车0辆、机要通信用车0辆、应急保障用车0辆、执法执勤用车0辆，特种专业技术用车0辆，离退休干部用车0辆。单价100万元（含）以上专用设备0台（套）。</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楷体_GBK" w:cs="方正仿宋_GBK"/>
          <w:sz w:val="32"/>
          <w:szCs w:val="32"/>
          <w:lang w:eastAsia="zh-CN"/>
        </w:rPr>
      </w:pPr>
      <w:r>
        <w:rPr>
          <w:rFonts w:hint="eastAsia" w:ascii="方正楷体_GBK" w:hAnsi="方正楷体_GBK" w:eastAsia="方正楷体_GBK" w:cs="方正楷体_GBK"/>
          <w:sz w:val="32"/>
          <w:szCs w:val="32"/>
        </w:rPr>
        <w:t>（四）政府采购支出情况说明</w:t>
      </w:r>
      <w:r>
        <w:rPr>
          <w:rFonts w:hint="eastAsia" w:ascii="方正楷体_GBK" w:hAnsi="方正楷体_GBK" w:eastAsia="方正楷体_GBK" w:cs="方正楷体_GBK"/>
          <w:sz w:val="32"/>
          <w:szCs w:val="32"/>
          <w:lang w:eastAsia="zh-CN"/>
        </w:rPr>
        <w:t>。</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202</w:t>
      </w: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rPr>
        <w:t>年度我单位未发生政府采购事项，无相关经费支出。</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rPr>
        <w:t>五、</w:t>
      </w:r>
      <w:r>
        <w:rPr>
          <w:rFonts w:hint="eastAsia" w:ascii="方正黑体_GBK" w:hAnsi="方正黑体_GBK" w:eastAsia="方正黑体_GBK" w:cs="方正黑体_GBK"/>
          <w:sz w:val="32"/>
          <w:szCs w:val="32"/>
          <w:lang w:eastAsia="zh-CN"/>
        </w:rPr>
        <w:t>预算</w:t>
      </w:r>
      <w:r>
        <w:rPr>
          <w:rFonts w:hint="eastAsia" w:ascii="方正黑体_GBK" w:hAnsi="方正黑体_GBK" w:eastAsia="方正黑体_GBK" w:cs="方正黑体_GBK"/>
          <w:sz w:val="32"/>
          <w:szCs w:val="32"/>
          <w:lang w:val="en-US" w:eastAsia="zh-CN"/>
        </w:rPr>
        <w:t>绩效管理情况说明</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rPr>
        <w:t>（一）</w:t>
      </w:r>
      <w:r>
        <w:rPr>
          <w:rFonts w:hint="eastAsia" w:ascii="方正楷体_GBK" w:hAnsi="方正楷体_GBK" w:eastAsia="方正楷体_GBK" w:cs="方正楷体_GBK"/>
          <w:sz w:val="32"/>
          <w:szCs w:val="32"/>
          <w:lang w:val="en-US" w:eastAsia="zh-CN"/>
        </w:rPr>
        <w:t>单位绩效</w:t>
      </w:r>
      <w:r>
        <w:rPr>
          <w:rFonts w:hint="eastAsia" w:ascii="方正楷体_GBK" w:hAnsi="方正楷体_GBK" w:eastAsia="方正楷体_GBK" w:cs="方正楷体_GBK"/>
          <w:sz w:val="32"/>
          <w:szCs w:val="32"/>
        </w:rPr>
        <w:t>自评情况</w:t>
      </w:r>
      <w:r>
        <w:rPr>
          <w:rFonts w:hint="eastAsia" w:ascii="方正楷体_GBK" w:hAnsi="方正楷体_GBK" w:eastAsia="方正楷体_GBK" w:cs="方正楷体_GBK"/>
          <w:sz w:val="32"/>
          <w:szCs w:val="32"/>
          <w:lang w:eastAsia="zh-CN"/>
        </w:rPr>
        <w:t>。</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根据预算绩效管理要求，我单位对整体绩效开展了绩效自评，涉及财政拨款资金788.21万元，评价得分100分，评价等次为优。</w:t>
      </w:r>
      <w:r>
        <w:rPr>
          <w:rFonts w:hint="eastAsia" w:ascii="方正仿宋_GBK" w:hAnsi="方正仿宋_GBK" w:eastAsia="方正仿宋_GBK" w:cs="方正仿宋_GBK"/>
          <w:sz w:val="32"/>
          <w:szCs w:val="32"/>
          <w:lang w:eastAsia="zh-CN"/>
        </w:rPr>
        <w:t>单位整体绩效自评表详见附表。</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rPr>
        <w:t>（二）</w:t>
      </w:r>
      <w:r>
        <w:rPr>
          <w:rFonts w:hint="eastAsia" w:ascii="方正楷体_GBK" w:hAnsi="方正楷体_GBK" w:eastAsia="方正楷体_GBK" w:cs="方正楷体_GBK"/>
          <w:sz w:val="32"/>
          <w:szCs w:val="32"/>
          <w:lang w:val="en-US" w:eastAsia="zh-CN"/>
        </w:rPr>
        <w:t>单位</w:t>
      </w:r>
      <w:r>
        <w:rPr>
          <w:rFonts w:hint="eastAsia" w:ascii="方正楷体_GBK" w:hAnsi="方正楷体_GBK" w:eastAsia="方正楷体_GBK" w:cs="方正楷体_GBK"/>
          <w:sz w:val="32"/>
          <w:szCs w:val="32"/>
        </w:rPr>
        <w:t>绩效评价情况</w:t>
      </w:r>
      <w:r>
        <w:rPr>
          <w:rFonts w:hint="eastAsia" w:ascii="方正楷体_GBK" w:hAnsi="方正楷体_GBK" w:eastAsia="方正楷体_GBK" w:cs="方正楷体_GBK"/>
          <w:sz w:val="32"/>
          <w:szCs w:val="32"/>
          <w:lang w:eastAsia="zh-CN"/>
        </w:rPr>
        <w:t>。</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我单位未组织开展绩效评价。</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lang w:eastAsia="zh-CN"/>
        </w:rPr>
        <w:t>（三）</w:t>
      </w:r>
      <w:r>
        <w:rPr>
          <w:rFonts w:hint="eastAsia" w:ascii="方正楷体_GBK" w:hAnsi="方正楷体_GBK" w:eastAsia="方正楷体_GBK" w:cs="方正楷体_GBK"/>
          <w:sz w:val="32"/>
          <w:szCs w:val="32"/>
        </w:rPr>
        <w:t>财政绩效评价情况</w:t>
      </w:r>
      <w:r>
        <w:rPr>
          <w:rFonts w:hint="eastAsia" w:ascii="方正楷体_GBK" w:hAnsi="方正楷体_GBK" w:eastAsia="方正楷体_GBK" w:cs="方正楷体_GBK"/>
          <w:sz w:val="32"/>
          <w:szCs w:val="32"/>
          <w:lang w:eastAsia="zh-CN"/>
        </w:rPr>
        <w:t>。</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区</w:t>
      </w:r>
      <w:r>
        <w:rPr>
          <w:rFonts w:hint="eastAsia" w:ascii="方正仿宋_GBK" w:hAnsi="方正仿宋_GBK" w:eastAsia="方正仿宋_GBK" w:cs="方正仿宋_GBK"/>
          <w:sz w:val="32"/>
          <w:szCs w:val="32"/>
          <w:lang w:eastAsia="zh-CN"/>
        </w:rPr>
        <w:t>财政局未委托第三方对我单位开展绩效评价。</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lang w:eastAsia="zh-CN"/>
        </w:rPr>
        <w:t>六</w:t>
      </w:r>
      <w:r>
        <w:rPr>
          <w:rFonts w:hint="eastAsia" w:ascii="方正黑体_GBK" w:hAnsi="方正黑体_GBK" w:eastAsia="方正黑体_GBK" w:cs="方正黑体_GBK"/>
          <w:sz w:val="32"/>
          <w:szCs w:val="32"/>
        </w:rPr>
        <w:t>、专业名词解释</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（一）财政拨款收入：</w:t>
      </w:r>
      <w:r>
        <w:rPr>
          <w:rFonts w:hint="eastAsia" w:ascii="方正仿宋_GBK" w:hAnsi="方正仿宋_GBK" w:eastAsia="方正仿宋_GBK" w:cs="方正仿宋_GBK"/>
          <w:sz w:val="32"/>
          <w:szCs w:val="32"/>
        </w:rPr>
        <w:t>指本年度从本级财政部门取得的财政拨款。</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（二）事业收入：</w:t>
      </w:r>
      <w:r>
        <w:rPr>
          <w:rFonts w:hint="eastAsia" w:ascii="方正仿宋_GBK" w:hAnsi="方正仿宋_GBK" w:eastAsia="方正仿宋_GBK" w:cs="方正仿宋_GBK"/>
          <w:sz w:val="32"/>
          <w:szCs w:val="32"/>
        </w:rPr>
        <w:t>指事业单位开展专业业务活动及其辅助活动取得的</w:t>
      </w:r>
      <w:r>
        <w:rPr>
          <w:rFonts w:hint="eastAsia" w:ascii="方正仿宋_GBK" w:hAnsi="方正仿宋_GBK" w:eastAsia="方正仿宋_GBK" w:cs="方正仿宋_GBK"/>
          <w:sz w:val="32"/>
          <w:szCs w:val="32"/>
          <w:lang w:eastAsia="zh-CN"/>
        </w:rPr>
        <w:t>收入</w:t>
      </w:r>
      <w:r>
        <w:rPr>
          <w:rFonts w:hint="eastAsia" w:ascii="方正仿宋_GBK" w:hAnsi="方正仿宋_GBK" w:eastAsia="方正仿宋_GBK" w:cs="方正仿宋_GBK"/>
          <w:sz w:val="32"/>
          <w:szCs w:val="32"/>
        </w:rPr>
        <w:t>。</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（三）经营收入：</w:t>
      </w:r>
      <w:r>
        <w:rPr>
          <w:rFonts w:hint="eastAsia" w:ascii="方正仿宋_GBK" w:hAnsi="方正仿宋_GBK" w:eastAsia="方正仿宋_GBK" w:cs="方正仿宋_GBK"/>
          <w:sz w:val="32"/>
          <w:szCs w:val="32"/>
        </w:rPr>
        <w:t>指事业单位在专业业务活动及其辅助活动之外开展非独立核算经营活动取得的</w:t>
      </w:r>
      <w:r>
        <w:rPr>
          <w:rFonts w:hint="eastAsia" w:ascii="方正仿宋_GBK" w:hAnsi="方正仿宋_GBK" w:eastAsia="方正仿宋_GBK" w:cs="方正仿宋_GBK"/>
          <w:sz w:val="32"/>
          <w:szCs w:val="32"/>
          <w:lang w:eastAsia="zh-CN"/>
        </w:rPr>
        <w:t>收入</w:t>
      </w:r>
      <w:r>
        <w:rPr>
          <w:rFonts w:hint="eastAsia" w:ascii="方正仿宋_GBK" w:hAnsi="方正仿宋_GBK" w:eastAsia="方正仿宋_GBK" w:cs="方正仿宋_GBK"/>
          <w:sz w:val="32"/>
          <w:szCs w:val="32"/>
        </w:rPr>
        <w:t>。</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（四）其他收入：</w:t>
      </w:r>
      <w:r>
        <w:rPr>
          <w:rFonts w:hint="eastAsia" w:ascii="方正仿宋_GBK" w:hAnsi="方正仿宋_GBK" w:eastAsia="方正仿宋_GBK" w:cs="方正仿宋_GBK"/>
          <w:sz w:val="32"/>
          <w:szCs w:val="32"/>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（五）使用非财政拨款结余</w:t>
      </w:r>
      <w:r>
        <w:rPr>
          <w:rFonts w:hint="eastAsia" w:ascii="方正楷体_GBK" w:hAnsi="方正楷体_GBK" w:eastAsia="方正楷体_GBK" w:cs="方正楷体_GBK"/>
          <w:sz w:val="32"/>
          <w:szCs w:val="32"/>
          <w:lang w:eastAsia="zh-CN"/>
        </w:rPr>
        <w:t>（含专用结余）</w:t>
      </w:r>
      <w:r>
        <w:rPr>
          <w:rFonts w:hint="eastAsia" w:ascii="方正楷体_GBK" w:hAnsi="方正楷体_GBK" w:eastAsia="方正楷体_GBK" w:cs="方正楷体_GBK"/>
          <w:sz w:val="32"/>
          <w:szCs w:val="32"/>
        </w:rPr>
        <w:t>：</w:t>
      </w:r>
      <w:r>
        <w:rPr>
          <w:rFonts w:hint="eastAsia" w:ascii="方正仿宋_GBK" w:hAnsi="方正仿宋_GBK" w:eastAsia="方正仿宋_GBK" w:cs="方正仿宋_GBK"/>
          <w:sz w:val="32"/>
          <w:szCs w:val="32"/>
        </w:rPr>
        <w:t>指</w:t>
      </w:r>
      <w:r>
        <w:rPr>
          <w:rFonts w:hint="eastAsia" w:ascii="方正仿宋_GBK" w:hAnsi="方正仿宋_GBK" w:eastAsia="方正仿宋_GBK" w:cs="方正仿宋_GBK"/>
          <w:sz w:val="32"/>
          <w:szCs w:val="32"/>
          <w:lang w:eastAsia="zh-CN"/>
        </w:rPr>
        <w:t>事业单位按照预算管理要求使用非财政拨款结余弥补收支差额的金额，以及使用专用结余安排支出的金额。</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（六）年初结转和结余：</w:t>
      </w:r>
      <w:r>
        <w:rPr>
          <w:rFonts w:hint="eastAsia" w:ascii="方正仿宋_GBK" w:hAnsi="方正仿宋_GBK" w:eastAsia="方正仿宋_GBK" w:cs="方正仿宋_GBK"/>
          <w:sz w:val="32"/>
          <w:szCs w:val="32"/>
        </w:rPr>
        <w:t>指单位上年结转本年使用的基本支出结转、项目支出结转和结余、经营结余。</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（七）结余分配：</w:t>
      </w:r>
      <w:r>
        <w:rPr>
          <w:rFonts w:hint="eastAsia" w:ascii="方正仿宋_GBK" w:hAnsi="方正仿宋_GBK" w:eastAsia="方正仿宋_GBK" w:cs="方正仿宋_GBK"/>
          <w:sz w:val="32"/>
          <w:szCs w:val="32"/>
        </w:rPr>
        <w:t>指单位按照国家有关规定，缴纳所得税、提取专用基金、转入非财政拨款结余等当年结余的分配情况。</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（八）年末结转和结余：</w:t>
      </w:r>
      <w:r>
        <w:rPr>
          <w:rFonts w:hint="eastAsia" w:ascii="方正仿宋_GBK" w:hAnsi="方正仿宋_GBK" w:eastAsia="方正仿宋_GBK" w:cs="方正仿宋_GBK"/>
          <w:sz w:val="32"/>
          <w:szCs w:val="32"/>
        </w:rPr>
        <w:t>指单位结转下年的基本支出结转、项目支出结转和结余、经营结余。</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（九）基本支出：</w:t>
      </w:r>
      <w:r>
        <w:rPr>
          <w:rFonts w:hint="eastAsia" w:ascii="方正仿宋_GBK" w:hAnsi="方正仿宋_GBK" w:eastAsia="方正仿宋_GBK" w:cs="方正仿宋_GBK"/>
          <w:sz w:val="32"/>
          <w:szCs w:val="32"/>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（十）项目支出：</w:t>
      </w:r>
      <w:r>
        <w:rPr>
          <w:rFonts w:hint="eastAsia" w:ascii="方正仿宋_GBK" w:hAnsi="方正仿宋_GBK" w:eastAsia="方正仿宋_GBK" w:cs="方正仿宋_GBK"/>
          <w:sz w:val="32"/>
          <w:szCs w:val="32"/>
        </w:rPr>
        <w:t>指在基本支出之外为完成特定行政任务和事业发展目标所发生的支出。</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（十一）经营支出：</w:t>
      </w:r>
      <w:r>
        <w:rPr>
          <w:rFonts w:hint="eastAsia" w:ascii="方正仿宋_GBK" w:hAnsi="方正仿宋_GBK" w:eastAsia="方正仿宋_GBK" w:cs="方正仿宋_GBK"/>
          <w:sz w:val="32"/>
          <w:szCs w:val="32"/>
        </w:rPr>
        <w:t>指事业单位在专业业务活动及其辅助活动之外开展非独立核算经营活动发生的支出。</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（十二）“三公”经费：</w:t>
      </w:r>
      <w:r>
        <w:rPr>
          <w:rFonts w:hint="eastAsia" w:ascii="方正仿宋_GBK" w:hAnsi="方正仿宋_GBK" w:eastAsia="方正仿宋_GBK" w:cs="方正仿宋_GBK"/>
          <w:sz w:val="32"/>
          <w:szCs w:val="32"/>
        </w:rPr>
        <w:t>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（十三）机关运行经费：</w:t>
      </w:r>
      <w:r>
        <w:rPr>
          <w:rFonts w:hint="eastAsia" w:ascii="方正仿宋_GBK" w:hAnsi="方正仿宋_GBK" w:eastAsia="方正仿宋_GBK" w:cs="方正仿宋_GBK"/>
          <w:sz w:val="32"/>
          <w:szCs w:val="32"/>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（十四）工资福利支出（支出经济分类科目类级）：</w:t>
      </w:r>
      <w:r>
        <w:rPr>
          <w:rFonts w:hint="eastAsia" w:ascii="方正仿宋_GBK" w:hAnsi="方正仿宋_GBK" w:eastAsia="方正仿宋_GBK" w:cs="方正仿宋_GBK"/>
          <w:sz w:val="32"/>
          <w:szCs w:val="32"/>
        </w:rPr>
        <w:t>反映单位开支的在职职工和编制外长期聘用人员的各类劳动报酬，以及为上述人员缴纳的各项社会保险费等。</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（十五）商品和服务支出（支出经济分类科目类级）：</w:t>
      </w:r>
      <w:r>
        <w:rPr>
          <w:rFonts w:hint="eastAsia" w:ascii="方正仿宋_GBK" w:hAnsi="方正仿宋_GBK" w:eastAsia="方正仿宋_GBK" w:cs="方正仿宋_GBK"/>
          <w:sz w:val="32"/>
          <w:szCs w:val="32"/>
        </w:rPr>
        <w:t>反映单位购买商品和服务的支出（不包括用于购置固定资产的支出、战略性和应急储备支出）。</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（十六）对个人和家庭的补助（支出经济分类科目类级）：</w:t>
      </w:r>
      <w:r>
        <w:rPr>
          <w:rFonts w:hint="eastAsia" w:ascii="方正仿宋_GBK" w:hAnsi="方正仿宋_GBK" w:eastAsia="方正仿宋_GBK" w:cs="方正仿宋_GBK"/>
          <w:sz w:val="32"/>
          <w:szCs w:val="32"/>
        </w:rPr>
        <w:t>反映用于对个人和家庭的补助支出。</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（十七）其他资本性支出（支出经济分类科目类级）：</w:t>
      </w:r>
      <w:r>
        <w:rPr>
          <w:rFonts w:hint="eastAsia" w:ascii="方正仿宋_GBK" w:hAnsi="方正仿宋_GBK" w:eastAsia="方正仿宋_GBK" w:cs="方正仿宋_GBK"/>
          <w:sz w:val="32"/>
          <w:szCs w:val="32"/>
        </w:rPr>
        <w:t>反映非各级发展与改革部门集中安排的用于购置固定资产、战略性和应急性储备、土地和无形资产，以及构建基础设施、大型修缮和财政支持企业更新改造所发生的支出。</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eastAsia="zh-CN"/>
        </w:rPr>
        <w:t>七</w:t>
      </w:r>
      <w:r>
        <w:rPr>
          <w:rFonts w:hint="eastAsia" w:ascii="方正黑体_GBK" w:hAnsi="方正黑体_GBK" w:eastAsia="方正黑体_GBK" w:cs="方正黑体_GBK"/>
          <w:sz w:val="32"/>
          <w:szCs w:val="32"/>
        </w:rPr>
        <w:t>、决算公开联系方式及信息反馈渠道</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本部门决算公开信息反馈和联系方式：郎成，023-46212076</w:t>
      </w:r>
    </w:p>
    <w:p>
      <w:pPr>
        <w:pStyle w:val="11"/>
        <w:keepNext w:val="0"/>
        <w:keepLines w:val="0"/>
        <w:pageBreakBefore w:val="0"/>
        <w:widowControl/>
        <w:kinsoku/>
        <w:wordWrap/>
        <w:overflowPunct/>
        <w:topLinePunct w:val="0"/>
        <w:autoSpaceDE w:val="0"/>
        <w:autoSpaceDN/>
        <w:bidi w:val="0"/>
        <w:adjustRightInd/>
        <w:snapToGrid w:val="0"/>
        <w:spacing w:beforeAutospacing="0" w:afterAutospacing="0" w:line="240" w:lineRule="auto"/>
        <w:ind w:firstLine="640" w:firstLineChars="200"/>
        <w:jc w:val="both"/>
        <w:textAlignment w:val="auto"/>
        <w:rPr>
          <w:rFonts w:hint="eastAsia" w:ascii="方正仿宋_GBK" w:hAnsi="方正仿宋_GBK" w:eastAsia="方正仿宋_GBK" w:cs="方正仿宋_GBK"/>
          <w:b w:val="0"/>
          <w:bCs w:val="0"/>
          <w:color w:val="auto"/>
          <w:sz w:val="32"/>
          <w:szCs w:val="32"/>
          <w:shd w:val="clear" w:color="auto" w:fill="FFFFFF"/>
          <w:lang w:val="en-US" w:eastAsia="zh-CN"/>
        </w:rPr>
      </w:pPr>
    </w:p>
    <w:p>
      <w:pPr>
        <w:keepNext w:val="0"/>
        <w:keepLines w:val="0"/>
        <w:pageBreakBefore w:val="0"/>
        <w:widowControl/>
        <w:kinsoku/>
        <w:wordWrap/>
        <w:overflowPunct/>
        <w:topLinePunct w:val="0"/>
        <w:autoSpaceDE/>
        <w:autoSpaceDN/>
        <w:bidi w:val="0"/>
        <w:adjustRightInd/>
        <w:snapToGrid w:val="0"/>
        <w:ind w:left="1598" w:leftChars="266" w:hanging="960" w:hangingChars="300"/>
        <w:jc w:val="both"/>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附件：重庆市荣昌区峰高街道农业服务中心2024年度单位决算公开报表</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p>
    <w:p>
      <w:pPr>
        <w:pStyle w:val="11"/>
        <w:keepNext w:val="0"/>
        <w:keepLines w:val="0"/>
        <w:pageBreakBefore w:val="0"/>
        <w:widowControl/>
        <w:kinsoku/>
        <w:wordWrap/>
        <w:overflowPunct/>
        <w:topLinePunct w:val="0"/>
        <w:autoSpaceDE w:val="0"/>
        <w:autoSpaceDN/>
        <w:bidi w:val="0"/>
        <w:adjustRightInd/>
        <w:spacing w:beforeAutospacing="0" w:afterAutospacing="0" w:line="596" w:lineRule="exact"/>
        <w:ind w:firstLine="640"/>
        <w:jc w:val="both"/>
        <w:textAlignment w:val="auto"/>
        <w:rPr>
          <w:rStyle w:val="10"/>
          <w:rFonts w:ascii="方正仿宋_GBK" w:hAnsi="方正仿宋_GBK" w:eastAsia="方正仿宋_GBK" w:cs="方正仿宋_GBK"/>
          <w:sz w:val="32"/>
          <w:szCs w:val="32"/>
          <w:shd w:val="clear" w:color="auto" w:fill="FFFF00"/>
        </w:rPr>
        <w:sectPr>
          <w:footerReference r:id="rId3" w:type="default"/>
          <w:pgSz w:w="11915" w:h="16840"/>
          <w:pgMar w:top="2098" w:right="1474" w:bottom="1984" w:left="1587" w:header="851" w:footer="992" w:gutter="0"/>
          <w:pgNumType w:fmt="numberInDash"/>
          <w:cols w:space="720" w:num="1"/>
          <w:docGrid w:type="lines" w:linePitch="312" w:charSpace="0"/>
        </w:sectPr>
      </w:pPr>
    </w:p>
    <w:tbl>
      <w:tblPr>
        <w:tblStyle w:val="7"/>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r>
              <w:rPr>
                <w:rFonts w:cs="宋体"/>
                <w:sz w:val="20"/>
                <w:szCs w:val="20"/>
              </w:rPr>
              <w:t>单位：</w:t>
            </w:r>
            <w:r>
              <w:rPr>
                <w:sz w:val="20"/>
                <w:u w:color="auto"/>
              </w:rPr>
              <w:t>重庆市荣昌区峰高街道农业服务中心</w:t>
            </w: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788.21</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4.48</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169.75</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31.88</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549.43</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32.67</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788.21</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788.21</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788.21</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788.21</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15503" w:type="dxa"/>
        <w:tblInd w:w="0" w:type="dxa"/>
        <w:tblLayout w:type="fixed"/>
        <w:tblCellMar>
          <w:top w:w="0" w:type="dxa"/>
          <w:left w:w="0" w:type="dxa"/>
          <w:bottom w:w="0" w:type="dxa"/>
          <w:right w:w="0" w:type="dxa"/>
        </w:tblCellMar>
      </w:tblPr>
      <w:tblGrid>
        <w:gridCol w:w="1637"/>
        <w:gridCol w:w="3075"/>
        <w:gridCol w:w="1308"/>
        <w:gridCol w:w="1367"/>
        <w:gridCol w:w="1257"/>
        <w:gridCol w:w="1257"/>
        <w:gridCol w:w="1320"/>
        <w:gridCol w:w="1259"/>
        <w:gridCol w:w="1392"/>
        <w:gridCol w:w="1631"/>
      </w:tblGrid>
      <w:tr>
        <w:tblPrEx>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trHeight w:val="328" w:hRule="atLeast"/>
        </w:trPr>
        <w:tc>
          <w:tcPr>
            <w:tcW w:w="6020"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sz w:val="20"/>
                <w:u w:color="auto"/>
              </w:rPr>
              <w:t>重庆市荣昌区峰高街道农业服务中心</w:t>
            </w:r>
          </w:p>
        </w:tc>
        <w:tc>
          <w:tcPr>
            <w:tcW w:w="136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2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9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31"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CellMar>
            <w:top w:w="0" w:type="dxa"/>
            <w:left w:w="0" w:type="dxa"/>
            <w:bottom w:w="0" w:type="dxa"/>
            <w:right w:w="0" w:type="dxa"/>
          </w:tblCellMar>
        </w:tblPrEx>
        <w:trPr>
          <w:trHeight w:val="328" w:hRule="atLeast"/>
        </w:trPr>
        <w:tc>
          <w:tcPr>
            <w:tcW w:w="6020"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6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2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9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31"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31" w:hRule="atLeast"/>
        </w:trPr>
        <w:tc>
          <w:tcPr>
            <w:tcW w:w="4712"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3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3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5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3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63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trPr>
        <w:tc>
          <w:tcPr>
            <w:tcW w:w="1637"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075"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075"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075"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075"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7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3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788.21</w:t>
            </w:r>
            <w:r>
              <w:rPr>
                <w:rFonts w:ascii="Times New Roman" w:hAnsi="Times New Roman"/>
                <w:b/>
                <w:color w:val="000000"/>
                <w:sz w:val="20"/>
                <w:u w:color="auto"/>
              </w:rPr>
              <w:t xml:space="preserve"> </w:t>
            </w:r>
          </w:p>
        </w:tc>
        <w:tc>
          <w:tcPr>
            <w:tcW w:w="13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788.21</w:t>
            </w:r>
            <w:r>
              <w:rPr>
                <w:rFonts w:ascii="Times New Roman" w:hAnsi="Times New Roman"/>
                <w:b/>
                <w:color w:val="000000"/>
                <w:sz w:val="20"/>
                <w:u w:color="auto"/>
              </w:rPr>
              <w:t xml:space="preserve"> </w:t>
            </w:r>
          </w:p>
        </w:tc>
        <w:tc>
          <w:tcPr>
            <w:tcW w:w="12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4.48</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4.48</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4.48</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4.48</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4.48</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4.48</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169.75</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169.75</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169.75</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169.75</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68.85</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68.85</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34.50</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34.50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66.41</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66.41</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31.88</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31.88</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31.88</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31.88</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22.79</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22.79</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9.09</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9.09</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549.43</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549.43</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549.43</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549.43</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2130104</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549.43</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549.43</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32.67</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32.67</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32.67</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32.67</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32.67</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32.67</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7"/>
        <w:tblW w:w="15322" w:type="dxa"/>
        <w:tblInd w:w="0" w:type="dxa"/>
        <w:tblLayout w:type="fixed"/>
        <w:tblCellMar>
          <w:top w:w="0" w:type="dxa"/>
          <w:left w:w="0" w:type="dxa"/>
          <w:bottom w:w="0" w:type="dxa"/>
          <w:right w:w="0" w:type="dxa"/>
        </w:tblCellMar>
      </w:tblPr>
      <w:tblGrid>
        <w:gridCol w:w="1637"/>
        <w:gridCol w:w="3530"/>
        <w:gridCol w:w="1645"/>
        <w:gridCol w:w="1694"/>
        <w:gridCol w:w="1627"/>
        <w:gridCol w:w="1559"/>
        <w:gridCol w:w="1694"/>
        <w:gridCol w:w="1936"/>
      </w:tblGrid>
      <w:tr>
        <w:tblPrEx>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CellMar>
            <w:top w:w="0" w:type="dxa"/>
            <w:left w:w="0" w:type="dxa"/>
            <w:bottom w:w="0" w:type="dxa"/>
            <w:right w:w="0" w:type="dxa"/>
          </w:tblCellMar>
        </w:tblPrEx>
        <w:trPr>
          <w:trHeight w:val="342" w:hRule="atLeast"/>
        </w:trPr>
        <w:tc>
          <w:tcPr>
            <w:tcW w:w="6812"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重庆市荣昌区峰高街道农业服务中心 </w:t>
            </w:r>
          </w:p>
        </w:tc>
        <w:tc>
          <w:tcPr>
            <w:tcW w:w="169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2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5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3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CellMar>
            <w:top w:w="0" w:type="dxa"/>
            <w:left w:w="0" w:type="dxa"/>
            <w:bottom w:w="0" w:type="dxa"/>
            <w:right w:w="0" w:type="dxa"/>
          </w:tblCellMar>
        </w:tblPrEx>
        <w:trPr>
          <w:trHeight w:val="342" w:hRule="atLeast"/>
        </w:trPr>
        <w:tc>
          <w:tcPr>
            <w:tcW w:w="681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2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5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3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62" w:hRule="atLeast"/>
        </w:trPr>
        <w:tc>
          <w:tcPr>
            <w:tcW w:w="51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9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1637"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30"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5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5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5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62" w:hRule="atLeast"/>
        </w:trPr>
        <w:tc>
          <w:tcPr>
            <w:tcW w:w="51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6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788.21</w:t>
            </w:r>
            <w:r>
              <w:rPr>
                <w:rFonts w:ascii="Times New Roman" w:hAnsi="Times New Roman"/>
                <w:b/>
                <w:color w:val="000000"/>
                <w:sz w:val="20"/>
                <w:u w:color="auto"/>
              </w:rPr>
              <w:t xml:space="preserve"> </w:t>
            </w:r>
          </w:p>
        </w:tc>
        <w:tc>
          <w:tcPr>
            <w:tcW w:w="16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788.21</w:t>
            </w:r>
            <w:r>
              <w:rPr>
                <w:rFonts w:ascii="Times New Roman" w:hAnsi="Times New Roman"/>
                <w:b/>
                <w:color w:val="000000"/>
                <w:sz w:val="20"/>
                <w:u w:color="auto"/>
              </w:rPr>
              <w:t xml:space="preserve"> </w:t>
            </w:r>
          </w:p>
        </w:tc>
        <w:tc>
          <w:tcPr>
            <w:tcW w:w="16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5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9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4.48</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4.48</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4.48</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4.48</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4.48</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4.48</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169.75</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169.75</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169.75</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169.75</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68.85</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68.85</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34.50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34.50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66.41</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66.41</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31.88</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31.88</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31.88</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31.88</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22.79</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22.79</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9.09</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9.09</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549.43</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549.43</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549.43</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549.43</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2130104</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549.43</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549.43</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32.67</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32.67</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32.67</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32.67</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32.67</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32.67</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7"/>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重庆市荣昌区峰高街道农业服务中心</w:t>
            </w: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788.21</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169.75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169.75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31.88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31.88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549.43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549.43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32.67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32.67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788.21</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788.21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788.21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788.21</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788.21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788.21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486"/>
        <w:gridCol w:w="3895"/>
        <w:gridCol w:w="3306"/>
        <w:gridCol w:w="3300"/>
        <w:gridCol w:w="3335"/>
      </w:tblGrid>
      <w:tr>
        <w:tblPrEx>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8687"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重庆市荣昌区峰高街道农业服务中心</w:t>
            </w:r>
          </w:p>
        </w:tc>
        <w:tc>
          <w:tcPr>
            <w:tcW w:w="330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3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CellMar>
            <w:top w:w="0" w:type="dxa"/>
            <w:left w:w="0" w:type="dxa"/>
            <w:bottom w:w="0" w:type="dxa"/>
            <w:right w:w="0" w:type="dxa"/>
          </w:tblCellMar>
        </w:tblPrEx>
        <w:trPr>
          <w:trHeight w:val="285" w:hRule="atLeast"/>
        </w:trPr>
        <w:tc>
          <w:tcPr>
            <w:tcW w:w="8687"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0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3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08" w:hRule="atLeast"/>
        </w:trPr>
        <w:tc>
          <w:tcPr>
            <w:tcW w:w="538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41"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trPr>
        <w:tc>
          <w:tcPr>
            <w:tcW w:w="148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89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3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5"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08" w:hRule="atLeast"/>
        </w:trPr>
        <w:tc>
          <w:tcPr>
            <w:tcW w:w="538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788.21</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788.21</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4.48</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4.48</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4.48</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4.48</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4.48</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4.48</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169.75</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169.75</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169.75</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169.75</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68.85</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68.85</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34.50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34.50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66.41</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66.41</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31.88</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31.88</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31.88</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31.88</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22.79</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22.79</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9.09</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9.09</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549.43</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549.43</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549.43</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549.43</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2130104</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549.43</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549.43</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32.67</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32.67</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32.67</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32.67</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32.67</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32.67</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7"/>
        <w:tblW w:w="15304" w:type="dxa"/>
        <w:tblInd w:w="0" w:type="dxa"/>
        <w:tblLayout w:type="fixed"/>
        <w:tblCellMar>
          <w:top w:w="0" w:type="dxa"/>
          <w:left w:w="0" w:type="dxa"/>
          <w:bottom w:w="0" w:type="dxa"/>
          <w:right w:w="0" w:type="dxa"/>
        </w:tblCellMar>
      </w:tblPr>
      <w:tblGrid>
        <w:gridCol w:w="603"/>
        <w:gridCol w:w="2730"/>
        <w:gridCol w:w="1371"/>
        <w:gridCol w:w="833"/>
        <w:gridCol w:w="1916"/>
        <w:gridCol w:w="1650"/>
        <w:gridCol w:w="805"/>
        <w:gridCol w:w="3514"/>
        <w:gridCol w:w="1882"/>
      </w:tblGrid>
      <w:tr>
        <w:tblPrEx>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CellMar>
            <w:top w:w="0" w:type="dxa"/>
            <w:left w:w="0" w:type="dxa"/>
            <w:bottom w:w="0" w:type="dxa"/>
            <w:right w:w="0" w:type="dxa"/>
          </w:tblCellMar>
        </w:tblPrEx>
        <w:trPr>
          <w:trHeight w:val="90" w:hRule="atLeast"/>
        </w:trPr>
        <w:tc>
          <w:tcPr>
            <w:tcW w:w="7453" w:type="dxa"/>
            <w:gridSpan w:val="5"/>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重庆市荣昌区峰高街道农业服务中心</w:t>
            </w:r>
          </w:p>
        </w:tc>
        <w:tc>
          <w:tcPr>
            <w:tcW w:w="165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05"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51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88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7453" w:type="dxa"/>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5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05"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51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88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4704"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10600"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trPr>
        <w:tc>
          <w:tcPr>
            <w:tcW w:w="6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73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37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3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9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6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51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88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trPr>
        <w:tc>
          <w:tcPr>
            <w:tcW w:w="6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27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37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3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9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51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88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619.19</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106.69</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310</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152.40</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8.56</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30102</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9.91</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30203</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31003</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30106</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31005</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30107</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280.90</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30205</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31006</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30108</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68.85</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30206</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31007</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34.50</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31008</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30110</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22.79</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30208</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31010</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30112</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6.09</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0.09</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32.67</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30114</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5.12</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30213</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44.33</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31013</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30199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5.97</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62.32</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30215</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30216</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4.48</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30302</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30218</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30304</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30305</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51.87</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30225</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31203</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30306</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30226</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31204</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30307</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3.80</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31205</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30308</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30228</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34.44</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31206</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6.65</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30310</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39907</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30399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30240</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39908</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30299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13.79</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债务利息及费用支出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39910</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30703</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trPr>
        <w:tc>
          <w:tcPr>
            <w:tcW w:w="3333"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137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681.52</w:t>
            </w:r>
            <w:r>
              <w:rPr>
                <w:rFonts w:ascii="Times New Roman" w:hAnsi="Times New Roman"/>
                <w:color w:val="000000"/>
                <w:sz w:val="18"/>
                <w:u w:color="auto"/>
              </w:rPr>
              <w:t xml:space="preserve"> </w:t>
            </w:r>
          </w:p>
        </w:tc>
        <w:tc>
          <w:tcPr>
            <w:tcW w:w="8718"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1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106.69</w:t>
            </w:r>
            <w:r>
              <w:rPr>
                <w:rFonts w:ascii="Times New Roman" w:hAnsi="Times New Roman"/>
                <w:color w:val="000000"/>
                <w:sz w:val="18"/>
                <w:u w:color="auto"/>
              </w:rPr>
              <w:t xml:space="preserve"> </w:t>
            </w:r>
          </w:p>
        </w:tc>
      </w:tr>
    </w:tbl>
    <w:p>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635"/>
        <w:gridCol w:w="3285"/>
        <w:gridCol w:w="1701"/>
        <w:gridCol w:w="1701"/>
        <w:gridCol w:w="1701"/>
        <w:gridCol w:w="1701"/>
        <w:gridCol w:w="1765"/>
        <w:gridCol w:w="1833"/>
      </w:tblGrid>
      <w:tr>
        <w:tblPrEx>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6621"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重庆市荣昌区峰高街道农业服务中心</w:t>
            </w: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3"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CellMar>
            <w:top w:w="0" w:type="dxa"/>
            <w:left w:w="0" w:type="dxa"/>
            <w:bottom w:w="0" w:type="dxa"/>
            <w:right w:w="0" w:type="dxa"/>
          </w:tblCellMar>
        </w:tblPrEx>
        <w:trPr>
          <w:trHeight w:val="329" w:hRule="atLeast"/>
        </w:trPr>
        <w:tc>
          <w:tcPr>
            <w:tcW w:w="6621"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3"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trPr>
        <w:tc>
          <w:tcPr>
            <w:tcW w:w="49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2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4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4920"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32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2001"/>
        <w:gridCol w:w="2917"/>
        <w:gridCol w:w="3264"/>
        <w:gridCol w:w="199"/>
        <w:gridCol w:w="3463"/>
        <w:gridCol w:w="77"/>
        <w:gridCol w:w="3401"/>
      </w:tblGrid>
      <w:tr>
        <w:tblPrEx>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重庆市荣昌区峰高街道农业服务中心</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04"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trPr>
        <w:tc>
          <w:tcPr>
            <w:tcW w:w="2001"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78"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26"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1"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488" w:hRule="atLeast"/>
        </w:trPr>
        <w:tc>
          <w:tcPr>
            <w:tcW w:w="200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7"/>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tblPrEx>
          <w:tblCellMar>
            <w:top w:w="0" w:type="dxa"/>
            <w:left w:w="170" w:type="dxa"/>
            <w:bottom w:w="0" w:type="dxa"/>
            <w:right w:w="170" w:type="dxa"/>
          </w:tblCellMar>
        </w:tblPrEx>
        <w:trPr>
          <w:trHeight w:val="343" w:hRule="atLeast"/>
        </w:trPr>
        <w:tc>
          <w:tcPr>
            <w:tcW w:w="14131" w:type="dxa"/>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3179"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16" w:type="dxa"/>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75" w:type="dxa"/>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重庆市荣昌区峰高街道农业服务中心</w:t>
            </w:r>
          </w:p>
        </w:tc>
        <w:tc>
          <w:tcPr>
            <w:tcW w:w="2375"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4.48</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0.09</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cs="宋体"/>
          <w:sz w:val="18"/>
          <w:szCs w:val="18"/>
        </w:rPr>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p>
    <w:tbl>
      <w:tblPr>
        <w:tblStyle w:val="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570"/>
        <w:gridCol w:w="406"/>
        <w:gridCol w:w="1603"/>
        <w:gridCol w:w="811"/>
        <w:gridCol w:w="1794"/>
        <w:gridCol w:w="582"/>
        <w:gridCol w:w="927"/>
        <w:gridCol w:w="985"/>
        <w:gridCol w:w="734"/>
        <w:gridCol w:w="753"/>
        <w:gridCol w:w="5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56"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方正黑体_GBK" w:hAnsi="方正黑体_GBK" w:eastAsia="方正黑体_GBK" w:cs="方正黑体_GBK"/>
                <w:b w:val="0"/>
                <w:bCs/>
                <w:i w:val="0"/>
                <w:color w:val="000000"/>
                <w:kern w:val="0"/>
                <w:sz w:val="32"/>
                <w:szCs w:val="32"/>
                <w:u w:val="none"/>
                <w:lang w:val="en-US" w:eastAsia="zh-CN" w:bidi="ar"/>
              </w:rPr>
              <w:t>2024年度单位整体绩效自评表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30" w:hRule="atLeast"/>
        </w:trPr>
        <w:tc>
          <w:tcPr>
            <w:tcW w:w="7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项目名称：</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重庆市荣昌区峰高街道</w:t>
            </w:r>
            <w:r>
              <w:rPr>
                <w:rFonts w:hint="eastAsia" w:cs="宋体"/>
                <w:b w:val="0"/>
                <w:bCs/>
                <w:i w:val="0"/>
                <w:color w:val="000000"/>
                <w:kern w:val="0"/>
                <w:sz w:val="22"/>
                <w:szCs w:val="22"/>
                <w:u w:val="none"/>
                <w:lang w:val="en-US" w:eastAsia="zh-CN" w:bidi="ar"/>
              </w:rPr>
              <w:t>农业服务中心</w:t>
            </w:r>
            <w:r>
              <w:rPr>
                <w:rFonts w:hint="eastAsia" w:ascii="宋体" w:hAnsi="宋体" w:eastAsia="宋体" w:cs="宋体"/>
                <w:b w:val="0"/>
                <w:bCs/>
                <w:i w:val="0"/>
                <w:color w:val="000000"/>
                <w:kern w:val="0"/>
                <w:sz w:val="22"/>
                <w:szCs w:val="22"/>
                <w:u w:val="none"/>
                <w:lang w:val="en-US" w:eastAsia="zh-CN" w:bidi="ar"/>
              </w:rPr>
              <w:t>整体自评</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项目编码：</w:t>
            </w:r>
          </w:p>
        </w:tc>
        <w:tc>
          <w:tcPr>
            <w:tcW w:w="110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自评总分：</w:t>
            </w:r>
          </w:p>
        </w:tc>
        <w:tc>
          <w:tcPr>
            <w:tcW w:w="79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100.00</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p>
        </w:tc>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6" w:hRule="atLeast"/>
        </w:trPr>
        <w:tc>
          <w:tcPr>
            <w:tcW w:w="7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项目主管</w:t>
            </w:r>
            <w:r>
              <w:rPr>
                <w:rFonts w:hint="eastAsia" w:cs="宋体"/>
                <w:b w:val="0"/>
                <w:bCs/>
                <w:i w:val="0"/>
                <w:color w:val="000000"/>
                <w:kern w:val="0"/>
                <w:sz w:val="22"/>
                <w:szCs w:val="22"/>
                <w:u w:val="none"/>
                <w:lang w:val="en-US" w:eastAsia="zh-CN" w:bidi="ar"/>
              </w:rPr>
              <w:t>单位</w:t>
            </w:r>
            <w:r>
              <w:rPr>
                <w:rFonts w:hint="eastAsia" w:ascii="宋体" w:hAnsi="宋体" w:eastAsia="宋体" w:cs="宋体"/>
                <w:b w:val="0"/>
                <w:bCs/>
                <w:i w:val="0"/>
                <w:color w:val="000000"/>
                <w:kern w:val="0"/>
                <w:sz w:val="22"/>
                <w:szCs w:val="22"/>
                <w:u w:val="none"/>
                <w:lang w:val="en-US" w:eastAsia="zh-CN" w:bidi="ar"/>
              </w:rPr>
              <w:t>：</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906</w:t>
            </w:r>
            <w:r>
              <w:rPr>
                <w:rFonts w:hint="eastAsia" w:cs="宋体"/>
                <w:b w:val="0"/>
                <w:bCs/>
                <w:i w:val="0"/>
                <w:color w:val="000000"/>
                <w:kern w:val="0"/>
                <w:sz w:val="22"/>
                <w:szCs w:val="22"/>
                <w:u w:val="none"/>
                <w:lang w:val="en-US" w:eastAsia="zh-CN" w:bidi="ar"/>
              </w:rPr>
              <w:t>007</w:t>
            </w:r>
            <w:r>
              <w:rPr>
                <w:rFonts w:hint="eastAsia" w:ascii="宋体" w:hAnsi="宋体" w:eastAsia="宋体" w:cs="宋体"/>
                <w:b w:val="0"/>
                <w:bCs/>
                <w:i w:val="0"/>
                <w:color w:val="000000"/>
                <w:kern w:val="0"/>
                <w:sz w:val="22"/>
                <w:szCs w:val="22"/>
                <w:u w:val="none"/>
                <w:lang w:val="en-US" w:eastAsia="zh-CN" w:bidi="ar"/>
              </w:rPr>
              <w:t>-重庆市荣昌区峰高街道</w:t>
            </w:r>
            <w:r>
              <w:rPr>
                <w:rFonts w:hint="eastAsia" w:cs="宋体"/>
                <w:b w:val="0"/>
                <w:bCs/>
                <w:i w:val="0"/>
                <w:color w:val="000000"/>
                <w:kern w:val="0"/>
                <w:sz w:val="22"/>
                <w:szCs w:val="22"/>
                <w:u w:val="none"/>
                <w:lang w:val="en-US" w:eastAsia="zh-CN" w:bidi="ar"/>
              </w:rPr>
              <w:t>农业服务中心</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财政归口处室：</w:t>
            </w:r>
          </w:p>
        </w:tc>
        <w:tc>
          <w:tcPr>
            <w:tcW w:w="110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002-预算科</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部门联系人：</w:t>
            </w:r>
          </w:p>
        </w:tc>
        <w:tc>
          <w:tcPr>
            <w:tcW w:w="79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苟天任</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联系电话：</w:t>
            </w:r>
          </w:p>
        </w:tc>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46212076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微软雅黑" w:hAnsi="微软雅黑" w:eastAsia="微软雅黑" w:cs="微软雅黑"/>
                <w:b w:val="0"/>
                <w:bCs/>
                <w:i w:val="0"/>
                <w:color w:val="808080"/>
                <w:kern w:val="0"/>
                <w:sz w:val="28"/>
                <w:szCs w:val="28"/>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78" w:hRule="atLeast"/>
        </w:trPr>
        <w:tc>
          <w:tcPr>
            <w:tcW w:w="91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p>
        </w:tc>
        <w:tc>
          <w:tcPr>
            <w:tcW w:w="112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年初预算数</w:t>
            </w:r>
          </w:p>
        </w:tc>
        <w:tc>
          <w:tcPr>
            <w:tcW w:w="110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全年（调整）预算数</w:t>
            </w:r>
          </w:p>
        </w:tc>
        <w:tc>
          <w:tcPr>
            <w:tcW w:w="88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全年执行数</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执行率</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执行率权重</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4" w:hRule="atLeast"/>
        </w:trPr>
        <w:tc>
          <w:tcPr>
            <w:tcW w:w="91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年度总金额</w:t>
            </w:r>
          </w:p>
        </w:tc>
        <w:tc>
          <w:tcPr>
            <w:tcW w:w="112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8,093,836.41</w:t>
            </w:r>
          </w:p>
        </w:tc>
        <w:tc>
          <w:tcPr>
            <w:tcW w:w="110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 xml:space="preserve"> </w:t>
            </w:r>
          </w:p>
        </w:tc>
        <w:tc>
          <w:tcPr>
            <w:tcW w:w="88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7,882,081.05</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91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其中：财政拨款</w:t>
            </w:r>
          </w:p>
        </w:tc>
        <w:tc>
          <w:tcPr>
            <w:tcW w:w="112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8,093,836.41</w:t>
            </w:r>
          </w:p>
        </w:tc>
        <w:tc>
          <w:tcPr>
            <w:tcW w:w="110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b w:val="0"/>
                <w:bCs/>
                <w:i w:val="0"/>
                <w:color w:val="000000"/>
                <w:kern w:val="0"/>
                <w:sz w:val="22"/>
                <w:szCs w:val="22"/>
                <w:u w:val="none"/>
                <w:lang w:val="en-US" w:eastAsia="zh-CN" w:bidi="ar"/>
              </w:rPr>
            </w:pPr>
            <w:r>
              <w:rPr>
                <w:rFonts w:hint="default" w:ascii="宋体" w:hAnsi="宋体" w:eastAsia="宋体" w:cs="宋体"/>
                <w:b w:val="0"/>
                <w:bCs/>
                <w:i w:val="0"/>
                <w:color w:val="000000"/>
                <w:kern w:val="0"/>
                <w:sz w:val="22"/>
                <w:szCs w:val="22"/>
                <w:u w:val="none"/>
                <w:lang w:val="en-US" w:eastAsia="zh-CN" w:bidi="ar"/>
              </w:rPr>
              <w:t>7,882,081.05</w:t>
            </w:r>
          </w:p>
        </w:tc>
        <w:tc>
          <w:tcPr>
            <w:tcW w:w="88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7,882,081.05</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100</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10.00</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91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一般公共预算</w:t>
            </w:r>
          </w:p>
        </w:tc>
        <w:tc>
          <w:tcPr>
            <w:tcW w:w="112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p>
        </w:tc>
        <w:tc>
          <w:tcPr>
            <w:tcW w:w="110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p>
        </w:tc>
        <w:tc>
          <w:tcPr>
            <w:tcW w:w="88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100</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微软雅黑" w:hAnsi="微软雅黑" w:eastAsia="微软雅黑" w:cs="微软雅黑"/>
                <w:b w:val="0"/>
                <w:bCs/>
                <w:i w:val="0"/>
                <w:color w:val="808080"/>
                <w:kern w:val="0"/>
                <w:sz w:val="28"/>
                <w:szCs w:val="28"/>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042"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年初绩效目标</w:t>
            </w:r>
          </w:p>
        </w:tc>
        <w:tc>
          <w:tcPr>
            <w:tcW w:w="1995"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全年（调整）绩效目标</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66" w:hRule="atLeast"/>
        </w:trPr>
        <w:tc>
          <w:tcPr>
            <w:tcW w:w="2042"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负责本辖区农业农村工作，向农民推广农业技术为主要职责。组织群众文化活动，繁荣群众文化事业。承担辖区内文化体育阵地建设，组织开展文化体育、文化交流、全民健身活动，组织辖区内文艺培训，负责广播电视、旅游等事务性服务工作。主要办理辖区内的社会劳动保险业务和失业救济登记。</w:t>
            </w:r>
          </w:p>
        </w:tc>
        <w:tc>
          <w:tcPr>
            <w:tcW w:w="1995"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负责本辖区农业农村工作，向农民推广农业技术为主要职责。组织群众文化活动，繁荣群众文化事业。承担辖区内文化体育阵地建设，组织开展文化体育、文化交流、全民健身活动，组织辖区内文艺培训，负责广播电视、旅游等事务性服务工作。主要办理辖区内的社会劳动保险业务和失业救济登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微软雅黑" w:hAnsi="微软雅黑" w:eastAsia="微软雅黑" w:cs="微软雅黑"/>
                <w:b w:val="0"/>
                <w:bCs/>
                <w:i w:val="0"/>
                <w:color w:val="808080"/>
                <w:kern w:val="0"/>
                <w:sz w:val="28"/>
                <w:szCs w:val="28"/>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指标名称</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计量单位</w:t>
            </w:r>
          </w:p>
        </w:tc>
        <w:tc>
          <w:tcPr>
            <w:tcW w:w="7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指标性质</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指标值</w:t>
            </w:r>
          </w:p>
        </w:tc>
        <w:tc>
          <w:tcPr>
            <w:tcW w:w="8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全年完成值</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偏离度（%）</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得分系数（%）</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指标权重</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指标得分</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是否核心指标</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7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GDP完成率</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w:t>
            </w:r>
          </w:p>
        </w:tc>
        <w:tc>
          <w:tcPr>
            <w:tcW w:w="7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90</w:t>
            </w:r>
          </w:p>
        </w:tc>
        <w:tc>
          <w:tcPr>
            <w:tcW w:w="8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90</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0</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15</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15</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是</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7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街道城镇建设质量合格率</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w:t>
            </w:r>
          </w:p>
        </w:tc>
        <w:tc>
          <w:tcPr>
            <w:tcW w:w="7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95</w:t>
            </w:r>
          </w:p>
        </w:tc>
        <w:tc>
          <w:tcPr>
            <w:tcW w:w="8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95</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0</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10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10</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是</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7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空气质量优良率</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w:t>
            </w:r>
          </w:p>
        </w:tc>
        <w:tc>
          <w:tcPr>
            <w:tcW w:w="7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90</w:t>
            </w:r>
          </w:p>
        </w:tc>
        <w:tc>
          <w:tcPr>
            <w:tcW w:w="8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90</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0</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10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10</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是</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7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社会救助政策知晓率</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w:t>
            </w:r>
          </w:p>
        </w:tc>
        <w:tc>
          <w:tcPr>
            <w:tcW w:w="7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90</w:t>
            </w:r>
          </w:p>
        </w:tc>
        <w:tc>
          <w:tcPr>
            <w:tcW w:w="8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90</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0</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5</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5</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否</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7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水环境治理达标率</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w:t>
            </w:r>
          </w:p>
        </w:tc>
        <w:tc>
          <w:tcPr>
            <w:tcW w:w="7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95</w:t>
            </w:r>
          </w:p>
        </w:tc>
        <w:tc>
          <w:tcPr>
            <w:tcW w:w="8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95</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0</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5</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5</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否</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7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创建全国文明城区群众持续参与率</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w:t>
            </w:r>
          </w:p>
        </w:tc>
        <w:tc>
          <w:tcPr>
            <w:tcW w:w="7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98</w:t>
            </w:r>
          </w:p>
        </w:tc>
        <w:tc>
          <w:tcPr>
            <w:tcW w:w="8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98</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0</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10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10</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是</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7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基本公共服务满意度</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w:t>
            </w:r>
          </w:p>
        </w:tc>
        <w:tc>
          <w:tcPr>
            <w:tcW w:w="7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90</w:t>
            </w:r>
          </w:p>
        </w:tc>
        <w:tc>
          <w:tcPr>
            <w:tcW w:w="8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90</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0</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10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10</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否</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7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预算执行率</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w:t>
            </w:r>
          </w:p>
        </w:tc>
        <w:tc>
          <w:tcPr>
            <w:tcW w:w="7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100</w:t>
            </w:r>
          </w:p>
        </w:tc>
        <w:tc>
          <w:tcPr>
            <w:tcW w:w="8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100</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0</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10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10</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否</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p>
        </w:tc>
      </w:tr>
    </w:tbl>
    <w:p>
      <w:pPr>
        <w:rPr>
          <w:rFonts w:hint="default" w:cs="宋体"/>
          <w:sz w:val="18"/>
          <w:szCs w:val="18"/>
        </w:rPr>
      </w:pPr>
    </w:p>
    <w:sectPr>
      <w:pgSz w:w="11850" w:h="16783"/>
      <w:pgMar w:top="454" w:right="567" w:bottom="1037" w:left="56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fldChar w:fldCharType="begin"/>
                          </w:r>
                          <w:r>
                            <w:instrText xml:space="preserve"> PAGE  \* MERGEFORMAT </w:instrText>
                          </w:r>
                          <w:r>
                            <w:fldChar w:fldCharType="separate"/>
                          </w:r>
                          <w:r>
                            <w:rPr>
                              <w:rFonts w:hint="default"/>
                            </w:rPr>
                            <w:t>- 19 -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- 19 -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mc:AlternateContent>
        <mc:Choice Requires="wps">
          <w:drawing>
            <wp:anchor distT="0" distB="0" distL="114300" distR="114300" simplePos="0" relativeHeight="251661312"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50ABE"/>
    <w:rsid w:val="005B1480"/>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373DC3"/>
    <w:rsid w:val="036E2DA9"/>
    <w:rsid w:val="03B87EA0"/>
    <w:rsid w:val="03E3214F"/>
    <w:rsid w:val="044C50BA"/>
    <w:rsid w:val="05BC6D49"/>
    <w:rsid w:val="06194FF1"/>
    <w:rsid w:val="06A2550B"/>
    <w:rsid w:val="06F80EE2"/>
    <w:rsid w:val="07001CCA"/>
    <w:rsid w:val="075678DB"/>
    <w:rsid w:val="079D7CC7"/>
    <w:rsid w:val="08051BCA"/>
    <w:rsid w:val="086C12F4"/>
    <w:rsid w:val="08705944"/>
    <w:rsid w:val="08BA052C"/>
    <w:rsid w:val="08DB07BA"/>
    <w:rsid w:val="0969353F"/>
    <w:rsid w:val="098305D0"/>
    <w:rsid w:val="09B1218B"/>
    <w:rsid w:val="0A3317EA"/>
    <w:rsid w:val="0A5C4B69"/>
    <w:rsid w:val="0A86124A"/>
    <w:rsid w:val="0AB54CC0"/>
    <w:rsid w:val="0B7705EB"/>
    <w:rsid w:val="0B9335CE"/>
    <w:rsid w:val="0BF2311A"/>
    <w:rsid w:val="0C7927C4"/>
    <w:rsid w:val="0C9B098C"/>
    <w:rsid w:val="0D673E11"/>
    <w:rsid w:val="0DDA54E4"/>
    <w:rsid w:val="0E3A5F83"/>
    <w:rsid w:val="0F836721"/>
    <w:rsid w:val="0FA25D96"/>
    <w:rsid w:val="0FBD3C60"/>
    <w:rsid w:val="100111FC"/>
    <w:rsid w:val="107B59E5"/>
    <w:rsid w:val="10EC0126"/>
    <w:rsid w:val="10F70B9A"/>
    <w:rsid w:val="111445C7"/>
    <w:rsid w:val="114278C6"/>
    <w:rsid w:val="1158083A"/>
    <w:rsid w:val="11643A4B"/>
    <w:rsid w:val="11ED0F98"/>
    <w:rsid w:val="11F03528"/>
    <w:rsid w:val="12B52A56"/>
    <w:rsid w:val="12C921C4"/>
    <w:rsid w:val="13871C70"/>
    <w:rsid w:val="13A71CB4"/>
    <w:rsid w:val="13AF1D43"/>
    <w:rsid w:val="13CE1647"/>
    <w:rsid w:val="13FD55AB"/>
    <w:rsid w:val="14200702"/>
    <w:rsid w:val="14370EA1"/>
    <w:rsid w:val="145D6F4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59587D"/>
    <w:rsid w:val="235417B6"/>
    <w:rsid w:val="24B92327"/>
    <w:rsid w:val="24C14514"/>
    <w:rsid w:val="2533755C"/>
    <w:rsid w:val="25791755"/>
    <w:rsid w:val="26396DF4"/>
    <w:rsid w:val="27167136"/>
    <w:rsid w:val="271B442C"/>
    <w:rsid w:val="27B23302"/>
    <w:rsid w:val="29310A5F"/>
    <w:rsid w:val="29C37A35"/>
    <w:rsid w:val="2A076083"/>
    <w:rsid w:val="2A73162E"/>
    <w:rsid w:val="2B167953"/>
    <w:rsid w:val="2B200583"/>
    <w:rsid w:val="2B8209DE"/>
    <w:rsid w:val="2B821C91"/>
    <w:rsid w:val="2BF81A22"/>
    <w:rsid w:val="2C636760"/>
    <w:rsid w:val="2C6762A3"/>
    <w:rsid w:val="2DF41D09"/>
    <w:rsid w:val="2FCA4B37"/>
    <w:rsid w:val="2FE029D7"/>
    <w:rsid w:val="2FF06E00"/>
    <w:rsid w:val="30586FEC"/>
    <w:rsid w:val="315F0B22"/>
    <w:rsid w:val="31D84415"/>
    <w:rsid w:val="32285F6F"/>
    <w:rsid w:val="32770556"/>
    <w:rsid w:val="329C0913"/>
    <w:rsid w:val="32AA0460"/>
    <w:rsid w:val="3337290D"/>
    <w:rsid w:val="3374658F"/>
    <w:rsid w:val="33E31118"/>
    <w:rsid w:val="33EF7674"/>
    <w:rsid w:val="342D7BC6"/>
    <w:rsid w:val="352930DB"/>
    <w:rsid w:val="35573069"/>
    <w:rsid w:val="355F6038"/>
    <w:rsid w:val="358C217E"/>
    <w:rsid w:val="36C9128A"/>
    <w:rsid w:val="37841E99"/>
    <w:rsid w:val="37BF1123"/>
    <w:rsid w:val="383C3F15"/>
    <w:rsid w:val="38BE4696"/>
    <w:rsid w:val="3939115E"/>
    <w:rsid w:val="39AB7AFE"/>
    <w:rsid w:val="39B82A39"/>
    <w:rsid w:val="39C42CA8"/>
    <w:rsid w:val="39DC4FD6"/>
    <w:rsid w:val="39F03D7A"/>
    <w:rsid w:val="39F33306"/>
    <w:rsid w:val="3A1B27E6"/>
    <w:rsid w:val="3A2C1C67"/>
    <w:rsid w:val="3A2C6DA1"/>
    <w:rsid w:val="3A6A77C9"/>
    <w:rsid w:val="3ADD7F09"/>
    <w:rsid w:val="3B1705E5"/>
    <w:rsid w:val="3B18334B"/>
    <w:rsid w:val="3B36794F"/>
    <w:rsid w:val="3B6F6EE0"/>
    <w:rsid w:val="3C566AD6"/>
    <w:rsid w:val="3C594871"/>
    <w:rsid w:val="3C6A5B02"/>
    <w:rsid w:val="3D2757A1"/>
    <w:rsid w:val="3D3D4FC4"/>
    <w:rsid w:val="3DDF3AB1"/>
    <w:rsid w:val="3E1D0952"/>
    <w:rsid w:val="3E42660A"/>
    <w:rsid w:val="3E7555B1"/>
    <w:rsid w:val="3E787ED9"/>
    <w:rsid w:val="3F032E93"/>
    <w:rsid w:val="3F0527E5"/>
    <w:rsid w:val="3F4C52C6"/>
    <w:rsid w:val="3F694D83"/>
    <w:rsid w:val="3F885DCC"/>
    <w:rsid w:val="3FCD675E"/>
    <w:rsid w:val="4004000C"/>
    <w:rsid w:val="40BD5482"/>
    <w:rsid w:val="411B6CE5"/>
    <w:rsid w:val="412070D7"/>
    <w:rsid w:val="41314E40"/>
    <w:rsid w:val="41E0734B"/>
    <w:rsid w:val="426C1EA8"/>
    <w:rsid w:val="42736402"/>
    <w:rsid w:val="42E86A87"/>
    <w:rsid w:val="43307B09"/>
    <w:rsid w:val="436D44AF"/>
    <w:rsid w:val="439A3EB9"/>
    <w:rsid w:val="43A2191B"/>
    <w:rsid w:val="43BB152F"/>
    <w:rsid w:val="44C37687"/>
    <w:rsid w:val="45B56101"/>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C9316A8"/>
    <w:rsid w:val="4D1F53CA"/>
    <w:rsid w:val="4DAC4ACA"/>
    <w:rsid w:val="4DBE01D2"/>
    <w:rsid w:val="4F0C6BA3"/>
    <w:rsid w:val="4F186D58"/>
    <w:rsid w:val="50F06B6E"/>
    <w:rsid w:val="51D21804"/>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829E0"/>
    <w:rsid w:val="555A3CBC"/>
    <w:rsid w:val="5582012B"/>
    <w:rsid w:val="558E4E05"/>
    <w:rsid w:val="55BE2E85"/>
    <w:rsid w:val="56530F5D"/>
    <w:rsid w:val="567700D3"/>
    <w:rsid w:val="569E5A73"/>
    <w:rsid w:val="56FF7E9E"/>
    <w:rsid w:val="570941F4"/>
    <w:rsid w:val="578867FC"/>
    <w:rsid w:val="5842572D"/>
    <w:rsid w:val="5A3B59D6"/>
    <w:rsid w:val="5AD134D8"/>
    <w:rsid w:val="5BF41F67"/>
    <w:rsid w:val="5C263CE4"/>
    <w:rsid w:val="5C5D2777"/>
    <w:rsid w:val="5CF66BF3"/>
    <w:rsid w:val="5D290C69"/>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AF5D7C"/>
    <w:rsid w:val="66EE5541"/>
    <w:rsid w:val="67924660"/>
    <w:rsid w:val="68407834"/>
    <w:rsid w:val="6883293E"/>
    <w:rsid w:val="688412AD"/>
    <w:rsid w:val="68A15F17"/>
    <w:rsid w:val="68EB1B71"/>
    <w:rsid w:val="696C0310"/>
    <w:rsid w:val="6A6C7940"/>
    <w:rsid w:val="6A9F1565"/>
    <w:rsid w:val="6AAD2300"/>
    <w:rsid w:val="6B474EF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72E1EBA"/>
    <w:rsid w:val="781926BC"/>
    <w:rsid w:val="796D60A4"/>
    <w:rsid w:val="797A664A"/>
    <w:rsid w:val="79A031D5"/>
    <w:rsid w:val="79B47FDF"/>
    <w:rsid w:val="79E569A9"/>
    <w:rsid w:val="7A1525F7"/>
    <w:rsid w:val="7B420052"/>
    <w:rsid w:val="7BC5365F"/>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paragraph" w:customStyle="1" w:styleId="16">
    <w:name w:val="List Paragraph"/>
    <w:qFormat/>
    <w:uiPriority w:val="99"/>
    <w:pPr>
      <w:ind w:firstLine="420" w:firstLineChars="200"/>
    </w:pPr>
    <w:rPr>
      <w:rFonts w:hint="default"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4452</Words>
  <Characters>4920</Characters>
  <Lines>186</Lines>
  <Paragraphs>52</Paragraphs>
  <TotalTime>8</TotalTime>
  <ScaleCrop>false</ScaleCrop>
  <LinksUpToDate>false</LinksUpToDate>
  <CharactersWithSpaces>4975</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2025-09-28T01:23:38Z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BB46EABDBB2749749395447164B066B3_12</vt:lpwstr>
  </property>
  <property fmtid="{D5CDD505-2E9C-101B-9397-08002B2CF9AE}" pid="4" name="KSOTemplateDocerSaveRecord">
    <vt:lpwstr>eyJoZGlkIjoiOTRmMTA2MjUwYTg4MWE3MTdkZTE2NjAxYzk4YWViZWUiLCJ1c2VySWQiOiIxMzQ2NjAxMzAwIn0=</vt:lpwstr>
  </property>
</Properties>
</file>