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重庆市荣昌区峰高街道建设环保服务中心</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pPr>
        <w:keepNext w:val="0"/>
        <w:keepLines w:val="0"/>
        <w:pageBreakBefore w:val="0"/>
        <w:widowControl/>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为辖区建设提供服务，改善人居环境。承担规划建设、市政公用事业、房屋管理、市容环境、环境保护等领域的事务性服务工作。</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（二）机构设置</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本单位为重庆市荣昌区人民政府峰高街道办事处下属二级预算单位，无内设机构，2024年末实有在职人员12人。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（一）收入支出决算总体情况说明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2024年度收</w:t>
      </w:r>
      <w:r>
        <w:rPr>
          <w:rFonts w:hint="eastAsia" w:ascii="方正仿宋_GBK" w:hAnsi="方正仿宋_GBK" w:eastAsia="方正仿宋_GBK" w:cs="方正仿宋_GBK"/>
          <w:sz w:val="32"/>
          <w:szCs w:val="32"/>
          <w:lang w:eastAsia="zh-CN"/>
        </w:rPr>
        <w:t>、支</w:t>
      </w:r>
      <w:r>
        <w:rPr>
          <w:rFonts w:hint="eastAsia" w:ascii="方正仿宋_GBK" w:hAnsi="方正仿宋_GBK" w:eastAsia="方正仿宋_GBK" w:cs="方正仿宋_GBK"/>
          <w:sz w:val="32"/>
          <w:szCs w:val="32"/>
        </w:rPr>
        <w:t>总计</w:t>
      </w:r>
      <w:r>
        <w:rPr>
          <w:rFonts w:hint="eastAsia" w:ascii="方正仿宋_GBK" w:hAnsi="方正仿宋_GBK" w:eastAsia="方正仿宋_GBK" w:cs="方正仿宋_GBK"/>
          <w:sz w:val="32"/>
          <w:szCs w:val="32"/>
          <w:lang w:eastAsia="zh-CN"/>
        </w:rPr>
        <w:t>均为</w:t>
      </w:r>
      <w:r>
        <w:rPr>
          <w:rFonts w:hint="eastAsia" w:ascii="方正仿宋_GBK" w:hAnsi="方正仿宋_GBK" w:eastAsia="方正仿宋_GBK" w:cs="方正仿宋_GBK"/>
          <w:sz w:val="32"/>
          <w:szCs w:val="32"/>
        </w:rPr>
        <w:t>267.10万元。收、支与2023年度相比，减少48.35万元，下降15.3%，主要原因是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.收入情况。2024年度收入合计267.10万元，与2023年度相比，减少48.35万元，下降15.3%，主要原因是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其中：财政拨款收入267.10万元，占100.0%；事业收入0.00万元，占0.0%；经营收入0.00万元，占0.0%；其他收入0.00万元，占0.0%。此外，使用非财政拨款结余（含专用结余）0.00万元，年初结转和结余0.00万元。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.支出情况。2024年度支出合计267.10万元，与2023年度相比，减少48.35万元，下降15.3%，主要原因是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其中：基本支出267.10万元，占100.0%；项目支出0.00万元，占0.0%；经营支出0.00万元，占0.0%。此外，结余分配0.00万元。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.结转结余情况。2024年度年末结转和结余0.00万元，与2023年度相比，无增减，较上年决算数无增减，与上年持平。</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（二）财政拨款收入支出决算总体情况说明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2024年度财政拨款收、支总计均为267.10万元。与2023年</w:t>
      </w:r>
      <w:r>
        <w:rPr>
          <w:rFonts w:hint="eastAsia" w:ascii="方正仿宋_GBK" w:hAnsi="方正仿宋_GBK" w:eastAsia="方正仿宋_GBK" w:cs="方正仿宋_GBK"/>
          <w:sz w:val="32"/>
          <w:szCs w:val="32"/>
          <w:lang w:eastAsia="zh-CN"/>
        </w:rPr>
        <w:t>度</w:t>
      </w:r>
      <w:r>
        <w:rPr>
          <w:rFonts w:hint="eastAsia" w:ascii="方正仿宋_GBK" w:hAnsi="方正仿宋_GBK" w:eastAsia="方正仿宋_GBK" w:cs="方正仿宋_GBK"/>
          <w:sz w:val="32"/>
          <w:szCs w:val="32"/>
        </w:rPr>
        <w:t>相比，财政拨款收、支总计各减少48.35万元，下降15.3%。主要原因是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一般公共预算财政拨款收入支出决算情况说明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1.收入情况。2024年度一般公共预算财政拨款收入267.10万元，与2023年度相比，减少48.35万元，下降15.3%。主要原因是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较年初预算数减少54.42万元，下降16.9%。主要原因是</w:t>
      </w:r>
      <w:r>
        <w:rPr>
          <w:rFonts w:hint="eastAsia" w:ascii="方正仿宋_GBK" w:hAnsi="方正仿宋_GBK" w:eastAsia="方正仿宋_GBK" w:cs="方正仿宋_GBK"/>
          <w:sz w:val="32"/>
          <w:szCs w:val="32"/>
          <w:lang w:val="en-US" w:eastAsia="zh-CN"/>
        </w:rPr>
        <w:t>职工工资福利减少。</w:t>
      </w:r>
      <w:r>
        <w:rPr>
          <w:rFonts w:hint="eastAsia" w:ascii="方正仿宋_GBK" w:hAnsi="方正仿宋_GBK" w:eastAsia="方正仿宋_GBK" w:cs="方正仿宋_GBK"/>
          <w:sz w:val="32"/>
          <w:szCs w:val="32"/>
        </w:rPr>
        <w:t>此外，年初财政拨款结转和结余0.00万元</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2.支出情况。2024年度一般公共预算财政拨款支出267.10万元，与2023年度相比，减少48.35万元，下降15.3%。主要原因是主要原因是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较年初预算数减少54.42万元，下降16.9%。主要原因是</w:t>
      </w:r>
      <w:r>
        <w:rPr>
          <w:rFonts w:hint="eastAsia" w:ascii="方正仿宋_GBK" w:hAnsi="方正仿宋_GBK" w:eastAsia="方正仿宋_GBK" w:cs="方正仿宋_GBK"/>
          <w:sz w:val="32"/>
          <w:szCs w:val="32"/>
          <w:lang w:val="en-US" w:eastAsia="zh-CN"/>
        </w:rPr>
        <w:t>职工工资福利减少。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一般公共预算财政拨款支出主要</w:t>
      </w:r>
      <w:r>
        <w:rPr>
          <w:rFonts w:hint="eastAsia" w:ascii="方正仿宋_GBK" w:hAnsi="方正仿宋_GBK" w:eastAsia="方正仿宋_GBK" w:cs="方正仿宋_GBK"/>
          <w:sz w:val="32"/>
          <w:szCs w:val="32"/>
          <w:lang w:eastAsia="zh-CN"/>
        </w:rPr>
        <w:t>用途如下</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）教育支出1.63万元，占0.6%，较年初预算数无增减，主要原因是</w:t>
      </w:r>
      <w:r>
        <w:rPr>
          <w:rFonts w:hint="eastAsia" w:ascii="方正仿宋_GBK" w:hAnsi="方正仿宋_GBK" w:eastAsia="方正仿宋_GBK" w:cs="方正仿宋_GBK"/>
          <w:sz w:val="32"/>
          <w:szCs w:val="32"/>
          <w:lang w:val="en-US" w:eastAsia="zh-CN"/>
        </w:rPr>
        <w:t>准确预算经费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）社会保障</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就业支出44.57万元，占16.7%，较年初预算数增加15.33万元，增长52.4%，主要原因是</w:t>
      </w:r>
      <w:r>
        <w:rPr>
          <w:rFonts w:hint="eastAsia" w:ascii="方正仿宋_GBK" w:hAnsi="方正仿宋_GBK" w:eastAsia="方正仿宋_GBK" w:cs="方正仿宋_GBK"/>
          <w:sz w:val="32"/>
          <w:szCs w:val="32"/>
          <w:lang w:val="en-US" w:eastAsia="zh-CN"/>
        </w:rPr>
        <w:t>职业年金和退休公用经费支出增加</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）卫生健康支出11.44万元，占4.3%，较年初预算数减少1.86万元，下降14.0%，主要原因是</w:t>
      </w:r>
      <w:r>
        <w:rPr>
          <w:rFonts w:hint="eastAsia" w:ascii="方正仿宋_GBK" w:hAnsi="方正仿宋_GBK" w:eastAsia="方正仿宋_GBK" w:cs="方正仿宋_GBK"/>
          <w:sz w:val="32"/>
          <w:szCs w:val="32"/>
          <w:lang w:val="en-US" w:eastAsia="zh-CN"/>
        </w:rPr>
        <w:t>医疗保险支出减少</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）城乡社区支出198.54万元，占74.3%，较年初预算数减少65.74万元，下降24.9%，主要原因是</w:t>
      </w:r>
      <w:r>
        <w:rPr>
          <w:rFonts w:hint="eastAsia" w:ascii="方正仿宋_GBK" w:hAnsi="方正仿宋_GBK" w:eastAsia="方正仿宋_GBK" w:cs="方正仿宋_GBK"/>
          <w:sz w:val="32"/>
          <w:szCs w:val="32"/>
          <w:lang w:val="en-US" w:eastAsia="zh-CN"/>
        </w:rPr>
        <w:t>职工工资福利减少。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）住房保障支出10.93万元，占4.1%，较年初预算数减少2.15万元，下降16.4%，主要原因是</w:t>
      </w:r>
      <w:r>
        <w:rPr>
          <w:rFonts w:hint="eastAsia" w:ascii="方正仿宋_GBK" w:hAnsi="方正仿宋_GBK" w:eastAsia="方正仿宋_GBK" w:cs="方正仿宋_GBK"/>
          <w:sz w:val="32"/>
          <w:szCs w:val="32"/>
          <w:lang w:val="en-US" w:eastAsia="zh-CN"/>
        </w:rPr>
        <w:t>职工工资福利减少，住房公积金减少。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3.结转结余情况。2024年度年末一般公共预算财政拨款结转和结余0.00万元，与2023年度相比，无增减，与上年持平。</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（四）一般公共预算财政拨款基本支出决算情况说明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2024年度一般公共财政拨款基本支出267.10万元。其中：</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人员经费236.19万元，与2023年度相比，减少26.66万元，下降10.1%，主要原因是主要原因是</w:t>
      </w:r>
      <w:r>
        <w:rPr>
          <w:rFonts w:hint="eastAsia" w:ascii="方正仿宋_GBK" w:hAnsi="方正仿宋_GBK" w:eastAsia="方正仿宋_GBK" w:cs="方正仿宋_GBK"/>
          <w:sz w:val="32"/>
          <w:szCs w:val="32"/>
          <w:lang w:val="en-US" w:eastAsia="zh-CN"/>
        </w:rPr>
        <w:t>职工工资福利减少。</w:t>
      </w:r>
      <w:r>
        <w:rPr>
          <w:rFonts w:hint="eastAsia" w:ascii="方正仿宋_GBK" w:hAnsi="方正仿宋_GBK" w:eastAsia="方正仿宋_GBK" w:cs="方正仿宋_GBK"/>
          <w:sz w:val="32"/>
          <w:szCs w:val="32"/>
        </w:rPr>
        <w:t>人员经费用途主要包括基本工资、津贴补贴、绩效工资、社会保障缴费、住房公积金、</w:t>
      </w:r>
      <w:r>
        <w:rPr>
          <w:rFonts w:hint="eastAsia" w:ascii="方正仿宋_GBK" w:hAnsi="方正仿宋_GBK" w:eastAsia="方正仿宋_GBK" w:cs="方正仿宋_GBK"/>
          <w:sz w:val="32"/>
          <w:szCs w:val="32"/>
          <w:lang w:val="en-US" w:eastAsia="zh-CN"/>
        </w:rPr>
        <w:t>对个人和家庭的</w:t>
      </w:r>
      <w:r>
        <w:rPr>
          <w:rFonts w:hint="eastAsia" w:ascii="方正仿宋_GBK" w:hAnsi="方正仿宋_GBK" w:eastAsia="方正仿宋_GBK" w:cs="方正仿宋_GBK"/>
          <w:sz w:val="32"/>
          <w:szCs w:val="32"/>
        </w:rPr>
        <w:t>补助。</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公用经费30.92万元，与2023年度相比，减少21.68万元，下降41.2%，主要原因是</w:t>
      </w:r>
      <w:r>
        <w:rPr>
          <w:rFonts w:hint="eastAsia" w:ascii="方正仿宋_GBK" w:hAnsi="方正仿宋_GBK" w:eastAsia="方正仿宋_GBK" w:cs="方正仿宋_GBK"/>
          <w:sz w:val="32"/>
          <w:szCs w:val="32"/>
          <w:lang w:eastAsia="zh-CN"/>
        </w:rPr>
        <w:t>公务车运行维护费减少。</w:t>
      </w:r>
      <w:r>
        <w:rPr>
          <w:rFonts w:hint="eastAsia" w:ascii="方正仿宋_GBK" w:hAnsi="方正仿宋_GBK" w:eastAsia="方正仿宋_GBK" w:cs="方正仿宋_GBK"/>
          <w:sz w:val="32"/>
          <w:szCs w:val="32"/>
        </w:rPr>
        <w:t>公用经费用途主要包括公用经费用途主要包括办公费、水电费、培训费、福利费、工会经费、公务车运行维护费、其他商品和服务支出。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（五）政府性基金预算收支决算情况说明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本单位2024年度无政府性基金预算财政拨款收支。</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（六）国有资本经营预算财政拨款支出决算情况说明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（一）“三公”经费支出总体情况说明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2024年度“三公”经费支出共计0.00万元，较年初预算数减少20.00万元，下降100.0%，主要原因是</w:t>
      </w:r>
      <w:r>
        <w:rPr>
          <w:rFonts w:hint="eastAsia" w:ascii="方正仿宋_GBK" w:hAnsi="方正仿宋_GBK" w:eastAsia="方正仿宋_GBK" w:cs="方正仿宋_GBK"/>
          <w:sz w:val="32"/>
          <w:szCs w:val="32"/>
          <w:lang w:eastAsia="zh-CN"/>
        </w:rPr>
        <w:t>未发生公务车运行维护支出。</w:t>
      </w:r>
      <w:r>
        <w:rPr>
          <w:rFonts w:hint="eastAsia" w:ascii="方正仿宋_GBK" w:hAnsi="方正仿宋_GBK" w:eastAsia="方正仿宋_GBK" w:cs="方正仿宋_GBK"/>
          <w:sz w:val="32"/>
          <w:szCs w:val="32"/>
        </w:rPr>
        <w:t>较上年支出数减少7.21万元，下降100.0%，主要原因是</w:t>
      </w:r>
      <w:r>
        <w:rPr>
          <w:rFonts w:hint="eastAsia" w:ascii="方正仿宋_GBK" w:hAnsi="方正仿宋_GBK" w:eastAsia="方正仿宋_GBK" w:cs="方正仿宋_GBK"/>
          <w:sz w:val="32"/>
          <w:szCs w:val="32"/>
          <w:lang w:eastAsia="zh-CN"/>
        </w:rPr>
        <w:t>未发生公务车运行维护支出。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（二）“三公”经费分项支出情况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2024年度本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因公出国（境）费用0.00万元，</w:t>
      </w:r>
      <w:r>
        <w:rPr>
          <w:rFonts w:hint="eastAsia" w:ascii="方正仿宋_GBK" w:hAnsi="方正仿宋_GBK" w:eastAsia="方正仿宋_GBK" w:cs="方正仿宋_GBK"/>
          <w:sz w:val="32"/>
          <w:szCs w:val="32"/>
          <w:lang w:eastAsia="zh-CN"/>
        </w:rPr>
        <w:t>未</w:t>
      </w:r>
      <w:r>
        <w:rPr>
          <w:rFonts w:hint="eastAsia" w:ascii="方正仿宋_GBK" w:hAnsi="方正仿宋_GBK" w:eastAsia="方正仿宋_GBK" w:cs="方正仿宋_GBK"/>
          <w:sz w:val="32"/>
          <w:szCs w:val="32"/>
          <w:lang w:val="en-US" w:eastAsia="zh-CN"/>
        </w:rPr>
        <w:t>发生</w:t>
      </w:r>
      <w:r>
        <w:rPr>
          <w:rFonts w:hint="eastAsia" w:ascii="方正仿宋_GBK" w:hAnsi="方正仿宋_GBK" w:eastAsia="方正仿宋_GBK" w:cs="方正仿宋_GBK"/>
          <w:sz w:val="32"/>
          <w:szCs w:val="32"/>
        </w:rPr>
        <w:t>因公出国（境）</w:t>
      </w:r>
      <w:r>
        <w:rPr>
          <w:rFonts w:hint="eastAsia" w:ascii="方正仿宋_GBK" w:hAnsi="方正仿宋_GBK" w:eastAsia="方正仿宋_GBK" w:cs="方正仿宋_GBK"/>
          <w:sz w:val="32"/>
          <w:szCs w:val="32"/>
          <w:lang w:val="en-US" w:eastAsia="zh-CN"/>
        </w:rPr>
        <w:t>支出</w:t>
      </w:r>
      <w:r>
        <w:rPr>
          <w:rFonts w:hint="eastAsia" w:ascii="方正仿宋_GBK" w:hAnsi="方正仿宋_GBK" w:eastAsia="方正仿宋_GBK" w:cs="方正仿宋_GBK"/>
          <w:sz w:val="32"/>
          <w:szCs w:val="32"/>
        </w:rPr>
        <w:t>。费用支出较年初预算数无增减，较上年支出数无增减，</w:t>
      </w:r>
      <w:r>
        <w:rPr>
          <w:rFonts w:hint="eastAsia" w:ascii="方正仿宋_GBK" w:hAnsi="方正仿宋_GBK" w:eastAsia="方正仿宋_GBK" w:cs="方正仿宋_GBK"/>
          <w:sz w:val="32"/>
          <w:szCs w:val="32"/>
          <w:lang w:eastAsia="zh-CN"/>
        </w:rPr>
        <w:t>与上年持平。</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车购置费0.00万元，</w:t>
      </w:r>
      <w:r>
        <w:rPr>
          <w:rFonts w:hint="eastAsia" w:ascii="方正仿宋_GBK" w:hAnsi="方正仿宋_GBK" w:eastAsia="方正仿宋_GBK" w:cs="方正仿宋_GBK"/>
          <w:sz w:val="32"/>
          <w:szCs w:val="32"/>
          <w:lang w:val="en-US" w:eastAsia="zh-CN"/>
        </w:rPr>
        <w:t>未发生公务车购置支出</w:t>
      </w:r>
      <w:r>
        <w:rPr>
          <w:rFonts w:hint="eastAsia" w:ascii="方正仿宋_GBK" w:hAnsi="方正仿宋_GBK" w:eastAsia="方正仿宋_GBK" w:cs="方正仿宋_GBK"/>
          <w:sz w:val="32"/>
          <w:szCs w:val="32"/>
        </w:rPr>
        <w:t>。费用支出较年初预算数无增减，较上年支出数无增减，</w:t>
      </w:r>
      <w:r>
        <w:rPr>
          <w:rFonts w:hint="eastAsia" w:ascii="方正仿宋_GBK" w:hAnsi="方正仿宋_GBK" w:eastAsia="方正仿宋_GBK" w:cs="方正仿宋_GBK"/>
          <w:sz w:val="32"/>
          <w:szCs w:val="32"/>
          <w:lang w:eastAsia="zh-CN"/>
        </w:rPr>
        <w:t>未新购置公务车。</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车运行维护费0.00万元，</w:t>
      </w:r>
      <w:r>
        <w:rPr>
          <w:rFonts w:hint="eastAsia" w:ascii="方正仿宋_GBK" w:hAnsi="方正仿宋_GBK" w:eastAsia="方正仿宋_GBK" w:cs="方正仿宋_GBK"/>
          <w:sz w:val="32"/>
          <w:szCs w:val="32"/>
          <w:lang w:eastAsia="zh-CN"/>
        </w:rPr>
        <w:t>未发生公务车运行维护支出。</w:t>
      </w:r>
      <w:r>
        <w:rPr>
          <w:rFonts w:hint="eastAsia" w:ascii="方正仿宋_GBK" w:hAnsi="方正仿宋_GBK" w:eastAsia="方正仿宋_GBK" w:cs="方正仿宋_GBK"/>
          <w:sz w:val="32"/>
          <w:szCs w:val="32"/>
        </w:rPr>
        <w:t>费用支出较年初预算数减少20.00万元，下降100.0%，主要原因是</w:t>
      </w:r>
      <w:r>
        <w:rPr>
          <w:rFonts w:hint="eastAsia" w:ascii="方正仿宋_GBK" w:hAnsi="方正仿宋_GBK" w:eastAsia="方正仿宋_GBK" w:cs="方正仿宋_GBK"/>
          <w:sz w:val="32"/>
          <w:szCs w:val="32"/>
          <w:lang w:eastAsia="zh-CN"/>
        </w:rPr>
        <w:t>该车辆外包给其他公司，相关支出由该公司承担。</w:t>
      </w:r>
      <w:r>
        <w:rPr>
          <w:rFonts w:hint="eastAsia" w:ascii="方正仿宋_GBK" w:hAnsi="方正仿宋_GBK" w:eastAsia="方正仿宋_GBK" w:cs="方正仿宋_GBK"/>
          <w:sz w:val="32"/>
          <w:szCs w:val="32"/>
        </w:rPr>
        <w:t>较上年支出数减少7.21万元，下降100.0%，主要原因是</w:t>
      </w:r>
      <w:r>
        <w:rPr>
          <w:rFonts w:hint="eastAsia" w:ascii="方正仿宋_GBK" w:hAnsi="方正仿宋_GBK" w:eastAsia="方正仿宋_GBK" w:cs="方正仿宋_GBK"/>
          <w:sz w:val="32"/>
          <w:szCs w:val="32"/>
          <w:lang w:eastAsia="zh-CN"/>
        </w:rPr>
        <w:t>该车辆外包给其他公司，相关支出由该公司承担。</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公务接待费0.00万元，</w:t>
      </w:r>
      <w:r>
        <w:rPr>
          <w:rFonts w:hint="eastAsia" w:ascii="方正仿宋_GBK" w:hAnsi="方正仿宋_GBK" w:eastAsia="方正仿宋_GBK" w:cs="方正仿宋_GBK"/>
          <w:sz w:val="32"/>
          <w:szCs w:val="32"/>
          <w:lang w:val="en-US" w:eastAsia="zh-CN"/>
        </w:rPr>
        <w:t>未发生公务接待费支出</w:t>
      </w:r>
      <w:r>
        <w:rPr>
          <w:rFonts w:hint="eastAsia" w:ascii="方正仿宋_GBK" w:hAnsi="方正仿宋_GBK" w:eastAsia="方正仿宋_GBK" w:cs="方正仿宋_GBK"/>
          <w:sz w:val="32"/>
          <w:szCs w:val="32"/>
        </w:rPr>
        <w:t>。费用支出较年初预算数无增减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较上年支出数无增减，与上年持平。</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（三）“三公”经费实物量情况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因公出国（境）共计0个团组，0人；公务用车购置0辆，公务车保有量为0辆；国内公务接待0批次0人，其中：国内外事接待0批次，0人；国（境）外公务接待0批次，0人。2024年本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人均接待费0元，车均购置费0万元，车均维护费0万元。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（一）财政拨款会议费、培训费和差旅费情况说明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本年度会议费支出0.00万元，与2023年度相比，无增减，与上年持平。本年度培训费支出1.63万元，与2023年度相比，增加0.11万元，增长7.2%，主要原因是</w:t>
      </w:r>
      <w:r>
        <w:rPr>
          <w:rFonts w:hint="eastAsia" w:ascii="方正仿宋_GBK" w:hAnsi="方正仿宋_GBK" w:eastAsia="方正仿宋_GBK" w:cs="方正仿宋_GBK"/>
          <w:sz w:val="32"/>
          <w:szCs w:val="32"/>
          <w:lang w:eastAsia="zh-CN"/>
        </w:rPr>
        <w:t>新增预算。</w:t>
      </w:r>
      <w:r>
        <w:rPr>
          <w:rFonts w:hint="eastAsia" w:ascii="方正仿宋_GBK" w:hAnsi="方正仿宋_GBK" w:eastAsia="方正仿宋_GBK" w:cs="方正仿宋_GBK"/>
          <w:sz w:val="32"/>
          <w:szCs w:val="32"/>
        </w:rPr>
        <w:t>本年度差旅费支出0.00万元，与2023年度相比，无变化，</w:t>
      </w:r>
      <w:r>
        <w:rPr>
          <w:rFonts w:hint="eastAsia" w:ascii="方正仿宋_GBK" w:hAnsi="方正仿宋_GBK" w:eastAsia="方正仿宋_GBK" w:cs="方正仿宋_GBK"/>
          <w:sz w:val="32"/>
          <w:szCs w:val="32"/>
          <w:lang w:eastAsia="zh-CN"/>
        </w:rPr>
        <w:t>与上年持平。</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（二）机关运行经费情况说明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（三）国有资产占用情况说明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截至2024年12月31日，本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共有车辆1辆，其中，副部（省）级及以上领导用车0辆、主要负责人用车0辆、机要通信用车0辆、应急保障用车0辆、执法执勤用车0辆，特种专业技术用车1辆，离退休干部用车0辆。单价100万元（含）以上专用设备0台（套）。</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（四）政府采购支出情况说明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年度我单位未发生政府采购事项，无相关经费支出。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五、</w:t>
      </w:r>
      <w:r>
        <w:rPr>
          <w:rFonts w:hint="eastAsia" w:ascii="方正黑体_GBK" w:hAnsi="方正黑体_GBK" w:eastAsia="方正黑体_GBK" w:cs="方正黑体_GBK"/>
          <w:sz w:val="32"/>
          <w:szCs w:val="32"/>
          <w:lang w:eastAsia="zh-CN"/>
        </w:rPr>
        <w:t>预算</w:t>
      </w:r>
      <w:r>
        <w:rPr>
          <w:rFonts w:hint="eastAsia" w:ascii="方正黑体_GBK" w:hAnsi="方正黑体_GBK" w:eastAsia="方正黑体_GBK" w:cs="方正黑体_GBK"/>
          <w:sz w:val="32"/>
          <w:szCs w:val="32"/>
          <w:lang w:val="en-US" w:eastAsia="zh-CN"/>
        </w:rPr>
        <w:t>绩效管理情况说明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val="en-US" w:eastAsia="zh-CN"/>
        </w:rPr>
        <w:t>单位绩效</w:t>
      </w:r>
      <w:r>
        <w:rPr>
          <w:rFonts w:hint="eastAsia" w:ascii="方正楷体_GBK" w:hAnsi="方正楷体_GBK" w:eastAsia="方正楷体_GBK" w:cs="方正楷体_GBK"/>
          <w:sz w:val="32"/>
          <w:szCs w:val="32"/>
        </w:rPr>
        <w:t>自评情况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根据预算绩效管理要求，我单位对整体绩效开展了绩效自评，涉及财政拨款资金267.10万元，评价得分100分，评价等次为优。</w:t>
      </w:r>
      <w:r>
        <w:rPr>
          <w:rFonts w:hint="eastAsia" w:ascii="方正仿宋_GBK" w:hAnsi="方正仿宋_GBK" w:eastAsia="方正仿宋_GBK" w:cs="方正仿宋_GBK"/>
          <w:sz w:val="32"/>
          <w:szCs w:val="32"/>
          <w:lang w:eastAsia="zh-CN"/>
        </w:rPr>
        <w:t>单位整体绩效自评表详见附表。</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val="en-US" w:eastAsia="zh-CN"/>
        </w:rPr>
        <w:t>单位</w:t>
      </w:r>
      <w:r>
        <w:rPr>
          <w:rFonts w:hint="eastAsia" w:ascii="方正楷体_GBK" w:hAnsi="方正楷体_GBK" w:eastAsia="方正楷体_GBK" w:cs="方正楷体_GBK"/>
          <w:sz w:val="32"/>
          <w:szCs w:val="32"/>
        </w:rPr>
        <w:t>绩效评价情况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我单位未组织开展绩效评价。</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财政绩效评价情况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lang w:eastAsia="zh-CN"/>
        </w:rPr>
        <w:t>财政局未委托第三方对我单位开展绩效评价。</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、专业名词解释</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（二）事业收入：</w:t>
      </w:r>
      <w:r>
        <w:rPr>
          <w:rFonts w:hint="eastAsia" w:ascii="方正仿宋_GBK" w:hAnsi="方正仿宋_GBK" w:eastAsia="方正仿宋_GBK" w:cs="方正仿宋_GBK"/>
          <w:sz w:val="32"/>
          <w:szCs w:val="32"/>
        </w:rPr>
        <w:t>指事业单位开展专业业务活动及其辅助活动取得的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（五）使用非财政拨款结余</w:t>
      </w:r>
      <w:r>
        <w:rPr>
          <w:rFonts w:hint="eastAsia" w:ascii="方正楷体_GBK" w:hAnsi="方正楷体_GBK" w:eastAsia="方正楷体_GBK" w:cs="方正楷体_GBK"/>
          <w:sz w:val="32"/>
          <w:szCs w:val="32"/>
          <w:lang w:eastAsia="zh-CN"/>
        </w:rPr>
        <w:t>（含专用结余）</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指</w:t>
      </w:r>
      <w:r>
        <w:rPr>
          <w:rFonts w:hint="eastAsia" w:ascii="方正仿宋_GBK" w:hAnsi="方正仿宋_GBK" w:eastAsia="方正仿宋_GBK" w:cs="方正仿宋_GBK"/>
          <w:sz w:val="32"/>
          <w:szCs w:val="32"/>
          <w:lang w:eastAsia="zh-CN"/>
        </w:rPr>
        <w:t>事业单位按照预算管理要求使用非财政拨款结余弥补收支差额的金额，以及使用专用结余安排支出的金额。</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（十二）“三公”经费：</w:t>
      </w:r>
      <w:r>
        <w:rPr>
          <w:rFonts w:hint="eastAsia" w:ascii="方正仿宋_GBK" w:hAnsi="方正仿宋_GBK" w:eastAsia="方正仿宋_GBK" w:cs="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、决算公开联系方式及信息反馈渠道</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本部门决算公开信息反馈和联系方式：郎成，023-46212076</w:t>
      </w:r>
    </w:p>
    <w:p>
      <w:pPr>
        <w:keepNext w:val="0"/>
        <w:keepLines w:val="0"/>
        <w:pageBreakBefore w:val="0"/>
        <w:widowControl/>
        <w:kinsoku/>
        <w:wordWrap/>
        <w:overflowPunct/>
        <w:topLinePunct w:val="0"/>
        <w:autoSpaceDE/>
        <w:autoSpaceDN/>
        <w:bidi w:val="0"/>
        <w:adjustRightInd/>
        <w:snapToGrid w:val="0"/>
        <w:ind w:left="0" w:leftChars="0" w:firstLine="640" w:firstLineChars="200"/>
        <w:jc w:val="both"/>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val="0"/>
        <w:ind w:left="1598" w:leftChars="266" w:hanging="960" w:hangingChars="3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附件：重庆市荣昌区峰高街道建设环保服务中心2024年度单位决算公开报表</w:t>
      </w:r>
    </w:p>
    <w:p>
      <w:pPr>
        <w:keepNext w:val="0"/>
        <w:keepLines w:val="0"/>
        <w:pageBreakBefore w:val="0"/>
        <w:widowControl/>
        <w:kinsoku/>
        <w:wordWrap/>
        <w:overflowPunct/>
        <w:topLinePunct w:val="0"/>
        <w:autoSpaceDE/>
        <w:autoSpaceDN/>
        <w:bidi w:val="0"/>
        <w:adjustRightInd/>
        <w:snapToGrid w:val="0"/>
        <w:ind w:left="1598" w:leftChars="266" w:hanging="960" w:hangingChars="300"/>
        <w:jc w:val="both"/>
        <w:textAlignment w:val="auto"/>
        <w:rPr>
          <w:rFonts w:hint="eastAsia" w:ascii="方正仿宋_GBK" w:hAnsi="方正仿宋_GBK" w:eastAsia="方正仿宋_GBK" w:cs="方正仿宋_GBK"/>
          <w:color w:val="auto"/>
          <w:sz w:val="32"/>
          <w:szCs w:val="32"/>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重庆市荣昌区峰高街道建设环保服务中心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重庆市荣昌区峰高街道建设环保服务中心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267.10</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267.10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198.54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198.54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重庆市荣昌区峰高街道建设环保服务中心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267.10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267.10</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198.54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198.54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重庆市荣昌区峰高街道建设环保服务中心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重庆市荣昌区峰高街道建设环保服务中心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267.10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267.10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198.54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198.54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198.54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198.54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198.54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198.54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重庆市荣昌区峰高街道建设环保服务中心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229.57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117.11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236.19</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30.92</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重庆市荣昌区峰高街道建设环保服务中心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重庆市荣昌区峰高街道建设环保服务中心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重庆市荣昌区峰高街道建设环保服务中心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70"/>
        <w:gridCol w:w="406"/>
        <w:gridCol w:w="1603"/>
        <w:gridCol w:w="811"/>
        <w:gridCol w:w="1794"/>
        <w:gridCol w:w="582"/>
        <w:gridCol w:w="927"/>
        <w:gridCol w:w="985"/>
        <w:gridCol w:w="734"/>
        <w:gridCol w:w="753"/>
        <w:gridCol w:w="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32"/>
                <w:szCs w:val="32"/>
                <w:u w:val="none"/>
                <w:lang w:val="en-US" w:eastAsia="zh-CN" w:bidi="ar"/>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项目名称：</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重庆市荣昌区峰高街道</w:t>
            </w:r>
            <w:r>
              <w:rPr>
                <w:rFonts w:hint="eastAsia" w:cs="宋体"/>
                <w:b w:val="0"/>
                <w:bCs/>
                <w:i w:val="0"/>
                <w:color w:val="000000"/>
                <w:kern w:val="0"/>
                <w:sz w:val="22"/>
                <w:szCs w:val="22"/>
                <w:u w:val="none"/>
                <w:lang w:val="en-US" w:eastAsia="zh-CN" w:bidi="ar"/>
              </w:rPr>
              <w:t>建设环保服务中心</w:t>
            </w:r>
            <w:r>
              <w:rPr>
                <w:rFonts w:hint="eastAsia" w:ascii="宋体" w:hAnsi="宋体" w:eastAsia="宋体" w:cs="宋体"/>
                <w:b w:val="0"/>
                <w:bCs/>
                <w:i w:val="0"/>
                <w:color w:val="000000"/>
                <w:kern w:val="0"/>
                <w:sz w:val="22"/>
                <w:szCs w:val="22"/>
                <w:u w:val="none"/>
                <w:lang w:val="en-US" w:eastAsia="zh-CN" w:bidi="ar"/>
              </w:rPr>
              <w:t>自评</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项目编码：</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自评总分：</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项目主管</w:t>
            </w:r>
            <w:r>
              <w:rPr>
                <w:rFonts w:hint="eastAsia" w:cs="宋体"/>
                <w:b w:val="0"/>
                <w:bCs/>
                <w:i w:val="0"/>
                <w:color w:val="000000"/>
                <w:kern w:val="0"/>
                <w:sz w:val="22"/>
                <w:szCs w:val="22"/>
                <w:u w:val="none"/>
                <w:lang w:val="en-US" w:eastAsia="zh-CN" w:bidi="ar"/>
              </w:rPr>
              <w:t>单位</w:t>
            </w:r>
            <w:r>
              <w:rPr>
                <w:rFonts w:hint="eastAsia" w:ascii="宋体" w:hAnsi="宋体" w:eastAsia="宋体" w:cs="宋体"/>
                <w:b w:val="0"/>
                <w:bCs/>
                <w:i w:val="0"/>
                <w:color w:val="000000"/>
                <w:kern w:val="0"/>
                <w:sz w:val="22"/>
                <w:szCs w:val="22"/>
                <w:u w:val="none"/>
                <w:lang w:val="en-US" w:eastAsia="zh-CN" w:bidi="ar"/>
              </w:rPr>
              <w:t>：</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906</w:t>
            </w:r>
            <w:r>
              <w:rPr>
                <w:rFonts w:hint="eastAsia" w:cs="宋体"/>
                <w:b w:val="0"/>
                <w:bCs/>
                <w:i w:val="0"/>
                <w:color w:val="000000"/>
                <w:kern w:val="0"/>
                <w:sz w:val="22"/>
                <w:szCs w:val="22"/>
                <w:u w:val="none"/>
                <w:lang w:val="en-US" w:eastAsia="zh-CN" w:bidi="ar"/>
              </w:rPr>
              <w:t>008</w:t>
            </w:r>
            <w:r>
              <w:rPr>
                <w:rFonts w:hint="eastAsia" w:ascii="宋体" w:hAnsi="宋体" w:eastAsia="宋体" w:cs="宋体"/>
                <w:b w:val="0"/>
                <w:bCs/>
                <w:i w:val="0"/>
                <w:color w:val="000000"/>
                <w:kern w:val="0"/>
                <w:sz w:val="22"/>
                <w:szCs w:val="22"/>
                <w:u w:val="none"/>
                <w:lang w:val="en-US" w:eastAsia="zh-CN" w:bidi="ar"/>
              </w:rPr>
              <w:t>-重庆市荣昌区峰高街道</w:t>
            </w:r>
            <w:r>
              <w:rPr>
                <w:rFonts w:hint="eastAsia" w:cs="宋体"/>
                <w:b w:val="0"/>
                <w:bCs/>
                <w:i w:val="0"/>
                <w:color w:val="000000"/>
                <w:kern w:val="0"/>
                <w:sz w:val="22"/>
                <w:szCs w:val="22"/>
                <w:u w:val="none"/>
                <w:lang w:val="en-US" w:eastAsia="zh-CN" w:bidi="ar"/>
              </w:rPr>
              <w:t>建设环保服务中心</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财政归口处室：</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002-预算科</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部门联系人：</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苟天任</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联系电话：</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46212076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8"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年初预算数</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全年（调整）预算数</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全年执行数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执行率权重</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年度总金额</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3,126,496.08</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 </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2,671,031.94 </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其中：财政拨款</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3,126,496.08</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val="0"/>
                <w:bCs/>
                <w:i w:val="0"/>
                <w:color w:val="000000"/>
                <w:kern w:val="0"/>
                <w:sz w:val="22"/>
                <w:szCs w:val="22"/>
                <w:u w:val="none"/>
                <w:lang w:val="en-US" w:eastAsia="zh-CN" w:bidi="ar"/>
              </w:rPr>
            </w:pPr>
            <w:r>
              <w:rPr>
                <w:rFonts w:hint="default" w:ascii="宋体" w:hAnsi="宋体" w:eastAsia="宋体" w:cs="宋体"/>
                <w:b w:val="0"/>
                <w:bCs/>
                <w:i w:val="0"/>
                <w:color w:val="000000"/>
                <w:kern w:val="0"/>
                <w:sz w:val="22"/>
                <w:szCs w:val="22"/>
                <w:u w:val="none"/>
                <w:lang w:val="en-US" w:eastAsia="zh-CN" w:bidi="ar"/>
              </w:rPr>
              <w:t>2,671,031.94</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2,671,031.94</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一般公共预算</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年初绩效目标</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全年（调整）绩效目标</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6" w:hRule="atLeast"/>
        </w:trPr>
        <w:tc>
          <w:tcPr>
            <w:tcW w:w="204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为辖区建设提供服务，改善人居环境。承担规划建设、市政公用事业、房屋管理、市容环境、环境保护等领域的事务性服务工作</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为辖区建设提供服务，改善人居环境。承担规划建设、市政公用事业、房屋管理、市容环境、环境保护等领域的事务性服务工作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指标名称</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计量单位</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指标性质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指标值</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全年完成值</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偏离度（%）</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得分系数（%）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指标权重</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指标得分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是否核心指标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GDP完成率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农村公路建成规模</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街道城镇建设质量合格率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安全隐患处置及时率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空气质量优良率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水环境治理达标率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创建全国文明城区群众持续参与率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基本公共服务满意度</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bl>
    <w:p>
      <w:pPr>
        <w:rPr>
          <w:rFonts w:hint="default" w:cs="宋体"/>
          <w:sz w:val="18"/>
          <w:szCs w:val="18"/>
        </w:rPr>
      </w:pPr>
    </w:p>
    <w:sectPr>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63EAD"/>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203665"/>
    <w:rsid w:val="0B9335CE"/>
    <w:rsid w:val="0BF2311A"/>
    <w:rsid w:val="0C0A02E2"/>
    <w:rsid w:val="0C7927C4"/>
    <w:rsid w:val="0C9B098C"/>
    <w:rsid w:val="0D673E11"/>
    <w:rsid w:val="0DC01987"/>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867C3D"/>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877306"/>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82774A"/>
    <w:rsid w:val="45CB699A"/>
    <w:rsid w:val="46423C66"/>
    <w:rsid w:val="465B470D"/>
    <w:rsid w:val="469D6AD4"/>
    <w:rsid w:val="471E6C84"/>
    <w:rsid w:val="4748792B"/>
    <w:rsid w:val="475D719D"/>
    <w:rsid w:val="47674801"/>
    <w:rsid w:val="48225EF7"/>
    <w:rsid w:val="487A3238"/>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6176F3"/>
    <w:rsid w:val="5CF66BF3"/>
    <w:rsid w:val="5D290C69"/>
    <w:rsid w:val="5DA80C2C"/>
    <w:rsid w:val="5F2D4A41"/>
    <w:rsid w:val="60C74F6C"/>
    <w:rsid w:val="61015958"/>
    <w:rsid w:val="61025A59"/>
    <w:rsid w:val="613D5BBC"/>
    <w:rsid w:val="61536C39"/>
    <w:rsid w:val="62944DD7"/>
    <w:rsid w:val="6319381F"/>
    <w:rsid w:val="63AE462C"/>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C887D99"/>
    <w:rsid w:val="6D903FF5"/>
    <w:rsid w:val="6DA955B8"/>
    <w:rsid w:val="6DE346AB"/>
    <w:rsid w:val="6DE5391A"/>
    <w:rsid w:val="6EFD1324"/>
    <w:rsid w:val="6F5A53AC"/>
    <w:rsid w:val="6FAC003D"/>
    <w:rsid w:val="6FCB246C"/>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3778</Words>
  <Characters>4215</Characters>
  <Lines>186</Lines>
  <Paragraphs>52</Paragraphs>
  <TotalTime>6</TotalTime>
  <ScaleCrop>false</ScaleCrop>
  <LinksUpToDate>false</LinksUpToDate>
  <CharactersWithSpaces>4228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2025-09-28T01:24:01Z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BB46EABDBB2749749395447164B066B3_12</vt:lpwstr>
  </property>
  <property fmtid="{D5CDD505-2E9C-101B-9397-08002B2CF9AE}" pid="4" name="KSOTemplateDocerSaveRecord">
    <vt:lpwstr>eyJoZGlkIjoiOTRmMTA2MjUwYTg4MWE3MTdkZTE2NjAxYzk4YWViZWUiLCJ1c2VySWQiOiIxMzQ2NjAxMzAwIn0=</vt:lpwstr>
  </property>
</Properties>
</file>