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重庆市荣昌区古昌镇综合行政执法大队</w:t>
      </w:r>
      <w:r>
        <w:rPr>
          <w:rFonts w:ascii="方正小标宋_GBK" w:hAnsi="方正小标宋_GBK" w:eastAsia="方正小标宋_GBK" w:cs="方正小标宋_GBK"/>
          <w:sz w:val="36"/>
          <w:szCs w:val="36"/>
          <w:shd w:val="clear" w:color="auto" w:fill="FFFFFF"/>
        </w:rPr>
        <w:t>2023年度决算公开说明</w:t>
      </w:r>
    </w:p>
    <w:p>
      <w:pPr>
        <w:pStyle w:val="6"/>
        <w:shd w:val="clear" w:color="auto" w:fill="FFFFFF"/>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shd w:val="clear" w:color="auto" w:fill="FFFFFF"/>
        <w:ind w:firstLine="420"/>
        <w:rPr>
          <w:rFonts w:hint="eastAsia" w:ascii="仿宋_GB2312" w:hAnsi="仿宋_GB2312" w:eastAsia="仿宋_GB2312" w:cs="仿宋_GB2312"/>
          <w:color w:val="auto"/>
          <w:kern w:val="0"/>
          <w:sz w:val="32"/>
          <w:szCs w:val="24"/>
          <w:lang w:val="en-US" w:eastAsia="zh-CN" w:bidi="ar"/>
        </w:rPr>
      </w:pPr>
      <w:r>
        <w:rPr>
          <w:rFonts w:hint="eastAsia" w:ascii="仿宋_GB2312" w:hAnsi="仿宋_GB2312" w:eastAsia="仿宋_GB2312" w:cs="仿宋_GB2312"/>
          <w:color w:val="auto"/>
          <w:kern w:val="0"/>
          <w:sz w:val="32"/>
          <w:szCs w:val="24"/>
          <w:lang w:val="en-US" w:eastAsia="zh-CN" w:bidi="ar"/>
        </w:rPr>
        <w:t>本单位为镇政府管理的正科级全额技款事业单位(公益一类)。宗旨:弘扬法治精神，建设法治政府、法治国家、法治社会。主要职责:集中行使依法授权或委托的农林水利、规划建设、环境保护、卫生计生、文化旅游、民政管理等领域的行政执法权。协调、配合区级有关部门及派驻机构开展其他领域的联合执法。</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outlineLvl w:val="9"/>
        <w:rPr>
          <w:rFonts w:hint="eastAsia" w:ascii="仿宋_GB2312" w:hAnsi="仿宋_GB2312" w:eastAsia="仿宋_GB2312" w:cs="仿宋_GB2312"/>
          <w:color w:val="auto"/>
          <w:kern w:val="0"/>
          <w:sz w:val="32"/>
          <w:szCs w:val="24"/>
          <w:lang w:val="en-US" w:eastAsia="zh-CN" w:bidi="ar"/>
        </w:rPr>
      </w:pPr>
      <w:r>
        <w:rPr>
          <w:rFonts w:hint="eastAsia" w:ascii="仿宋_GB2312" w:hAnsi="仿宋_GB2312" w:eastAsia="仿宋_GB2312" w:cs="仿宋_GB2312"/>
          <w:color w:val="auto"/>
          <w:kern w:val="0"/>
          <w:sz w:val="32"/>
          <w:szCs w:val="24"/>
          <w:lang w:val="en-US" w:eastAsia="zh-CN" w:bidi="ar"/>
        </w:rPr>
        <w:t>从预算单位构成看，纳入本部门2023年度决算编制的二级预算单位主要包括重庆市荣昌区古昌镇综合行政执法大队。</w:t>
      </w:r>
    </w:p>
    <w:p>
      <w:pPr>
        <w:pStyle w:val="6"/>
        <w:shd w:val="clear" w:color="auto" w:fill="FFFFFF"/>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2023年度收入总计61.53万元，支出总计</w:t>
      </w:r>
      <w:r>
        <w:rPr>
          <w:rFonts w:ascii="方正仿宋_GBK" w:hAnsi="方正仿宋_GBK" w:eastAsia="方正仿宋_GBK" w:cs="方正仿宋_GBK"/>
          <w:sz w:val="32"/>
          <w:szCs w:val="32"/>
        </w:rPr>
        <w:t>61.53</w:t>
      </w:r>
      <w:r>
        <w:rPr>
          <w:rFonts w:ascii="方正仿宋_GBK" w:hAnsi="方正仿宋_GBK" w:eastAsia="方正仿宋_GBK" w:cs="方正仿宋_GBK"/>
          <w:sz w:val="32"/>
          <w:szCs w:val="32"/>
          <w:shd w:val="clear" w:color="auto" w:fill="FFFFFF"/>
        </w:rPr>
        <w:t>万元。收支较上年决算数增加18.12万元，增长41.74%，主要原因是</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根据相关</w:t>
      </w:r>
      <w:r>
        <w:rPr>
          <w:rFonts w:hint="eastAsia" w:ascii="方正仿宋_GBK" w:hAnsi="方正仿宋_GBK" w:eastAsia="方正仿宋_GBK" w:cs="方正仿宋_GBK"/>
          <w:sz w:val="32"/>
          <w:szCs w:val="32"/>
          <w:shd w:val="clear" w:color="auto" w:fill="FFFFFF"/>
        </w:rPr>
        <w:t>政策文件调整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人员工资及五险一金等有所变化</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2023年度收入合计61.53万元，较上年决算数增加18.12万元，增长41.74%，主要原因是主要原因是</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根据相关</w:t>
      </w:r>
      <w:r>
        <w:rPr>
          <w:rFonts w:hint="eastAsia" w:ascii="方正仿宋_GBK" w:hAnsi="方正仿宋_GBK" w:eastAsia="方正仿宋_GBK" w:cs="方正仿宋_GBK"/>
          <w:sz w:val="32"/>
          <w:szCs w:val="32"/>
          <w:shd w:val="clear" w:color="auto" w:fill="FFFFFF"/>
        </w:rPr>
        <w:t>政策文件调整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人员工资及五险一金等有所变化。</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61.53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61.53</w:t>
      </w:r>
      <w:r>
        <w:rPr>
          <w:rFonts w:ascii="方正仿宋_GBK" w:hAnsi="方正仿宋_GBK" w:eastAsia="方正仿宋_GBK" w:cs="方正仿宋_GBK"/>
          <w:sz w:val="32"/>
          <w:szCs w:val="32"/>
          <w:shd w:val="clear" w:color="auto" w:fill="FFFFFF"/>
        </w:rPr>
        <w:t>万元，较上年决算数增加18.12万元，增长41.74%，主要原因是</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根据相关</w:t>
      </w:r>
      <w:r>
        <w:rPr>
          <w:rFonts w:hint="eastAsia" w:ascii="方正仿宋_GBK" w:hAnsi="方正仿宋_GBK" w:eastAsia="方正仿宋_GBK" w:cs="方正仿宋_GBK"/>
          <w:sz w:val="32"/>
          <w:szCs w:val="32"/>
          <w:shd w:val="clear" w:color="auto" w:fill="FFFFFF"/>
        </w:rPr>
        <w:t>政策文件调整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人员工资及五险一金等有所变化。</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61.53</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lang w:val="en-US" w:eastAsia="zh-CN"/>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w:t>
      </w:r>
      <w:r>
        <w:rPr>
          <w:rFonts w:hint="eastAsia" w:ascii="方正仿宋_GBK" w:hAnsi="方正仿宋_GBK" w:eastAsia="方正仿宋_GBK" w:cs="方正仿宋_GBK"/>
          <w:sz w:val="32"/>
          <w:szCs w:val="32"/>
          <w:shd w:val="clear" w:color="auto" w:fill="FFFFFF"/>
          <w:lang w:val="en-US" w:eastAsia="zh-CN"/>
        </w:rPr>
        <w:t>本年与上年无年末结转和结余。</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2023年度财政拨款收、支总计61.53万元。与2022年相比，财政拨款收、支总计各增加18.12万元，增长41.74%。主要原因是</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根据相关</w:t>
      </w:r>
      <w:r>
        <w:rPr>
          <w:rFonts w:hint="eastAsia" w:ascii="方正仿宋_GBK" w:hAnsi="方正仿宋_GBK" w:eastAsia="方正仿宋_GBK" w:cs="方正仿宋_GBK"/>
          <w:sz w:val="32"/>
          <w:szCs w:val="32"/>
          <w:shd w:val="clear" w:color="auto" w:fill="FFFFFF"/>
        </w:rPr>
        <w:t>政策文件调整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人员工资及五险一金等有所变化。</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61.53</w:t>
      </w:r>
      <w:r>
        <w:rPr>
          <w:rFonts w:ascii="方正仿宋_GBK" w:hAnsi="方正仿宋_GBK" w:eastAsia="方正仿宋_GBK" w:cs="方正仿宋_GBK"/>
          <w:sz w:val="32"/>
          <w:szCs w:val="32"/>
          <w:shd w:val="clear" w:color="auto" w:fill="FFFFFF"/>
        </w:rPr>
        <w:t>万元，较上年决算数增加18.12万元，增长41.74%。主要原因是</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根据相关</w:t>
      </w:r>
      <w:r>
        <w:rPr>
          <w:rFonts w:hint="eastAsia" w:ascii="方正仿宋_GBK" w:hAnsi="方正仿宋_GBK" w:eastAsia="方正仿宋_GBK" w:cs="方正仿宋_GBK"/>
          <w:sz w:val="32"/>
          <w:szCs w:val="32"/>
          <w:shd w:val="clear" w:color="auto" w:fill="FFFFFF"/>
        </w:rPr>
        <w:t>政策文件调整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人员工资及五险一金等有所变化，</w:t>
      </w:r>
      <w:r>
        <w:rPr>
          <w:rFonts w:ascii="方正仿宋_GBK" w:hAnsi="方正仿宋_GBK" w:eastAsia="方正仿宋_GBK" w:cs="方正仿宋_GBK"/>
          <w:sz w:val="32"/>
          <w:szCs w:val="32"/>
          <w:shd w:val="clear" w:color="auto" w:fill="FFFFFF"/>
        </w:rPr>
        <w:t>较年初预算数减少2.32万元，下降3.63%。主要原因是</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根据相关</w:t>
      </w:r>
      <w:r>
        <w:rPr>
          <w:rFonts w:hint="eastAsia" w:ascii="方正仿宋_GBK" w:hAnsi="方正仿宋_GBK" w:eastAsia="方正仿宋_GBK" w:cs="方正仿宋_GBK"/>
          <w:sz w:val="32"/>
          <w:szCs w:val="32"/>
          <w:shd w:val="clear" w:color="auto" w:fill="FFFFFF"/>
        </w:rPr>
        <w:t>政策文件调整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人员工资及五险一金等有所变化。</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61.53</w:t>
      </w:r>
      <w:r>
        <w:rPr>
          <w:rFonts w:ascii="方正仿宋_GBK" w:hAnsi="方正仿宋_GBK" w:eastAsia="方正仿宋_GBK" w:cs="方正仿宋_GBK"/>
          <w:sz w:val="32"/>
          <w:szCs w:val="32"/>
          <w:shd w:val="clear" w:color="auto" w:fill="FFFFFF"/>
        </w:rPr>
        <w:t>万元，较上年决算数增加18.12万元，增长41.74%。主要原因是</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根据相关</w:t>
      </w:r>
      <w:r>
        <w:rPr>
          <w:rFonts w:hint="eastAsia" w:ascii="方正仿宋_GBK" w:hAnsi="方正仿宋_GBK" w:eastAsia="方正仿宋_GBK" w:cs="方正仿宋_GBK"/>
          <w:sz w:val="32"/>
          <w:szCs w:val="32"/>
          <w:shd w:val="clear" w:color="auto" w:fill="FFFFFF"/>
        </w:rPr>
        <w:t>政策文件调整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人员工资及五险一金等有所变化。</w:t>
      </w:r>
      <w:r>
        <w:rPr>
          <w:rFonts w:ascii="方正仿宋_GBK" w:hAnsi="方正仿宋_GBK" w:eastAsia="方正仿宋_GBK" w:cs="方正仿宋_GBK"/>
          <w:sz w:val="32"/>
          <w:szCs w:val="32"/>
          <w:shd w:val="clear" w:color="auto" w:fill="FFFFFF"/>
        </w:rPr>
        <w:t>较年初预算数减少2.32万元，下降3.63%。主要原因是</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根据相关</w:t>
      </w:r>
      <w:r>
        <w:rPr>
          <w:rFonts w:hint="eastAsia" w:ascii="方正仿宋_GBK" w:hAnsi="方正仿宋_GBK" w:eastAsia="方正仿宋_GBK" w:cs="方正仿宋_GBK"/>
          <w:sz w:val="32"/>
          <w:szCs w:val="32"/>
          <w:shd w:val="clear" w:color="auto" w:fill="FFFFFF"/>
        </w:rPr>
        <w:t>政策文件调整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人员工资及五险一金等有所变化。</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val="en-US" w:eastAsia="zh-CN"/>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w:t>
      </w:r>
      <w:r>
        <w:rPr>
          <w:rFonts w:hint="eastAsia" w:ascii="方正仿宋_GBK" w:hAnsi="方正仿宋_GBK" w:eastAsia="方正仿宋_GBK" w:cs="方正仿宋_GBK"/>
          <w:sz w:val="32"/>
          <w:szCs w:val="32"/>
          <w:shd w:val="clear" w:color="auto" w:fill="FFFFFF"/>
          <w:lang w:val="en-US" w:eastAsia="zh-CN"/>
        </w:rPr>
        <w:t>本年与上年均无</w:t>
      </w:r>
      <w:r>
        <w:rPr>
          <w:rFonts w:ascii="方正仿宋_GBK" w:hAnsi="方正仿宋_GBK" w:eastAsia="方正仿宋_GBK" w:cs="方正仿宋_GBK"/>
          <w:sz w:val="32"/>
          <w:szCs w:val="32"/>
          <w:shd w:val="clear" w:color="auto" w:fill="FFFFFF"/>
        </w:rPr>
        <w:t>一般公共预算财政拨款结转和结余</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outlineLvl w:val="9"/>
        <w:rPr>
          <w:rFonts w:hint="default" w:ascii="仿宋_GB2312" w:hAnsi="仿宋_GB2312" w:eastAsia="仿宋_GB2312" w:cs="仿宋_GB2312"/>
          <w:color w:val="auto"/>
          <w:kern w:val="0"/>
          <w:sz w:val="32"/>
          <w:szCs w:val="24"/>
          <w:lang w:val="en-US" w:eastAsia="zh-CN" w:bidi="ar"/>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46.10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74.93</w:t>
      </w:r>
      <w:r>
        <w:rPr>
          <w:rFonts w:ascii="方正仿宋_GBK" w:hAnsi="方正仿宋_GBK" w:eastAsia="方正仿宋_GBK" w:cs="方正仿宋_GBK"/>
          <w:sz w:val="32"/>
          <w:szCs w:val="32"/>
          <w:shd w:val="clear" w:color="auto" w:fill="FFFFFF"/>
        </w:rPr>
        <w:t>%，较年初预算数减少4.99万元，下降9.77%，</w:t>
      </w:r>
      <w:r>
        <w:rPr>
          <w:rFonts w:hint="eastAsia" w:ascii="仿宋_GB2312" w:hAnsi="仿宋_GB2312" w:eastAsia="仿宋_GB2312" w:cs="仿宋_GB2312"/>
          <w:color w:val="auto"/>
          <w:kern w:val="0"/>
          <w:sz w:val="32"/>
          <w:szCs w:val="24"/>
          <w:lang w:val="en-US" w:eastAsia="zh-CN" w:bidi="ar"/>
        </w:rPr>
        <w:t>主要原因是</w:t>
      </w:r>
      <w:r>
        <w:rPr>
          <w:rFonts w:hint="eastAsia" w:ascii="仿宋_GB2312" w:hAnsi="仿宋_GB2312" w:eastAsia="仿宋_GB2312" w:cs="仿宋_GB2312"/>
          <w:color w:val="auto"/>
          <w:sz w:val="32"/>
          <w:lang w:val="en-US" w:eastAsia="zh-CN"/>
        </w:rPr>
        <w:t>2023年对社保基数进行了调整，故职工基本医疗保险（事业）、工伤保险（事业）、在职大额医疗互助金、失业保险（事业）、基本养老保险的实际支出与年初预算数不一致；单位厉行节约福利费、职工教育经费有所下降。</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8.42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13.69</w:t>
      </w:r>
      <w:r>
        <w:rPr>
          <w:rFonts w:ascii="方正仿宋_GBK" w:hAnsi="方正仿宋_GBK" w:eastAsia="方正仿宋_GBK" w:cs="方正仿宋_GBK"/>
          <w:sz w:val="32"/>
          <w:szCs w:val="32"/>
          <w:shd w:val="clear" w:color="auto" w:fill="FFFFFF"/>
        </w:rPr>
        <w:t>%，较年初预算数增加2.10万元，增长33.23%，主要原因是</w:t>
      </w:r>
      <w:r>
        <w:rPr>
          <w:rFonts w:hint="eastAsia"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rPr>
        <w:t>年社保基数调整，实际支出与年初预算数不一致。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6.25</w:t>
      </w:r>
      <w:r>
        <w:rPr>
          <w:rFonts w:ascii="方正仿宋_GBK" w:hAnsi="方正仿宋_GBK" w:eastAsia="方正仿宋_GBK" w:cs="方正仿宋_GBK"/>
          <w:sz w:val="32"/>
          <w:szCs w:val="32"/>
          <w:shd w:val="clear" w:color="auto" w:fill="FFFFFF"/>
        </w:rPr>
        <w:t>%，较年初预算数增加0.58万元，增长17.74%，主要原因是</w:t>
      </w:r>
      <w:r>
        <w:rPr>
          <w:rFonts w:hint="eastAsia"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rPr>
        <w:t>年社保基数调整，实际支出与年初预算数不一致。</w:t>
      </w:r>
    </w:p>
    <w:p>
      <w:pPr>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rPr>
        <w:t>住房保障支出</w:t>
      </w:r>
      <w:r>
        <w:rPr>
          <w:rFonts w:ascii="方正仿宋_GBK" w:hAnsi="方正仿宋_GBK" w:eastAsia="方正仿宋_GBK" w:cs="方正仿宋_GBK"/>
          <w:sz w:val="32"/>
          <w:szCs w:val="32"/>
        </w:rPr>
        <w:t>3.16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5.13</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年初预算准确，无变化</w:t>
      </w:r>
      <w:r>
        <w:rPr>
          <w:rFonts w:ascii="方正仿宋_GBK" w:hAnsi="方正仿宋_GBK" w:eastAsia="方正仿宋_GBK" w:cs="方正仿宋_GBK"/>
          <w:color w:val="auto"/>
          <w:sz w:val="32"/>
          <w:szCs w:val="32"/>
          <w:shd w:val="clear" w:color="auto" w:fill="FFFFFF"/>
        </w:rPr>
        <w:t>。</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61.53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61.02</w:t>
      </w:r>
      <w:r>
        <w:rPr>
          <w:rFonts w:ascii="方正仿宋_GBK" w:hAnsi="方正仿宋_GBK" w:eastAsia="方正仿宋_GBK" w:cs="方正仿宋_GBK"/>
          <w:sz w:val="32"/>
          <w:szCs w:val="32"/>
          <w:shd w:val="clear" w:color="auto" w:fill="FFFFFF"/>
        </w:rPr>
        <w:t>万元，较上年决算数增加19.19万元，增长45.88%，</w:t>
      </w:r>
      <w:r>
        <w:rPr>
          <w:rFonts w:hint="eastAsia" w:ascii="方正仿宋_GBK" w:hAnsi="方正仿宋_GBK" w:eastAsia="方正仿宋_GBK" w:cs="方正仿宋_GBK"/>
          <w:sz w:val="32"/>
          <w:szCs w:val="32"/>
          <w:shd w:val="clear" w:color="auto" w:fill="FFFFFF"/>
          <w:lang w:val="en-US" w:eastAsia="zh-CN"/>
        </w:rPr>
        <w:t>主要原因是</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根据相关</w:t>
      </w:r>
      <w:r>
        <w:rPr>
          <w:rFonts w:hint="eastAsia" w:ascii="方正仿宋_GBK" w:hAnsi="方正仿宋_GBK" w:eastAsia="方正仿宋_GBK" w:cs="方正仿宋_GBK"/>
          <w:sz w:val="32"/>
          <w:szCs w:val="32"/>
          <w:shd w:val="clear" w:color="auto" w:fill="FFFFFF"/>
        </w:rPr>
        <w:t>政策文件调整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人员工资及五险一金等有所变化。</w:t>
      </w:r>
      <w:r>
        <w:rPr>
          <w:rFonts w:hint="eastAsia" w:ascii="方正仿宋_GBK" w:hAnsi="方正仿宋_GBK" w:eastAsia="方正仿宋_GBK" w:cs="方正仿宋_GBK"/>
          <w:sz w:val="32"/>
          <w:szCs w:val="32"/>
          <w:shd w:val="clear" w:color="auto" w:fill="FFFFFF"/>
        </w:rPr>
        <w:t>人员经费用途主要包括在编、在岗人员基本工资、绩效工资、津贴补贴各项奖金、社会保障缴费、单位其他长期聘用人员及部分离退休人员经费等。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0.52</w:t>
      </w:r>
      <w:r>
        <w:rPr>
          <w:rFonts w:ascii="方正仿宋_GBK" w:hAnsi="方正仿宋_GBK" w:eastAsia="方正仿宋_GBK" w:cs="方正仿宋_GBK"/>
          <w:sz w:val="32"/>
          <w:szCs w:val="32"/>
          <w:shd w:val="clear" w:color="auto" w:fill="FFFFFF"/>
        </w:rPr>
        <w:t>万元，较上年决算数减少1.06万元，下降67.09%，主要原因</w:t>
      </w:r>
      <w:r>
        <w:rPr>
          <w:rFonts w:hint="eastAsia" w:ascii="方正仿宋_GBK" w:hAnsi="方正仿宋_GBK" w:eastAsia="方正仿宋_GBK" w:cs="方正仿宋_GBK"/>
          <w:sz w:val="32"/>
          <w:szCs w:val="32"/>
          <w:shd w:val="clear" w:color="auto" w:fill="FFFFFF"/>
          <w:lang w:val="en-US" w:eastAsia="zh-CN"/>
        </w:rPr>
        <w:t>是单位响应国家号召，</w:t>
      </w:r>
      <w:bookmarkStart w:id="0" w:name="_GoBack"/>
      <w:bookmarkEnd w:id="0"/>
      <w:r>
        <w:rPr>
          <w:rFonts w:hint="eastAsia" w:ascii="方正仿宋_GBK" w:hAnsi="方正仿宋_GBK" w:eastAsia="方正仿宋_GBK" w:cs="方正仿宋_GBK"/>
          <w:sz w:val="32"/>
          <w:szCs w:val="32"/>
          <w:shd w:val="clear" w:color="auto" w:fill="FFFFFF"/>
          <w:lang w:val="en-US" w:eastAsia="zh-CN"/>
        </w:rPr>
        <w:t>厉行节约，合理削减公用经费。</w:t>
      </w:r>
      <w:r>
        <w:rPr>
          <w:rFonts w:hint="default" w:ascii="方正仿宋_GBK" w:hAnsi="方正仿宋_GBK" w:eastAsia="方正仿宋_GBK" w:cs="方正仿宋_GBK"/>
          <w:sz w:val="32"/>
          <w:szCs w:val="32"/>
          <w:shd w:val="clear" w:color="auto" w:fill="FFFFFF"/>
          <w:lang w:val="en-US" w:eastAsia="zh-CN"/>
        </w:rPr>
        <w:t>公用经费</w:t>
      </w:r>
      <w:r>
        <w:rPr>
          <w:rFonts w:hint="default" w:ascii="仿宋_GB2312" w:hAnsi="仿宋_GB2312" w:eastAsia="仿宋_GB2312" w:cs="仿宋_GB2312"/>
          <w:color w:val="auto"/>
          <w:kern w:val="0"/>
          <w:sz w:val="32"/>
          <w:szCs w:val="24"/>
          <w:lang w:val="en-US" w:eastAsia="zh-CN" w:bidi="ar"/>
        </w:rPr>
        <w:t>用途主要包括办公费、印刷费、咨询费、水电费、邮电费、差旅费、会议费、公务接待费、劳务费、公务用车运行维护费、其他商品和服务支出等费用支出。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本单位2023年度无政府性基金预算财政拨款收支。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本单位2023年度无国有资本经营预算财政拨款支出。</w:t>
      </w:r>
    </w:p>
    <w:p>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hint="eastAsia" w:ascii="仿宋_GB2312" w:hAnsi="仿宋_GB2312" w:eastAsia="仿宋_GB2312" w:cs="仿宋_GB2312"/>
          <w:color w:val="auto"/>
          <w:kern w:val="0"/>
          <w:sz w:val="32"/>
          <w:szCs w:val="24"/>
          <w:lang w:val="en-US" w:eastAsia="zh-CN" w:bidi="ar"/>
        </w:rPr>
        <w:t>本单位2023年未发生三公经费支出。</w:t>
      </w:r>
      <w:r>
        <w:rPr>
          <w:rFonts w:ascii="方正仿宋_GBK" w:hAnsi="方正仿宋_GBK" w:eastAsia="方正仿宋_GBK" w:cs="方正仿宋_GBK"/>
          <w:sz w:val="32"/>
          <w:szCs w:val="32"/>
          <w:shd w:val="clear" w:color="auto" w:fill="FFFFFF"/>
        </w:rPr>
        <w:t>较上年支出数无增减，主要原因是</w:t>
      </w:r>
      <w:r>
        <w:rPr>
          <w:rFonts w:hint="eastAsia" w:ascii="仿宋_GB2312" w:hAnsi="仿宋_GB2312" w:eastAsia="仿宋_GB2312" w:cs="仿宋_GB2312"/>
          <w:color w:val="auto"/>
          <w:kern w:val="0"/>
          <w:sz w:val="32"/>
          <w:szCs w:val="24"/>
          <w:lang w:val="en-US" w:eastAsia="zh-CN" w:bidi="ar"/>
        </w:rPr>
        <w:t>本单位2023年未发生三公经费支出。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outlineLvl w:val="9"/>
        <w:rPr>
          <w:rFonts w:hint="eastAsia" w:ascii="仿宋_GB2312" w:hAnsi="仿宋_GB2312" w:eastAsia="仿宋_GB2312" w:cs="仿宋_GB2312"/>
          <w:color w:val="auto"/>
          <w:kern w:val="0"/>
          <w:sz w:val="32"/>
          <w:szCs w:val="24"/>
          <w:lang w:val="en-US" w:eastAsia="zh-CN" w:bidi="ar"/>
        </w:rPr>
      </w:pPr>
      <w:r>
        <w:rPr>
          <w:rFonts w:ascii="方正仿宋_GBK" w:hAnsi="方正仿宋_GBK" w:eastAsia="方正仿宋_GBK" w:cs="方正仿宋_GBK"/>
          <w:sz w:val="32"/>
          <w:szCs w:val="32"/>
          <w:shd w:val="clear" w:color="auto" w:fill="FFFFFF"/>
        </w:rPr>
        <w:t>2023年度本单位因公出国（境）费用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万元，费用支出0，较上年支出数无增减，</w:t>
      </w:r>
      <w:r>
        <w:rPr>
          <w:rFonts w:hint="eastAsia" w:ascii="仿宋_GB2312" w:hAnsi="仿宋_GB2312" w:eastAsia="仿宋_GB2312" w:cs="仿宋_GB2312"/>
          <w:color w:val="auto"/>
          <w:kern w:val="0"/>
          <w:sz w:val="32"/>
          <w:szCs w:val="24"/>
          <w:lang w:val="en-US" w:eastAsia="zh-CN" w:bidi="ar"/>
        </w:rPr>
        <w:t>本单位2023年未发生因公出国（境）费用支出。</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万元，费用支出0，较上年支出数无增减，主要原因是</w:t>
      </w:r>
      <w:r>
        <w:rPr>
          <w:rFonts w:hint="eastAsia" w:ascii="仿宋_GB2312" w:hAnsi="仿宋_GB2312" w:eastAsia="仿宋_GB2312" w:cs="仿宋_GB2312"/>
          <w:color w:val="auto"/>
          <w:kern w:val="0"/>
          <w:sz w:val="32"/>
          <w:szCs w:val="24"/>
          <w:lang w:val="en-US" w:eastAsia="zh-CN" w:bidi="ar"/>
        </w:rPr>
        <w:t>本单位2023年未发生公务车购置费用支出。</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万元，费用支出0，较上年支出数无增减，</w:t>
      </w:r>
      <w:r>
        <w:rPr>
          <w:rFonts w:hint="eastAsia" w:ascii="仿宋_GB2312" w:hAnsi="仿宋_GB2312" w:eastAsia="仿宋_GB2312" w:cs="仿宋_GB2312"/>
          <w:color w:val="auto"/>
          <w:kern w:val="0"/>
          <w:sz w:val="32"/>
          <w:szCs w:val="24"/>
          <w:lang w:val="en-US" w:eastAsia="zh-CN" w:bidi="ar"/>
        </w:rPr>
        <w:t>本单位2023年未发生</w:t>
      </w:r>
      <w:r>
        <w:rPr>
          <w:rFonts w:ascii="方正仿宋_GBK" w:hAnsi="方正仿宋_GBK" w:eastAsia="方正仿宋_GBK" w:cs="方正仿宋_GBK"/>
          <w:sz w:val="32"/>
          <w:szCs w:val="32"/>
          <w:shd w:val="clear" w:color="auto" w:fill="FFFFFF"/>
        </w:rPr>
        <w:t>公务车运行维护费</w:t>
      </w:r>
      <w:r>
        <w:rPr>
          <w:rFonts w:hint="eastAsia" w:ascii="仿宋_GB2312" w:hAnsi="仿宋_GB2312" w:eastAsia="仿宋_GB2312" w:cs="仿宋_GB2312"/>
          <w:color w:val="auto"/>
          <w:kern w:val="0"/>
          <w:sz w:val="32"/>
          <w:szCs w:val="24"/>
          <w:lang w:val="en-US" w:eastAsia="zh-CN" w:bidi="ar"/>
        </w:rPr>
        <w:t>用支出。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r>
        <w:rPr>
          <w:rFonts w:hint="eastAsia" w:ascii="仿宋_GB2312" w:hAnsi="仿宋_GB2312" w:eastAsia="仿宋_GB2312" w:cs="仿宋_GB2312"/>
          <w:color w:val="auto"/>
          <w:kern w:val="0"/>
          <w:sz w:val="32"/>
          <w:szCs w:val="24"/>
          <w:lang w:val="en-US" w:eastAsia="zh-CN" w:bidi="ar"/>
        </w:rPr>
        <w:t>本单位2023年未发生公务接待费支出。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hint="eastAsia" w:ascii="仿宋_GB2312" w:hAnsi="仿宋_GB2312" w:eastAsia="仿宋_GB2312" w:cs="仿宋_GB2312"/>
          <w:color w:val="auto"/>
          <w:kern w:val="0"/>
          <w:sz w:val="32"/>
          <w:szCs w:val="24"/>
          <w:lang w:val="en-US" w:eastAsia="zh-CN" w:bidi="ar"/>
        </w:rPr>
        <w:t>主要原因是本单位2023年未发生会议费支出。</w:t>
      </w:r>
      <w:r>
        <w:rPr>
          <w:rFonts w:ascii="方正仿宋_GBK" w:hAnsi="方正仿宋_GBK" w:eastAsia="方正仿宋_GBK" w:cs="方正仿宋_GBK"/>
          <w:sz w:val="32"/>
          <w:szCs w:val="32"/>
          <w:shd w:val="clear" w:color="auto" w:fill="FFFFFF"/>
        </w:rPr>
        <w:t>（由单位根据实际情况补充）。本年度培训费支出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万元，较上年决算数无变化，</w:t>
      </w:r>
      <w:r>
        <w:rPr>
          <w:rFonts w:hint="eastAsia" w:ascii="仿宋_GB2312" w:hAnsi="仿宋_GB2312" w:eastAsia="仿宋_GB2312" w:cs="仿宋_GB2312"/>
          <w:color w:val="auto"/>
          <w:kern w:val="0"/>
          <w:sz w:val="32"/>
          <w:szCs w:val="24"/>
          <w:lang w:val="en-US" w:eastAsia="zh-CN" w:bidi="ar"/>
        </w:rPr>
        <w:t>本单位2023年未发生培训费支出。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2023年度我单位未发生政府采购事项，无相关经费支出。</w:t>
      </w:r>
    </w:p>
    <w:p>
      <w:pPr>
        <w:pStyle w:val="6"/>
        <w:numPr>
          <w:ilvl w:val="0"/>
          <w:numId w:val="1"/>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1"/>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6"/>
        <w:shd w:val="clear" w:color="auto" w:fill="FFFFFF"/>
        <w:rPr>
          <w:rStyle w:val="10"/>
          <w:rFonts w:ascii="黑体" w:hAnsi="黑体" w:eastAsia="黑体" w:cs="黑体"/>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pPr>
        <w:pStyle w:val="6"/>
        <w:shd w:val="clear" w:color="auto" w:fill="FFFFFF"/>
        <w:ind w:firstLine="643"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jc w:val="left"/>
        <w:outlineLvl w:val="9"/>
        <w:rPr>
          <w:rFonts w:hint="default" w:ascii="仿宋_GB2312" w:hAnsi="仿宋_GB2312" w:eastAsia="仿宋_GB2312" w:cs="仿宋_GB2312"/>
          <w:color w:val="auto"/>
          <w:kern w:val="0"/>
          <w:sz w:val="32"/>
          <w:szCs w:val="24"/>
          <w:lang w:val="en-US" w:eastAsia="zh-CN" w:bidi="ar"/>
        </w:rPr>
      </w:pPr>
      <w:r>
        <w:rPr>
          <w:rFonts w:hint="eastAsia" w:ascii="仿宋_GB2312" w:hAnsi="仿宋_GB2312" w:eastAsia="仿宋_GB2312" w:cs="仿宋_GB2312"/>
          <w:color w:val="auto"/>
          <w:kern w:val="0"/>
          <w:sz w:val="32"/>
          <w:szCs w:val="24"/>
          <w:lang w:val="en-US" w:eastAsia="zh-CN" w:bidi="ar"/>
        </w:rPr>
        <w:t>本单位决算公开信息反馈和联系方式：顾翩   023-81067061</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firstLine="640" w:firstLineChars="200"/>
        <w:jc w:val="left"/>
        <w:outlineLvl w:val="9"/>
        <w:rPr>
          <w:rFonts w:hint="eastAsia" w:ascii="仿宋_GB2312" w:hAnsi="仿宋_GB2312" w:eastAsia="仿宋_GB2312" w:cs="仿宋_GB2312"/>
          <w:color w:val="auto"/>
          <w:kern w:val="0"/>
          <w:sz w:val="32"/>
          <w:szCs w:val="24"/>
          <w:lang w:val="en-US" w:eastAsia="zh-CN" w:bidi="ar"/>
        </w:rPr>
      </w:pPr>
      <w:r>
        <w:rPr>
          <w:rFonts w:hint="eastAsia" w:ascii="仿宋_GB2312" w:hAnsi="仿宋_GB2312" w:eastAsia="仿宋_GB2312" w:cs="仿宋_GB2312"/>
          <w:color w:val="auto"/>
          <w:kern w:val="0"/>
          <w:sz w:val="32"/>
          <w:szCs w:val="24"/>
          <w:lang w:val="en-US" w:eastAsia="zh-CN" w:bidi="ar"/>
        </w:rPr>
        <w:t>附件：1.重庆市荣昌区古昌镇综合行政执法大队2023年度部门决算公开报表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firstLine="640" w:firstLineChars="200"/>
        <w:jc w:val="left"/>
        <w:outlineLvl w:val="9"/>
        <w:rPr>
          <w:rFonts w:hint="eastAsia" w:ascii="仿宋_GB2312" w:hAnsi="仿宋_GB2312" w:eastAsia="仿宋_GB2312" w:cs="仿宋_GB2312"/>
          <w:color w:val="auto"/>
          <w:kern w:val="0"/>
          <w:sz w:val="32"/>
          <w:szCs w:val="2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firstLine="640" w:firstLineChars="200"/>
        <w:jc w:val="left"/>
        <w:outlineLvl w:val="9"/>
        <w:rPr>
          <w:rFonts w:hint="eastAsia" w:ascii="仿宋_GB2312" w:hAnsi="仿宋_GB2312" w:eastAsia="仿宋_GB2312" w:cs="仿宋_GB2312"/>
          <w:color w:val="auto"/>
          <w:kern w:val="0"/>
          <w:sz w:val="32"/>
          <w:szCs w:val="2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firstLine="640" w:firstLineChars="200"/>
        <w:jc w:val="left"/>
        <w:outlineLvl w:val="9"/>
        <w:rPr>
          <w:rFonts w:hint="eastAsia" w:ascii="仿宋_GB2312" w:hAnsi="仿宋_GB2312" w:eastAsia="仿宋_GB2312" w:cs="仿宋_GB2312"/>
          <w:color w:val="auto"/>
          <w:kern w:val="0"/>
          <w:sz w:val="32"/>
          <w:szCs w:val="2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jc w:val="left"/>
        <w:outlineLvl w:val="9"/>
        <w:rPr>
          <w:rFonts w:hint="eastAsia" w:ascii="仿宋_GB2312" w:hAnsi="仿宋_GB2312" w:eastAsia="仿宋_GB2312" w:cs="仿宋_GB2312"/>
          <w:color w:val="auto"/>
          <w:kern w:val="0"/>
          <w:sz w:val="32"/>
          <w:szCs w:val="2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jc w:val="left"/>
        <w:outlineLvl w:val="9"/>
        <w:rPr>
          <w:rFonts w:hint="eastAsia" w:ascii="仿宋_GB2312" w:hAnsi="仿宋_GB2312" w:eastAsia="仿宋_GB2312" w:cs="仿宋_GB2312"/>
          <w:color w:val="auto"/>
          <w:kern w:val="0"/>
          <w:sz w:val="32"/>
          <w:szCs w:val="2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jc w:val="left"/>
        <w:outlineLvl w:val="9"/>
        <w:rPr>
          <w:rFonts w:hint="eastAsia" w:ascii="仿宋_GB2312" w:hAnsi="仿宋_GB2312" w:eastAsia="仿宋_GB2312" w:cs="仿宋_GB2312"/>
          <w:color w:val="auto"/>
          <w:kern w:val="0"/>
          <w:sz w:val="32"/>
          <w:szCs w:val="2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jc w:val="left"/>
        <w:outlineLvl w:val="9"/>
        <w:rPr>
          <w:rFonts w:hint="eastAsia" w:ascii="仿宋_GB2312" w:hAnsi="仿宋_GB2312" w:eastAsia="仿宋_GB2312" w:cs="仿宋_GB2312"/>
          <w:color w:val="auto"/>
          <w:kern w:val="0"/>
          <w:sz w:val="32"/>
          <w:szCs w:val="2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jc w:val="left"/>
        <w:outlineLvl w:val="9"/>
        <w:rPr>
          <w:rFonts w:hint="eastAsia" w:ascii="仿宋_GB2312" w:hAnsi="仿宋_GB2312" w:eastAsia="仿宋_GB2312" w:cs="仿宋_GB2312"/>
          <w:color w:val="auto"/>
          <w:kern w:val="0"/>
          <w:sz w:val="32"/>
          <w:szCs w:val="2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jc w:val="left"/>
        <w:outlineLvl w:val="9"/>
        <w:rPr>
          <w:rFonts w:hint="eastAsia" w:ascii="仿宋_GB2312" w:hAnsi="仿宋_GB2312" w:eastAsia="仿宋_GB2312" w:cs="仿宋_GB2312"/>
          <w:color w:val="auto"/>
          <w:kern w:val="0"/>
          <w:sz w:val="32"/>
          <w:szCs w:val="2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jc w:val="left"/>
        <w:outlineLvl w:val="9"/>
        <w:rPr>
          <w:rFonts w:hint="eastAsia" w:ascii="仿宋_GB2312" w:hAnsi="仿宋_GB2312" w:eastAsia="仿宋_GB2312" w:cs="仿宋_GB2312"/>
          <w:color w:val="auto"/>
          <w:kern w:val="0"/>
          <w:sz w:val="32"/>
          <w:szCs w:val="2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jc w:val="left"/>
        <w:outlineLvl w:val="9"/>
        <w:rPr>
          <w:rFonts w:hint="eastAsia" w:ascii="仿宋_GB2312" w:hAnsi="仿宋_GB2312" w:eastAsia="仿宋_GB2312" w:cs="仿宋_GB2312"/>
          <w:color w:val="auto"/>
          <w:kern w:val="0"/>
          <w:sz w:val="32"/>
          <w:szCs w:val="2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jc w:val="left"/>
        <w:outlineLvl w:val="9"/>
        <w:rPr>
          <w:rFonts w:hint="eastAsia" w:ascii="仿宋_GB2312" w:hAnsi="仿宋_GB2312" w:eastAsia="仿宋_GB2312" w:cs="仿宋_GB2312"/>
          <w:color w:val="auto"/>
          <w:kern w:val="0"/>
          <w:sz w:val="32"/>
          <w:szCs w:val="2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jc w:val="left"/>
        <w:outlineLvl w:val="9"/>
        <w:rPr>
          <w:rFonts w:hint="eastAsia" w:ascii="仿宋_GB2312" w:hAnsi="仿宋_GB2312" w:eastAsia="仿宋_GB2312" w:cs="仿宋_GB2312"/>
          <w:color w:val="auto"/>
          <w:kern w:val="0"/>
          <w:sz w:val="32"/>
          <w:szCs w:val="24"/>
          <w:lang w:val="en-US" w:eastAsia="zh-CN" w:bidi="ar"/>
        </w:rPr>
      </w:pPr>
    </w:p>
    <w:p>
      <w:pPr>
        <w:rPr>
          <w:rFonts w:hint="default" w:cs="宋体"/>
          <w:sz w:val="21"/>
          <w:szCs w:val="21"/>
        </w:rPr>
      </w:pPr>
    </w:p>
    <w:tbl>
      <w:tblPr>
        <w:tblStyle w:val="7"/>
        <w:tblW w:w="5005" w:type="pct"/>
        <w:tblInd w:w="0" w:type="dxa"/>
        <w:shd w:val="clear" w:color="auto" w:fill="auto"/>
        <w:tblLayout w:type="autofit"/>
        <w:tblCellMar>
          <w:top w:w="0" w:type="dxa"/>
          <w:left w:w="0" w:type="dxa"/>
          <w:bottom w:w="0" w:type="dxa"/>
          <w:right w:w="0" w:type="dxa"/>
        </w:tblCellMar>
      </w:tblPr>
      <w:tblGrid>
        <w:gridCol w:w="4430"/>
        <w:gridCol w:w="1142"/>
        <w:gridCol w:w="3101"/>
        <w:gridCol w:w="2141"/>
      </w:tblGrid>
      <w:tr>
        <w:tblPrEx>
          <w:shd w:val="clear" w:color="auto" w:fill="auto"/>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shd w:val="clear" w:color="auto" w:fill="auto"/>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655"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11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公开01表</w:t>
            </w:r>
          </w:p>
        </w:tc>
      </w:tr>
      <w:tr>
        <w:tblPrEx>
          <w:shd w:val="clear" w:color="auto" w:fill="auto"/>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pPr>
              <w:spacing w:line="280" w:lineRule="exact"/>
              <w:textAlignment w:val="bottom"/>
              <w:rPr>
                <w:rFonts w:hint="default" w:cs="宋体"/>
                <w:color w:val="000000"/>
                <w:sz w:val="20"/>
                <w:szCs w:val="20"/>
              </w:rPr>
            </w:pPr>
            <w:r>
              <w:rPr>
                <w:rFonts w:cs="宋体"/>
                <w:sz w:val="20"/>
                <w:szCs w:val="20"/>
              </w:rPr>
              <w:t>公开单位：</w:t>
            </w:r>
            <w:r>
              <w:rPr>
                <w:sz w:val="20"/>
                <w:u w:color="auto"/>
              </w:rPr>
              <w:t>重庆市荣昌区古昌镇综合行政执法大队</w:t>
            </w:r>
          </w:p>
        </w:tc>
        <w:tc>
          <w:tcPr>
            <w:tcW w:w="655"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2"/>
                <w:szCs w:val="22"/>
              </w:rPr>
            </w:pPr>
          </w:p>
        </w:tc>
        <w:tc>
          <w:tcPr>
            <w:tcW w:w="156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111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79"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61.53</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46.10</w:t>
            </w: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二、外交支出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三、国防支出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五、事业收入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五、教育支出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六、经营收入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八、其他收入</w:t>
            </w:r>
          </w:p>
        </w:tc>
        <w:tc>
          <w:tcPr>
            <w:tcW w:w="655" w:type="pct"/>
            <w:tcBorders>
              <w:top w:val="nil"/>
              <w:left w:val="nil"/>
              <w:bottom w:val="nil"/>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8.42</w:t>
            </w: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3.85</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十六、金融支出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3.16</w:t>
            </w: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61.53</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61.53</w:t>
            </w: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结余分配</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61.53</w:t>
            </w:r>
            <w:r>
              <w:rPr>
                <w:color w:val="000000"/>
                <w:sz w:val="20"/>
                <w:u w:color="auto"/>
              </w:rPr>
              <w:t xml:space="preserve"> </w:t>
            </w:r>
          </w:p>
        </w:tc>
        <w:tc>
          <w:tcPr>
            <w:tcW w:w="156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61.53</w:t>
            </w:r>
            <w:r>
              <w:rPr>
                <w:color w:val="000000"/>
                <w:sz w:val="20"/>
                <w:u w:color="auto"/>
              </w:rPr>
              <w:t xml:space="preserve"> </w:t>
            </w:r>
          </w:p>
        </w:tc>
      </w:tr>
    </w:tbl>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shd w:val="clear" w:color="auto" w:fill="auto"/>
        <w:tblLayout w:type="fixed"/>
        <w:tblCellMar>
          <w:top w:w="0" w:type="dxa"/>
          <w:left w:w="0" w:type="dxa"/>
          <w:bottom w:w="0" w:type="dxa"/>
          <w:right w:w="0" w:type="dxa"/>
        </w:tblCellMar>
      </w:tblPr>
      <w:tblGrid>
        <w:gridCol w:w="1196"/>
        <w:gridCol w:w="2228"/>
        <w:gridCol w:w="866"/>
        <w:gridCol w:w="866"/>
        <w:gridCol w:w="866"/>
        <w:gridCol w:w="866"/>
        <w:gridCol w:w="960"/>
        <w:gridCol w:w="918"/>
        <w:gridCol w:w="1011"/>
        <w:gridCol w:w="1026"/>
      </w:tblGrid>
      <w:tr>
        <w:tblPrEx>
          <w:shd w:val="clear" w:color="auto" w:fill="auto"/>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shd w:val="clear" w:color="auto" w:fill="auto"/>
          <w:tblCellMar>
            <w:top w:w="0" w:type="dxa"/>
            <w:left w:w="0" w:type="dxa"/>
            <w:bottom w:w="0" w:type="dxa"/>
            <w:right w:w="0" w:type="dxa"/>
          </w:tblCellMar>
        </w:tblPrEx>
        <w:trPr>
          <w:trHeight w:val="328" w:hRule="atLeast"/>
        </w:trPr>
        <w:tc>
          <w:tcPr>
            <w:tcW w:w="1584"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sz w:val="20"/>
                <w:u w:color="auto"/>
              </w:rPr>
              <w:t>重庆市荣昌区古昌镇综合行政执法大队</w:t>
            </w:r>
          </w:p>
        </w:tc>
        <w:tc>
          <w:tcPr>
            <w:tcW w:w="40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shd w:val="clear" w:color="auto" w:fill="auto"/>
          <w:tblCellMar>
            <w:top w:w="0" w:type="dxa"/>
            <w:left w:w="0" w:type="dxa"/>
            <w:bottom w:w="0" w:type="dxa"/>
            <w:right w:w="0" w:type="dxa"/>
          </w:tblCellMar>
        </w:tblPrEx>
        <w:trPr>
          <w:trHeight w:val="328" w:hRule="atLeast"/>
        </w:trPr>
        <w:tc>
          <w:tcPr>
            <w:tcW w:w="1584"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shd w:val="clear" w:color="auto" w:fill="auto"/>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61.53</w:t>
            </w:r>
            <w:r>
              <w:rPr>
                <w:b/>
                <w:color w:val="000000"/>
                <w:sz w:val="20"/>
                <w:u w:color="auto"/>
              </w:rPr>
              <w:t xml:space="preserve"> </w:t>
            </w:r>
          </w:p>
        </w:tc>
        <w:tc>
          <w:tcPr>
            <w:tcW w:w="4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61.53</w:t>
            </w:r>
            <w:r>
              <w:rPr>
                <w:b/>
                <w:color w:val="000000"/>
                <w:sz w:val="20"/>
                <w:u w:color="auto"/>
              </w:rPr>
              <w:t xml:space="preserve"> </w:t>
            </w:r>
          </w:p>
        </w:tc>
        <w:tc>
          <w:tcPr>
            <w:tcW w:w="4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46.10</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46.10</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46.10</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46.10</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46.10</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46.10</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8.42</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8.42</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8.42</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8.42</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5.61</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5.61</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2.81</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2.81</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3.85</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3.85</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3.85</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3.85</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2.73</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2.73</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1.12</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1.12</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3.16</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3.16</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3.16</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3.16</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3.16</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3.16</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shd w:val="clear" w:color="auto" w:fill="auto"/>
        <w:tblLayout w:type="autofit"/>
        <w:tblCellMar>
          <w:top w:w="0" w:type="dxa"/>
          <w:left w:w="0" w:type="dxa"/>
          <w:bottom w:w="0" w:type="dxa"/>
          <w:right w:w="0" w:type="dxa"/>
        </w:tblCellMar>
      </w:tblPr>
      <w:tblGrid>
        <w:gridCol w:w="1637"/>
        <w:gridCol w:w="3230"/>
        <w:gridCol w:w="985"/>
        <w:gridCol w:w="985"/>
        <w:gridCol w:w="986"/>
        <w:gridCol w:w="975"/>
        <w:gridCol w:w="975"/>
        <w:gridCol w:w="1030"/>
      </w:tblGrid>
      <w:tr>
        <w:tblPrEx>
          <w:shd w:val="clear" w:color="auto" w:fill="auto"/>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shd w:val="clear" w:color="auto" w:fill="auto"/>
          <w:tblCellMar>
            <w:top w:w="0" w:type="dxa"/>
            <w:left w:w="0" w:type="dxa"/>
            <w:bottom w:w="0" w:type="dxa"/>
            <w:right w:w="0" w:type="dxa"/>
          </w:tblCellMar>
        </w:tblPrEx>
        <w:trPr>
          <w:trHeight w:val="342" w:hRule="atLeast"/>
        </w:trPr>
        <w:tc>
          <w:tcPr>
            <w:tcW w:w="1677"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 xml:space="preserve">重庆市荣昌区古昌镇综合行政执法大队 </w:t>
            </w: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shd w:val="clear" w:color="auto" w:fill="auto"/>
          <w:tblCellMar>
            <w:top w:w="0" w:type="dxa"/>
            <w:left w:w="0" w:type="dxa"/>
            <w:bottom w:w="0" w:type="dxa"/>
            <w:right w:w="0" w:type="dxa"/>
          </w:tblCellMar>
        </w:tblPrEx>
        <w:trPr>
          <w:trHeight w:val="342" w:hRule="atLeast"/>
        </w:trPr>
        <w:tc>
          <w:tcPr>
            <w:tcW w:w="1677"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shd w:val="clear" w:color="auto" w:fill="auto"/>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9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9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9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9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61.53</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61.53</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46.10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46.10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46.10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46.10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46.10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46.10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5.61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5.61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3.16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3.16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3.16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3.16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3.16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3.16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shd w:val="clear" w:color="auto" w:fill="auto"/>
        <w:tblLayout w:type="autofit"/>
        <w:tblCellMar>
          <w:top w:w="0" w:type="dxa"/>
          <w:left w:w="0" w:type="dxa"/>
          <w:bottom w:w="0" w:type="dxa"/>
          <w:right w:w="0" w:type="dxa"/>
        </w:tblCellMar>
      </w:tblPr>
      <w:tblGrid>
        <w:gridCol w:w="2995"/>
        <w:gridCol w:w="1535"/>
        <w:gridCol w:w="2730"/>
        <w:gridCol w:w="686"/>
        <w:gridCol w:w="686"/>
        <w:gridCol w:w="687"/>
        <w:gridCol w:w="1030"/>
      </w:tblGrid>
      <w:tr>
        <w:tblPrEx>
          <w:shd w:val="clear" w:color="auto" w:fill="auto"/>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shd w:val="clear" w:color="auto" w:fill="auto"/>
          <w:tblCellMar>
            <w:top w:w="0" w:type="dxa"/>
            <w:left w:w="0" w:type="dxa"/>
            <w:bottom w:w="0" w:type="dxa"/>
            <w:right w:w="0" w:type="dxa"/>
          </w:tblCellMar>
        </w:tblPrEx>
        <w:trPr>
          <w:trHeight w:val="90" w:hRule="atLeast"/>
        </w:trPr>
        <w:tc>
          <w:tcPr>
            <w:tcW w:w="1529" w:type="pct"/>
            <w:gridSpan w:val="2"/>
            <w:vMerge w:val="restart"/>
            <w:tcBorders>
              <w:top w:val="nil"/>
              <w:left w:val="nil"/>
              <w:right w:val="nil"/>
            </w:tcBorders>
            <w:shd w:val="clear" w:color="auto" w:fill="auto"/>
            <w:noWrap/>
            <w:tcMar>
              <w:top w:w="15" w:type="dxa"/>
              <w:left w:w="15" w:type="dxa"/>
              <w:right w:w="15" w:type="dxa"/>
            </w:tcMar>
            <w:vAlign w:val="bottom"/>
          </w:tcPr>
          <w:p>
            <w:pPr>
              <w:spacing w:line="24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重庆市荣昌区古昌镇综合行政执法大队</w:t>
            </w:r>
          </w:p>
        </w:tc>
        <w:tc>
          <w:tcPr>
            <w:tcW w:w="108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blPrEx>
          <w:shd w:val="clear" w:color="auto" w:fill="auto"/>
          <w:tblCellMar>
            <w:top w:w="0" w:type="dxa"/>
            <w:left w:w="0" w:type="dxa"/>
            <w:bottom w:w="0" w:type="dxa"/>
            <w:right w:w="0" w:type="dxa"/>
          </w:tblCellMar>
        </w:tblPrEx>
        <w:trPr>
          <w:trHeight w:val="90" w:hRule="atLeast"/>
        </w:trPr>
        <w:tc>
          <w:tcPr>
            <w:tcW w:w="1529" w:type="pct"/>
            <w:gridSpan w:val="2"/>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shd w:val="clear" w:color="auto" w:fill="auto"/>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7"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shd w:val="clear" w:color="auto" w:fill="auto"/>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61.53</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46.10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46.10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8.42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8.42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3.85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3.85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3.16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3.16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61.53</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61.53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61.53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61.53</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61.53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61.53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shd w:val="clear" w:color="auto" w:fill="auto"/>
        <w:tblLayout w:type="autofit"/>
        <w:tblCellMar>
          <w:top w:w="0" w:type="dxa"/>
          <w:left w:w="0" w:type="dxa"/>
          <w:bottom w:w="0" w:type="dxa"/>
          <w:right w:w="0" w:type="dxa"/>
        </w:tblCellMar>
      </w:tblPr>
      <w:tblGrid>
        <w:gridCol w:w="1556"/>
        <w:gridCol w:w="3230"/>
        <w:gridCol w:w="2002"/>
        <w:gridCol w:w="2002"/>
        <w:gridCol w:w="2013"/>
      </w:tblGrid>
      <w:tr>
        <w:tblPrEx>
          <w:shd w:val="clear" w:color="auto" w:fill="auto"/>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shd w:val="clear" w:color="auto" w:fill="auto"/>
          <w:tblCellMar>
            <w:top w:w="0" w:type="dxa"/>
            <w:left w:w="0" w:type="dxa"/>
            <w:bottom w:w="0" w:type="dxa"/>
            <w:right w:w="0" w:type="dxa"/>
          </w:tblCellMar>
        </w:tblPrEx>
        <w:trPr>
          <w:trHeight w:val="255" w:hRule="atLeast"/>
        </w:trPr>
        <w:tc>
          <w:tcPr>
            <w:tcW w:w="1758"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重庆市荣昌区古昌镇综合行政执法大队</w:t>
            </w: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blPrEx>
          <w:shd w:val="clear" w:color="auto" w:fill="auto"/>
          <w:tblCellMar>
            <w:top w:w="0" w:type="dxa"/>
            <w:left w:w="0" w:type="dxa"/>
            <w:bottom w:w="0" w:type="dxa"/>
            <w:right w:w="0" w:type="dxa"/>
          </w:tblCellMar>
        </w:tblPrEx>
        <w:trPr>
          <w:trHeight w:val="285" w:hRule="atLeast"/>
        </w:trPr>
        <w:tc>
          <w:tcPr>
            <w:tcW w:w="1758"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1"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shd w:val="clear" w:color="auto" w:fill="auto"/>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shd w:val="clear" w:color="auto" w:fill="auto"/>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61.53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61.53</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46.10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46.10</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46.10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46.10</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46.10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46.10</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8.42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8.42</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8.42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8.42</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5.61</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5.61</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2.81</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2.81</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3.85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3.85</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3.85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3.85</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2.73</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2.73</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1.12</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3.16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3.16</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3.16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3.16</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3.16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3.16</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shd w:val="clear" w:color="auto" w:fill="auto"/>
        <w:tblLayout w:type="fixed"/>
        <w:tblCellMar>
          <w:top w:w="0" w:type="dxa"/>
          <w:left w:w="0" w:type="dxa"/>
          <w:bottom w:w="0" w:type="dxa"/>
          <w:right w:w="0" w:type="dxa"/>
        </w:tblCellMar>
      </w:tblPr>
      <w:tblGrid>
        <w:gridCol w:w="425"/>
        <w:gridCol w:w="1925"/>
        <w:gridCol w:w="967"/>
        <w:gridCol w:w="587"/>
        <w:gridCol w:w="1351"/>
        <w:gridCol w:w="1163"/>
        <w:gridCol w:w="568"/>
        <w:gridCol w:w="2478"/>
        <w:gridCol w:w="1327"/>
      </w:tblGrid>
      <w:tr>
        <w:tblPrEx>
          <w:shd w:val="clear" w:color="auto" w:fill="auto"/>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shd w:val="clear" w:color="auto" w:fill="auto"/>
          <w:tblCellMar>
            <w:top w:w="0" w:type="dxa"/>
            <w:left w:w="0" w:type="dxa"/>
            <w:bottom w:w="0" w:type="dxa"/>
            <w:right w:w="0" w:type="dxa"/>
          </w:tblCellMar>
        </w:tblPrEx>
        <w:trPr>
          <w:trHeight w:val="90" w:hRule="atLeast"/>
        </w:trPr>
        <w:tc>
          <w:tcPr>
            <w:tcW w:w="1089" w:type="pct"/>
            <w:gridSpan w:val="2"/>
            <w:vMerge w:val="restart"/>
            <w:tcBorders>
              <w:top w:val="nil"/>
              <w:left w:val="nil"/>
              <w:right w:val="nil"/>
            </w:tcBorders>
            <w:shd w:val="clear" w:color="auto" w:fill="auto"/>
            <w:noWrap/>
            <w:tcMar>
              <w:top w:w="15" w:type="dxa"/>
              <w:left w:w="15" w:type="dxa"/>
              <w:right w:w="15" w:type="dxa"/>
            </w:tcMar>
            <w:vAlign w:val="bottom"/>
          </w:tcPr>
          <w:p>
            <w:pPr>
              <w:spacing w:line="24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重庆市荣昌区古昌镇综合行政执法大队</w:t>
            </w:r>
          </w:p>
        </w:tc>
        <w:tc>
          <w:tcPr>
            <w:tcW w:w="4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shd w:val="clear" w:color="auto" w:fill="auto"/>
          <w:tblCellMar>
            <w:top w:w="0" w:type="dxa"/>
            <w:left w:w="0" w:type="dxa"/>
            <w:bottom w:w="0" w:type="dxa"/>
            <w:right w:w="0" w:type="dxa"/>
          </w:tblCellMar>
        </w:tblPrEx>
        <w:trPr>
          <w:trHeight w:val="90" w:hRule="atLeast"/>
        </w:trPr>
        <w:tc>
          <w:tcPr>
            <w:tcW w:w="1089" w:type="pct"/>
            <w:gridSpan w:val="2"/>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2"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shd w:val="clear" w:color="auto" w:fill="auto"/>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14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1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61.02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0.52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资本性支出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12.59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0.14</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2.07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29.98</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0.03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5.61</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0.03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2.81</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2.73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0.75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3.16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0.64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0.69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对企业补助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0.32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shd w:val="clear" w:color="auto" w:fill="auto"/>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cs="宋体"/>
                <w:color w:val="000000"/>
                <w:sz w:val="18"/>
                <w:szCs w:val="18"/>
              </w:rPr>
            </w:pPr>
            <w:r>
              <w:rPr>
                <w:rFonts w:cs="宋体"/>
                <w:color w:val="000000"/>
                <w:sz w:val="18"/>
                <w:szCs w:val="18"/>
              </w:rPr>
              <w:t>61.02</w:t>
            </w:r>
            <w:r>
              <w:rPr>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0.52</w:t>
            </w:r>
            <w:r>
              <w:rPr>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shd w:val="clear" w:color="auto" w:fill="auto"/>
        <w:tblLayout w:type="autofit"/>
        <w:tblCellMar>
          <w:top w:w="0" w:type="dxa"/>
          <w:left w:w="0" w:type="dxa"/>
          <w:bottom w:w="0" w:type="dxa"/>
          <w:right w:w="0" w:type="dxa"/>
        </w:tblCellMar>
      </w:tblPr>
      <w:tblGrid>
        <w:gridCol w:w="1700"/>
        <w:gridCol w:w="2830"/>
        <w:gridCol w:w="1022"/>
        <w:gridCol w:w="1022"/>
        <w:gridCol w:w="1023"/>
        <w:gridCol w:w="1023"/>
        <w:gridCol w:w="1069"/>
        <w:gridCol w:w="1114"/>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shd w:val="clear" w:color="auto" w:fill="auto"/>
          <w:tblCellMar>
            <w:top w:w="0" w:type="dxa"/>
            <w:left w:w="0" w:type="dxa"/>
            <w:bottom w:w="0" w:type="dxa"/>
            <w:right w:w="0" w:type="dxa"/>
          </w:tblCellMar>
        </w:tblPrEx>
        <w:trPr>
          <w:trHeight w:val="329"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重庆市荣昌区古昌镇综合行政执法大队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shd w:val="clear" w:color="auto" w:fill="auto"/>
          <w:tblCellMar>
            <w:top w:w="0" w:type="dxa"/>
            <w:left w:w="0" w:type="dxa"/>
            <w:bottom w:w="0" w:type="dxa"/>
            <w:right w:w="0" w:type="dxa"/>
          </w:tblCellMar>
        </w:tblPrEx>
        <w:trPr>
          <w:trHeight w:val="329"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shd w:val="clear" w:color="auto" w:fill="auto"/>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shd w:val="clear" w:color="auto" w:fill="auto"/>
        <w:tblLayout w:type="autofit"/>
        <w:tblCellMar>
          <w:top w:w="0" w:type="dxa"/>
          <w:left w:w="0" w:type="dxa"/>
          <w:bottom w:w="0" w:type="dxa"/>
          <w:right w:w="0" w:type="dxa"/>
        </w:tblCellMar>
      </w:tblPr>
      <w:tblGrid>
        <w:gridCol w:w="1725"/>
        <w:gridCol w:w="2805"/>
        <w:gridCol w:w="2089"/>
        <w:gridCol w:w="71"/>
        <w:gridCol w:w="2087"/>
        <w:gridCol w:w="28"/>
        <w:gridCol w:w="1998"/>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重庆市荣昌区古昌镇综合行政执法大队</w:t>
            </w:r>
          </w:p>
        </w:tc>
        <w:tc>
          <w:tcPr>
            <w:tcW w:w="106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shd w:val="clear" w:color="auto" w:fill="auto"/>
          <w:tblCellMar>
            <w:top w:w="0" w:type="dxa"/>
            <w:left w:w="0" w:type="dxa"/>
            <w:bottom w:w="0" w:type="dxa"/>
            <w:right w:w="0" w:type="dxa"/>
          </w:tblCellMar>
        </w:tblPrEx>
        <w:trPr>
          <w:trHeight w:val="332"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6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shd w:val="clear" w:color="auto" w:fill="auto"/>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9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0"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shd w:val="clear" w:color="auto" w:fill="auto"/>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5000" w:type="pct"/>
        <w:tblInd w:w="0" w:type="dxa"/>
        <w:shd w:val="clear" w:color="auto" w:fill="auto"/>
        <w:tblLayout w:type="fixed"/>
        <w:tblCellMar>
          <w:top w:w="0" w:type="dxa"/>
          <w:left w:w="0" w:type="dxa"/>
          <w:bottom w:w="0" w:type="dxa"/>
          <w:right w:w="0" w:type="dxa"/>
        </w:tblCellMar>
      </w:tblPr>
      <w:tblGrid>
        <w:gridCol w:w="2927"/>
        <w:gridCol w:w="1571"/>
        <w:gridCol w:w="1534"/>
        <w:gridCol w:w="3274"/>
        <w:gridCol w:w="1497"/>
      </w:tblGrid>
      <w:tr>
        <w:tblPrEx>
          <w:tblCellMar>
            <w:top w:w="0" w:type="dxa"/>
            <w:left w:w="0" w:type="dxa"/>
            <w:bottom w:w="0" w:type="dxa"/>
            <w:right w:w="0" w:type="dxa"/>
          </w:tblCellMar>
        </w:tblPrEx>
        <w:trPr>
          <w:trHeight w:val="175"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tblPrEx>
          <w:shd w:val="clear" w:color="auto" w:fill="auto"/>
          <w:tblCellMar>
            <w:top w:w="0" w:type="dxa"/>
            <w:left w:w="0" w:type="dxa"/>
            <w:bottom w:w="0" w:type="dxa"/>
            <w:right w:w="0" w:type="dxa"/>
          </w:tblCellMar>
        </w:tblPrEx>
        <w:trPr>
          <w:trHeight w:val="175" w:hRule="atLeast"/>
        </w:trPr>
        <w:tc>
          <w:tcPr>
            <w:tcW w:w="1355" w:type="pct"/>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72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center"/>
              <w:rPr>
                <w:rFonts w:hint="default" w:cs="宋体"/>
                <w:color w:val="000000"/>
                <w:sz w:val="20"/>
                <w:szCs w:val="20"/>
              </w:rPr>
            </w:pPr>
          </w:p>
        </w:tc>
        <w:tc>
          <w:tcPr>
            <w:tcW w:w="710"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sz w:val="20"/>
                <w:szCs w:val="20"/>
              </w:rPr>
            </w:pPr>
          </w:p>
        </w:tc>
        <w:tc>
          <w:tcPr>
            <w:tcW w:w="1515" w:type="pct"/>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69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公开09表</w:t>
            </w:r>
          </w:p>
        </w:tc>
      </w:tr>
      <w:tr>
        <w:tblPrEx>
          <w:shd w:val="clear" w:color="auto" w:fill="auto"/>
          <w:tblCellMar>
            <w:top w:w="0" w:type="dxa"/>
            <w:left w:w="0" w:type="dxa"/>
            <w:bottom w:w="0" w:type="dxa"/>
            <w:right w:w="0" w:type="dxa"/>
          </w:tblCellMar>
        </w:tblPrEx>
        <w:trPr>
          <w:trHeight w:val="175" w:hRule="atLeast"/>
        </w:trPr>
        <w:tc>
          <w:tcPr>
            <w:tcW w:w="1355"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textAlignment w:val="bottom"/>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重庆市荣昌区古昌镇综合行政执法大队</w:t>
            </w:r>
          </w:p>
        </w:tc>
        <w:tc>
          <w:tcPr>
            <w:tcW w:w="727"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center"/>
              <w:rPr>
                <w:rFonts w:hint="default" w:cs="宋体"/>
                <w:color w:val="000000"/>
                <w:sz w:val="20"/>
                <w:szCs w:val="20"/>
              </w:rPr>
            </w:pPr>
          </w:p>
        </w:tc>
        <w:tc>
          <w:tcPr>
            <w:tcW w:w="71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sz w:val="20"/>
                <w:szCs w:val="20"/>
              </w:rPr>
            </w:pPr>
          </w:p>
        </w:tc>
        <w:tc>
          <w:tcPr>
            <w:tcW w:w="1515"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693"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184"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  目</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预算数</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  目</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shd w:val="clear" w:color="auto" w:fill="auto"/>
          <w:tblCellMar>
            <w:top w:w="0" w:type="dxa"/>
            <w:left w:w="0" w:type="dxa"/>
            <w:bottom w:w="0" w:type="dxa"/>
            <w:right w:w="0" w:type="dxa"/>
          </w:tblCellMar>
        </w:tblPrEx>
        <w:trPr>
          <w:trHeight w:val="184"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一、“三公”经费支出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四、机关运行经费</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（一）支出合计</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（一）行政单位</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1．因公出国（境）费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（二）参照公务员法管理事业单位</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2．公务用车购置及运行维护费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五、资产信息</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（1）公务用车购置费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（一）车辆数合计（辆）</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（2）公务用车运行维护费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1．副部（省）级及以上领导用车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3．公务接待费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2．主要领导干部用车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（1）国内接待费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3．机要通信用车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4．应急保障用车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（2）国（境）外接待费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5．执法执勤用车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（二）相关统计数</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6．特种专业技术用车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1．因公出国（境）团组数（个）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7．离退休干部用车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2．因公出国（境）人次数（人）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8．其他用车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3．公务用车购置数（辆）</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（二）单价100万元（含）以上设备（不含车辆）</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4．公务用车保有量（辆）</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六、政府采购支出信息</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5．国内公务接待批次（个）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（一）政府采购支出合计</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1．政府采购货物支出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6．国内公务接待人次（人）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2．政府采购工程支出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3．政府采购服务支出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7．国（境）外公务接待批次（个）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（二）政府采购授予中小企业合同金额</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8．国（境）外公务接待人次（人）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其中：授予小微企业合同金额</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69"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二、会议费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rPr>
                <w:rFonts w:hint="default" w:cs="宋体"/>
                <w:color w:val="000000"/>
                <w:sz w:val="20"/>
                <w:szCs w:val="20"/>
              </w:rPr>
            </w:pPr>
          </w:p>
        </w:tc>
      </w:tr>
      <w:tr>
        <w:tblPrEx>
          <w:shd w:val="clear" w:color="auto" w:fill="auto"/>
          <w:tblCellMar>
            <w:top w:w="0" w:type="dxa"/>
            <w:left w:w="0" w:type="dxa"/>
            <w:bottom w:w="0" w:type="dxa"/>
            <w:right w:w="0" w:type="dxa"/>
          </w:tblCellMar>
        </w:tblPrEx>
        <w:trPr>
          <w:trHeight w:val="244"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三、培训费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rPr>
                <w:rFonts w:hint="default" w:cs="宋体"/>
                <w:color w:val="000000"/>
                <w:sz w:val="20"/>
                <w:szCs w:val="20"/>
              </w:rPr>
            </w:pPr>
          </w:p>
        </w:tc>
      </w:tr>
    </w:tbl>
    <w:p>
      <w:pPr>
        <w:rPr>
          <w:rFonts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3" w:type="default"/>
      <w:footerReference r:id="rId4" w:type="default"/>
      <w:pgSz w:w="11907" w:h="16839"/>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lmZTcxMGE3Y2MxMjg4OTIwNDFlNGRmMmY5MDk0YjEifQ=="/>
  </w:docVars>
  <w:rsids>
    <w:rsidRoot w:val="00B03CCD"/>
    <w:rsid w:val="002B254B"/>
    <w:rsid w:val="00550ABE"/>
    <w:rsid w:val="00770383"/>
    <w:rsid w:val="007819D4"/>
    <w:rsid w:val="007B419D"/>
    <w:rsid w:val="007E064E"/>
    <w:rsid w:val="009B67B8"/>
    <w:rsid w:val="009D2B67"/>
    <w:rsid w:val="00B03CCD"/>
    <w:rsid w:val="00C20C3E"/>
    <w:rsid w:val="00F73F90"/>
    <w:rsid w:val="01474EBF"/>
    <w:rsid w:val="018061A6"/>
    <w:rsid w:val="01F3521E"/>
    <w:rsid w:val="02846772"/>
    <w:rsid w:val="03B87EA0"/>
    <w:rsid w:val="03E3214F"/>
    <w:rsid w:val="044C50BA"/>
    <w:rsid w:val="05BC6D49"/>
    <w:rsid w:val="05EF2CE1"/>
    <w:rsid w:val="06194FF1"/>
    <w:rsid w:val="06A2550B"/>
    <w:rsid w:val="06F80EE2"/>
    <w:rsid w:val="07001CCA"/>
    <w:rsid w:val="075678DB"/>
    <w:rsid w:val="079D7CC7"/>
    <w:rsid w:val="08051BCA"/>
    <w:rsid w:val="085E0942"/>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E9901E3"/>
    <w:rsid w:val="0F836721"/>
    <w:rsid w:val="0FA25D96"/>
    <w:rsid w:val="0FC26431"/>
    <w:rsid w:val="107B59E5"/>
    <w:rsid w:val="108D73F6"/>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E142200"/>
    <w:rsid w:val="2F5D5ACE"/>
    <w:rsid w:val="2FCA4B37"/>
    <w:rsid w:val="2FE029D7"/>
    <w:rsid w:val="2FF06E00"/>
    <w:rsid w:val="304A3045"/>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503319"/>
    <w:rsid w:val="3B6F6EE0"/>
    <w:rsid w:val="3C566AD6"/>
    <w:rsid w:val="3C594871"/>
    <w:rsid w:val="3C6A5B02"/>
    <w:rsid w:val="3D2757A1"/>
    <w:rsid w:val="3D3D4FC4"/>
    <w:rsid w:val="3DDF3AB1"/>
    <w:rsid w:val="3E1D0952"/>
    <w:rsid w:val="3E42660A"/>
    <w:rsid w:val="3E7555B1"/>
    <w:rsid w:val="3E787ED9"/>
    <w:rsid w:val="3EA346E0"/>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0D2F84"/>
    <w:rsid w:val="45CB699A"/>
    <w:rsid w:val="465B470D"/>
    <w:rsid w:val="469D6AD4"/>
    <w:rsid w:val="471E6C84"/>
    <w:rsid w:val="472947BA"/>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4F802D99"/>
    <w:rsid w:val="50F06B6E"/>
    <w:rsid w:val="51D21804"/>
    <w:rsid w:val="52234D33"/>
    <w:rsid w:val="522F6E0C"/>
    <w:rsid w:val="52463BA1"/>
    <w:rsid w:val="52F163D4"/>
    <w:rsid w:val="531A2DB4"/>
    <w:rsid w:val="53C0244D"/>
    <w:rsid w:val="53DD4D4E"/>
    <w:rsid w:val="53E578CE"/>
    <w:rsid w:val="541330F0"/>
    <w:rsid w:val="54272666"/>
    <w:rsid w:val="543B029D"/>
    <w:rsid w:val="54861779"/>
    <w:rsid w:val="54C4247A"/>
    <w:rsid w:val="552256E1"/>
    <w:rsid w:val="554E5773"/>
    <w:rsid w:val="555A3CBC"/>
    <w:rsid w:val="5582012B"/>
    <w:rsid w:val="558E4E05"/>
    <w:rsid w:val="55BE2E85"/>
    <w:rsid w:val="56530F5D"/>
    <w:rsid w:val="567700D3"/>
    <w:rsid w:val="56FF7E9E"/>
    <w:rsid w:val="578867FC"/>
    <w:rsid w:val="5842572D"/>
    <w:rsid w:val="5A3B59D6"/>
    <w:rsid w:val="5AD134D8"/>
    <w:rsid w:val="5B29115C"/>
    <w:rsid w:val="5C263CE4"/>
    <w:rsid w:val="5C5D2777"/>
    <w:rsid w:val="5CF66BF3"/>
    <w:rsid w:val="5D290C69"/>
    <w:rsid w:val="5DC10EBB"/>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622DDE"/>
    <w:rsid w:val="67924660"/>
    <w:rsid w:val="68407834"/>
    <w:rsid w:val="6883293E"/>
    <w:rsid w:val="688412AD"/>
    <w:rsid w:val="68EB1B71"/>
    <w:rsid w:val="6A6C7940"/>
    <w:rsid w:val="6AAD2300"/>
    <w:rsid w:val="6B474EF5"/>
    <w:rsid w:val="6BA22659"/>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3E55FC5"/>
    <w:rsid w:val="750837F0"/>
    <w:rsid w:val="754758CF"/>
    <w:rsid w:val="764F62AB"/>
    <w:rsid w:val="765C45EC"/>
    <w:rsid w:val="768A7619"/>
    <w:rsid w:val="772E1EBA"/>
    <w:rsid w:val="781926BC"/>
    <w:rsid w:val="796B2AB7"/>
    <w:rsid w:val="796D60A4"/>
    <w:rsid w:val="79A031D5"/>
    <w:rsid w:val="7A1525F7"/>
    <w:rsid w:val="7B420052"/>
    <w:rsid w:val="7BD06A28"/>
    <w:rsid w:val="7C3A7C0B"/>
    <w:rsid w:val="7C5248E4"/>
    <w:rsid w:val="7C566698"/>
    <w:rsid w:val="7C5866A3"/>
    <w:rsid w:val="7D5A6186"/>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7977</Words>
  <Characters>9358</Characters>
  <Lines>190</Lines>
  <Paragraphs>53</Paragraphs>
  <TotalTime>5</TotalTime>
  <ScaleCrop>false</ScaleCrop>
  <LinksUpToDate>false</LinksUpToDate>
  <CharactersWithSpaces>10375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2024-09-29T07:22:00Z</cp:lastPrinted>
  <dcterms:modified xsi:type="dcterms:W3CDTF">2024-12-04T02:58:23Z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BB46EABDBB2749749395447164B066B3_12</vt:lpwstr>
  </property>
</Properties>
</file>