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重庆市荣昌区古昌镇劳动就业和社会保障服务所</w:t>
      </w:r>
      <w:r>
        <w:rPr>
          <w:rFonts w:ascii="方正小标宋_GBK" w:hAnsi="方正小标宋_GBK" w:eastAsia="方正小标宋_GBK" w:cs="方正小标宋_GBK"/>
          <w:sz w:val="36"/>
          <w:szCs w:val="36"/>
          <w:shd w:val="clear" w:color="auto" w:fill="FFFFFF"/>
        </w:rPr>
        <w:t>2023年度决算公开说明</w:t>
      </w:r>
    </w:p>
    <w:p>
      <w:pPr>
        <w:pStyle w:val="6"/>
        <w:shd w:val="clear" w:color="auto" w:fill="FFFFFF"/>
        <w:textAlignment w:val="top"/>
        <w:rPr>
          <w:rFonts w:hint="default"/>
          <w:sz w:val="27"/>
          <w:szCs w:val="27"/>
          <w:shd w:val="clear" w:color="auto" w:fill="FFFF00"/>
        </w:rPr>
      </w:pPr>
    </w:p>
    <w:p>
      <w:pPr>
        <w:pStyle w:val="7"/>
        <w:shd w:val="clear" w:color="auto" w:fill="FFFFFF"/>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7"/>
        <w:shd w:val="clear" w:color="auto" w:fill="FFFFFF"/>
        <w:ind w:firstLine="420"/>
        <w:rPr>
          <w:rFonts w:hint="eastAsia" w:ascii="仿宋_GB2312" w:hAnsi="仿宋_GB2312" w:eastAsia="仿宋_GB2312" w:cs="仿宋_GB2312"/>
          <w:color w:val="auto"/>
          <w:kern w:val="0"/>
          <w:sz w:val="32"/>
          <w:szCs w:val="24"/>
          <w:lang w:val="en-US" w:eastAsia="zh-CN" w:bidi="ar"/>
        </w:rPr>
      </w:pPr>
      <w:r>
        <w:rPr>
          <w:rFonts w:hint="eastAsia" w:ascii="仿宋_GB2312" w:hAnsi="仿宋_GB2312" w:eastAsia="仿宋_GB2312" w:cs="仿宋_GB2312"/>
          <w:color w:val="auto"/>
          <w:kern w:val="0"/>
          <w:sz w:val="32"/>
          <w:szCs w:val="24"/>
          <w:lang w:val="en-US" w:eastAsia="zh-CN" w:bidi="ar"/>
        </w:rPr>
        <w:t>本单位为镇政府管理的正科级全额拨款事业单位(公益一类)。宗旨:为辖区劳动就业和社会保障提供服务。主要职责:承担就业、再就业、农村富余劳动力转移、劳动和社会保障、社会救助等方面的事务性服务工作。</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outlineLvl w:val="9"/>
      </w:pPr>
      <w:r>
        <w:rPr>
          <w:rFonts w:hint="eastAsia" w:ascii="仿宋_GB2312" w:hAnsi="仿宋_GB2312" w:eastAsia="仿宋_GB2312" w:cs="仿宋_GB2312"/>
          <w:color w:val="auto"/>
          <w:kern w:val="0"/>
          <w:sz w:val="32"/>
          <w:szCs w:val="24"/>
          <w:lang w:val="en-US" w:eastAsia="zh-CN" w:bidi="ar"/>
        </w:rPr>
        <w:t>从预算单位构成看，纳入本部门2023年度决算编制的二级预算单位主要包括重庆市荣昌区古昌镇劳动就业和社会保障服务所。</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2023年度收入总计54.85万元，支出总计</w:t>
      </w:r>
      <w:r>
        <w:rPr>
          <w:rFonts w:ascii="方正仿宋_GBK" w:hAnsi="方正仿宋_GBK" w:eastAsia="方正仿宋_GBK" w:cs="方正仿宋_GBK"/>
          <w:sz w:val="32"/>
          <w:szCs w:val="32"/>
        </w:rPr>
        <w:t>54.85</w:t>
      </w:r>
      <w:r>
        <w:rPr>
          <w:rFonts w:ascii="方正仿宋_GBK" w:hAnsi="方正仿宋_GBK" w:eastAsia="方正仿宋_GBK" w:cs="方正仿宋_GBK"/>
          <w:sz w:val="32"/>
          <w:szCs w:val="32"/>
          <w:shd w:val="clear" w:color="auto" w:fill="FFFFFF"/>
        </w:rPr>
        <w:t>万元。收支较上年决算数增加11.05万元，增长25.23%，主要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相关</w:t>
      </w:r>
      <w:r>
        <w:rPr>
          <w:rFonts w:hint="eastAsia" w:ascii="方正仿宋_GBK" w:hAnsi="方正仿宋_GBK" w:eastAsia="方正仿宋_GBK" w:cs="方正仿宋_GBK"/>
          <w:sz w:val="32"/>
          <w:szCs w:val="32"/>
          <w:shd w:val="clear" w:color="auto" w:fill="FFFFFF"/>
          <w:lang w:val="en-US" w:eastAsia="zh-CN"/>
        </w:rPr>
        <w:t>政策</w:t>
      </w:r>
      <w:r>
        <w:rPr>
          <w:rFonts w:hint="eastAsia" w:ascii="方正仿宋_GBK" w:hAnsi="方正仿宋_GBK" w:eastAsia="方正仿宋_GBK" w:cs="方正仿宋_GBK"/>
          <w:sz w:val="32"/>
          <w:szCs w:val="32"/>
          <w:shd w:val="clear" w:color="auto" w:fill="FFFFFF"/>
        </w:rPr>
        <w:t>文件调整，</w:t>
      </w:r>
      <w:r>
        <w:rPr>
          <w:rFonts w:hint="eastAsia" w:ascii="方正仿宋_GBK" w:hAnsi="方正仿宋_GBK" w:eastAsia="方正仿宋_GBK" w:cs="方正仿宋_GBK"/>
          <w:sz w:val="32"/>
          <w:szCs w:val="32"/>
          <w:shd w:val="clear" w:color="auto" w:fill="FFFFFF"/>
          <w:lang w:val="en-US" w:eastAsia="zh-CN"/>
        </w:rPr>
        <w:t>社保基数、工资有所变化，</w:t>
      </w:r>
      <w:r>
        <w:rPr>
          <w:rFonts w:hint="eastAsia" w:ascii="方正仿宋_GBK" w:hAnsi="方正仿宋_GBK" w:eastAsia="方正仿宋_GBK" w:cs="方正仿宋_GBK"/>
          <w:sz w:val="32"/>
          <w:szCs w:val="32"/>
          <w:shd w:val="clear" w:color="auto" w:fill="FFFFFF"/>
        </w:rPr>
        <w:t>本年收入</w:t>
      </w:r>
      <w:r>
        <w:rPr>
          <w:rFonts w:hint="eastAsia" w:ascii="方正仿宋_GBK" w:hAnsi="方正仿宋_GBK" w:eastAsia="方正仿宋_GBK" w:cs="方正仿宋_GBK"/>
          <w:sz w:val="32"/>
          <w:szCs w:val="32"/>
          <w:shd w:val="clear" w:color="auto" w:fill="FFFFFF"/>
          <w:lang w:val="en-US" w:eastAsia="zh-CN"/>
        </w:rPr>
        <w:t>支出</w:t>
      </w:r>
      <w:r>
        <w:rPr>
          <w:rFonts w:hint="eastAsia" w:ascii="方正仿宋_GBK" w:hAnsi="方正仿宋_GBK" w:eastAsia="方正仿宋_GBK" w:cs="方正仿宋_GBK"/>
          <w:sz w:val="32"/>
          <w:szCs w:val="32"/>
          <w:shd w:val="clear" w:color="auto" w:fill="FFFFFF"/>
        </w:rPr>
        <w:t>较上年增加</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2023年度收入合计54.85万元，较上年决算数增加11.05万元，增长25.23%，主要</w:t>
      </w:r>
      <w:bookmarkStart w:id="0" w:name="_GoBack"/>
      <w:bookmarkEnd w:id="0"/>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相关</w:t>
      </w:r>
      <w:r>
        <w:rPr>
          <w:rFonts w:hint="eastAsia" w:ascii="方正仿宋_GBK" w:hAnsi="方正仿宋_GBK" w:eastAsia="方正仿宋_GBK" w:cs="方正仿宋_GBK"/>
          <w:sz w:val="32"/>
          <w:szCs w:val="32"/>
          <w:shd w:val="clear" w:color="auto" w:fill="FFFFFF"/>
          <w:lang w:val="en-US" w:eastAsia="zh-CN"/>
        </w:rPr>
        <w:t>政策</w:t>
      </w:r>
      <w:r>
        <w:rPr>
          <w:rFonts w:hint="eastAsia" w:ascii="方正仿宋_GBK" w:hAnsi="方正仿宋_GBK" w:eastAsia="方正仿宋_GBK" w:cs="方正仿宋_GBK"/>
          <w:sz w:val="32"/>
          <w:szCs w:val="32"/>
          <w:shd w:val="clear" w:color="auto" w:fill="FFFFFF"/>
        </w:rPr>
        <w:t>文件调整，</w:t>
      </w:r>
      <w:r>
        <w:rPr>
          <w:rFonts w:hint="eastAsia" w:ascii="方正仿宋_GBK" w:hAnsi="方正仿宋_GBK" w:eastAsia="方正仿宋_GBK" w:cs="方正仿宋_GBK"/>
          <w:sz w:val="32"/>
          <w:szCs w:val="32"/>
          <w:shd w:val="clear" w:color="auto" w:fill="FFFFFF"/>
          <w:lang w:val="en-US" w:eastAsia="zh-CN"/>
        </w:rPr>
        <w:t>社保基数、工资有所变化，财政拨款收入增加，</w:t>
      </w:r>
      <w:r>
        <w:rPr>
          <w:rFonts w:hint="eastAsia" w:ascii="方正仿宋_GBK" w:hAnsi="方正仿宋_GBK" w:eastAsia="方正仿宋_GBK" w:cs="方正仿宋_GBK"/>
          <w:sz w:val="32"/>
          <w:szCs w:val="32"/>
          <w:shd w:val="clear" w:color="auto" w:fill="FFFFFF"/>
        </w:rPr>
        <w:t>本年收入</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54.85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54.85</w:t>
      </w:r>
      <w:r>
        <w:rPr>
          <w:rFonts w:ascii="方正仿宋_GBK" w:hAnsi="方正仿宋_GBK" w:eastAsia="方正仿宋_GBK" w:cs="方正仿宋_GBK"/>
          <w:sz w:val="32"/>
          <w:szCs w:val="32"/>
          <w:shd w:val="clear" w:color="auto" w:fill="FFFFFF"/>
        </w:rPr>
        <w:t>万元，较上年决算数增加11.05万元，增长25.23%，主要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相关</w:t>
      </w:r>
      <w:r>
        <w:rPr>
          <w:rFonts w:hint="eastAsia" w:ascii="方正仿宋_GBK" w:hAnsi="方正仿宋_GBK" w:eastAsia="方正仿宋_GBK" w:cs="方正仿宋_GBK"/>
          <w:sz w:val="32"/>
          <w:szCs w:val="32"/>
          <w:shd w:val="clear" w:color="auto" w:fill="FFFFFF"/>
          <w:lang w:val="en-US" w:eastAsia="zh-CN"/>
        </w:rPr>
        <w:t>政策</w:t>
      </w:r>
      <w:r>
        <w:rPr>
          <w:rFonts w:hint="eastAsia" w:ascii="方正仿宋_GBK" w:hAnsi="方正仿宋_GBK" w:eastAsia="方正仿宋_GBK" w:cs="方正仿宋_GBK"/>
          <w:sz w:val="32"/>
          <w:szCs w:val="32"/>
          <w:shd w:val="clear" w:color="auto" w:fill="FFFFFF"/>
        </w:rPr>
        <w:t>文件调整，</w:t>
      </w:r>
      <w:r>
        <w:rPr>
          <w:rFonts w:hint="eastAsia" w:ascii="方正仿宋_GBK" w:hAnsi="方正仿宋_GBK" w:eastAsia="方正仿宋_GBK" w:cs="方正仿宋_GBK"/>
          <w:sz w:val="32"/>
          <w:szCs w:val="32"/>
          <w:shd w:val="clear" w:color="auto" w:fill="FFFFFF"/>
          <w:lang w:val="en-US" w:eastAsia="zh-CN"/>
        </w:rPr>
        <w:t>社保、公积金基数及工资有所变化，财政拨款支出增加，</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val="en-US" w:eastAsia="zh-CN"/>
        </w:rPr>
        <w:t>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54.85</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2023年度财政拨款收、支总计54.85万元。与2022年相比，财政拨款收、支总计各增加11.05万元，增长25.23%。主要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相关</w:t>
      </w:r>
      <w:r>
        <w:rPr>
          <w:rFonts w:hint="eastAsia" w:ascii="方正仿宋_GBK" w:hAnsi="方正仿宋_GBK" w:eastAsia="方正仿宋_GBK" w:cs="方正仿宋_GBK"/>
          <w:sz w:val="32"/>
          <w:szCs w:val="32"/>
          <w:shd w:val="clear" w:color="auto" w:fill="FFFFFF"/>
          <w:lang w:val="en-US" w:eastAsia="zh-CN"/>
        </w:rPr>
        <w:t>政策</w:t>
      </w:r>
      <w:r>
        <w:rPr>
          <w:rFonts w:hint="eastAsia" w:ascii="方正仿宋_GBK" w:hAnsi="方正仿宋_GBK" w:eastAsia="方正仿宋_GBK" w:cs="方正仿宋_GBK"/>
          <w:sz w:val="32"/>
          <w:szCs w:val="32"/>
          <w:shd w:val="clear" w:color="auto" w:fill="FFFFFF"/>
        </w:rPr>
        <w:t>文件调整，</w:t>
      </w:r>
      <w:r>
        <w:rPr>
          <w:rFonts w:hint="eastAsia" w:ascii="方正仿宋_GBK" w:hAnsi="方正仿宋_GBK" w:eastAsia="方正仿宋_GBK" w:cs="方正仿宋_GBK"/>
          <w:sz w:val="32"/>
          <w:szCs w:val="32"/>
          <w:shd w:val="clear" w:color="auto" w:fill="FFFFFF"/>
          <w:lang w:val="en-US" w:eastAsia="zh-CN"/>
        </w:rPr>
        <w:t>社保、公积金基数及工资有所变化，财政拨款支出增加。</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keepNext w:val="0"/>
        <w:keepLines w:val="0"/>
        <w:pageBreakBefore w:val="0"/>
        <w:kinsoku/>
        <w:wordWrap/>
        <w:overflowPunct/>
        <w:topLinePunct w:val="0"/>
        <w:autoSpaceDE/>
        <w:autoSpaceDN/>
        <w:bidi w:val="0"/>
        <w:adjustRightInd/>
        <w:snapToGrid/>
        <w:spacing w:afterAutospacing="0" w:line="600" w:lineRule="exact"/>
        <w:ind w:firstLine="643" w:firstLineChars="200"/>
        <w:outlineLvl w:val="9"/>
        <w:rPr>
          <w:rFonts w:hint="eastAsia" w:ascii="仿宋_GB2312" w:hAnsi="仿宋_GB2312" w:eastAsia="仿宋_GB2312" w:cs="仿宋_GB2312"/>
          <w:color w:val="auto"/>
          <w:kern w:val="0"/>
          <w:sz w:val="32"/>
          <w:szCs w:val="24"/>
          <w:lang w:val="en-US" w:eastAsia="zh-CN" w:bidi="ar"/>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54.85</w:t>
      </w:r>
      <w:r>
        <w:rPr>
          <w:rFonts w:ascii="方正仿宋_GBK" w:hAnsi="方正仿宋_GBK" w:eastAsia="方正仿宋_GBK" w:cs="方正仿宋_GBK"/>
          <w:sz w:val="32"/>
          <w:szCs w:val="32"/>
          <w:shd w:val="clear" w:color="auto" w:fill="FFFFFF"/>
        </w:rPr>
        <w:t>万元，较上年决算数增加11.05万元，增长25.23%。主要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相关</w:t>
      </w:r>
      <w:r>
        <w:rPr>
          <w:rFonts w:hint="eastAsia" w:ascii="方正仿宋_GBK" w:hAnsi="方正仿宋_GBK" w:eastAsia="方正仿宋_GBK" w:cs="方正仿宋_GBK"/>
          <w:sz w:val="32"/>
          <w:szCs w:val="32"/>
          <w:shd w:val="clear" w:color="auto" w:fill="FFFFFF"/>
          <w:lang w:val="en-US" w:eastAsia="zh-CN"/>
        </w:rPr>
        <w:t>政策</w:t>
      </w:r>
      <w:r>
        <w:rPr>
          <w:rFonts w:hint="eastAsia" w:ascii="方正仿宋_GBK" w:hAnsi="方正仿宋_GBK" w:eastAsia="方正仿宋_GBK" w:cs="方正仿宋_GBK"/>
          <w:sz w:val="32"/>
          <w:szCs w:val="32"/>
          <w:shd w:val="clear" w:color="auto" w:fill="FFFFFF"/>
        </w:rPr>
        <w:t>文件调整，</w:t>
      </w:r>
      <w:r>
        <w:rPr>
          <w:rFonts w:hint="eastAsia" w:ascii="方正仿宋_GBK" w:hAnsi="方正仿宋_GBK" w:eastAsia="方正仿宋_GBK" w:cs="方正仿宋_GBK"/>
          <w:sz w:val="32"/>
          <w:szCs w:val="32"/>
          <w:shd w:val="clear" w:color="auto" w:fill="FFFFFF"/>
          <w:lang w:val="en-US" w:eastAsia="zh-CN"/>
        </w:rPr>
        <w:t>社保、公积金基数及工资有所变化，财政拨款支出增加。</w:t>
      </w:r>
      <w:r>
        <w:rPr>
          <w:rFonts w:ascii="方正仿宋_GBK" w:hAnsi="方正仿宋_GBK" w:eastAsia="方正仿宋_GBK" w:cs="方正仿宋_GBK"/>
          <w:sz w:val="32"/>
          <w:szCs w:val="32"/>
          <w:shd w:val="clear" w:color="auto" w:fill="FFFFFF"/>
        </w:rPr>
        <w:t>较年初预算数减少7.61万元，下降12.18%。</w:t>
      </w:r>
      <w:r>
        <w:rPr>
          <w:rFonts w:hint="eastAsia" w:ascii="仿宋_GB2312" w:hAnsi="仿宋_GB2312" w:eastAsia="仿宋_GB2312" w:cs="仿宋_GB2312"/>
          <w:color w:val="auto"/>
          <w:kern w:val="0"/>
          <w:sz w:val="32"/>
          <w:szCs w:val="24"/>
          <w:lang w:val="en-US" w:eastAsia="zh-CN" w:bidi="ar"/>
        </w:rPr>
        <w:t>主要原因：</w:t>
      </w:r>
      <w:r>
        <w:rPr>
          <w:rFonts w:hint="eastAsia" w:ascii="仿宋_GB2312" w:hAnsi="仿宋_GB2312" w:eastAsia="仿宋_GB2312" w:cs="仿宋_GB2312"/>
          <w:color w:val="auto"/>
          <w:sz w:val="32"/>
          <w:lang w:val="en-US" w:eastAsia="zh-CN"/>
        </w:rPr>
        <w:t>一是2023年对社保及公积金基数进行了调整，故职工基本医疗保险（事业）、工伤保险（事业）、在职大额医疗互助金、失业保险（事业）、基本养老保险和住房公积金实际支出与年初预算数不一致；二是鼓励公休，未足额发放应休未休年休假补贴；三是压减公用经费开支。</w:t>
      </w:r>
      <w:r>
        <w:rPr>
          <w:rFonts w:hint="eastAsia" w:ascii="仿宋_GB2312" w:hAnsi="仿宋_GB2312" w:eastAsia="仿宋_GB2312" w:cs="仿宋_GB2312"/>
          <w:color w:val="auto"/>
          <w:kern w:val="0"/>
          <w:sz w:val="32"/>
          <w:szCs w:val="24"/>
          <w:lang w:val="en-US" w:eastAsia="zh-CN" w:bidi="ar"/>
        </w:rPr>
        <w:t>此外，年初财政拨款结转和结余0.00万元。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54.85</w:t>
      </w:r>
      <w:r>
        <w:rPr>
          <w:rFonts w:ascii="方正仿宋_GBK" w:hAnsi="方正仿宋_GBK" w:eastAsia="方正仿宋_GBK" w:cs="方正仿宋_GBK"/>
          <w:sz w:val="32"/>
          <w:szCs w:val="32"/>
          <w:shd w:val="clear" w:color="auto" w:fill="FFFFFF"/>
        </w:rPr>
        <w:t>万元，较上年决算数增加11.05万元，增长25.23%。主要原因是主要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相关</w:t>
      </w:r>
      <w:r>
        <w:rPr>
          <w:rFonts w:hint="eastAsia" w:ascii="方正仿宋_GBK" w:hAnsi="方正仿宋_GBK" w:eastAsia="方正仿宋_GBK" w:cs="方正仿宋_GBK"/>
          <w:sz w:val="32"/>
          <w:szCs w:val="32"/>
          <w:shd w:val="clear" w:color="auto" w:fill="FFFFFF"/>
          <w:lang w:val="en-US" w:eastAsia="zh-CN"/>
        </w:rPr>
        <w:t>政策</w:t>
      </w:r>
      <w:r>
        <w:rPr>
          <w:rFonts w:hint="eastAsia" w:ascii="方正仿宋_GBK" w:hAnsi="方正仿宋_GBK" w:eastAsia="方正仿宋_GBK" w:cs="方正仿宋_GBK"/>
          <w:sz w:val="32"/>
          <w:szCs w:val="32"/>
          <w:shd w:val="clear" w:color="auto" w:fill="FFFFFF"/>
        </w:rPr>
        <w:t>文件调整，</w:t>
      </w:r>
      <w:r>
        <w:rPr>
          <w:rFonts w:hint="eastAsia" w:ascii="方正仿宋_GBK" w:hAnsi="方正仿宋_GBK" w:eastAsia="方正仿宋_GBK" w:cs="方正仿宋_GBK"/>
          <w:sz w:val="32"/>
          <w:szCs w:val="32"/>
          <w:shd w:val="clear" w:color="auto" w:fill="FFFFFF"/>
          <w:lang w:val="en-US" w:eastAsia="zh-CN"/>
        </w:rPr>
        <w:t>社保、公积金基数及工资有所变化。</w:t>
      </w:r>
      <w:r>
        <w:rPr>
          <w:rFonts w:ascii="方正仿宋_GBK" w:hAnsi="方正仿宋_GBK" w:eastAsia="方正仿宋_GBK" w:cs="方正仿宋_GBK"/>
          <w:sz w:val="32"/>
          <w:szCs w:val="32"/>
          <w:shd w:val="clear" w:color="auto" w:fill="FFFFFF"/>
        </w:rPr>
        <w:t>较年初预算数减少7.61万元，下降12.18%。</w:t>
      </w:r>
      <w:r>
        <w:rPr>
          <w:rFonts w:hint="eastAsia" w:ascii="仿宋_GB2312" w:hAnsi="仿宋_GB2312" w:eastAsia="仿宋_GB2312" w:cs="仿宋_GB2312"/>
          <w:color w:val="auto"/>
          <w:kern w:val="0"/>
          <w:sz w:val="32"/>
          <w:szCs w:val="24"/>
          <w:lang w:val="en-US" w:eastAsia="zh-CN" w:bidi="ar"/>
        </w:rPr>
        <w:t>主要原因：</w:t>
      </w:r>
      <w:r>
        <w:rPr>
          <w:rFonts w:hint="eastAsia" w:ascii="仿宋_GB2312" w:hAnsi="仿宋_GB2312" w:eastAsia="仿宋_GB2312" w:cs="仿宋_GB2312"/>
          <w:color w:val="auto"/>
          <w:sz w:val="32"/>
          <w:lang w:val="en-US" w:eastAsia="zh-CN"/>
        </w:rPr>
        <w:t>一是2023年对社保及公积金基数进行了调整，故职工基本医疗保险（事业）、工伤保险（事业）、在职大额医疗互助金、失业保险（事业）、基本养老保险和住房公积金实际支出与年初预算数不一致；二是鼓励公休，未足额发放应休未休年休假补贴；三是压减公用经费开支。</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eastAsia" w:ascii="方正仿宋_GBK" w:hAnsi="方正仿宋_GBK" w:eastAsia="方正仿宋_GBK" w:cs="方正仿宋_GBK"/>
          <w:sz w:val="32"/>
          <w:szCs w:val="32"/>
          <w:shd w:val="clear" w:color="auto" w:fill="FFFFFF"/>
          <w:lang w:val="en-US" w:eastAsia="zh-CN"/>
        </w:rPr>
        <w:t>本年与上年</w:t>
      </w:r>
      <w:r>
        <w:rPr>
          <w:rFonts w:ascii="方正仿宋_GBK" w:hAnsi="方正仿宋_GBK" w:eastAsia="方正仿宋_GBK" w:cs="方正仿宋_GBK"/>
          <w:sz w:val="32"/>
          <w:szCs w:val="32"/>
          <w:shd w:val="clear" w:color="auto" w:fill="FFFFFF"/>
        </w:rPr>
        <w:t>一般公共预算财政拨款</w:t>
      </w:r>
      <w:r>
        <w:rPr>
          <w:rFonts w:hint="eastAsia" w:ascii="方正仿宋_GBK" w:hAnsi="方正仿宋_GBK" w:eastAsia="方正仿宋_GBK" w:cs="方正仿宋_GBK"/>
          <w:sz w:val="32"/>
          <w:szCs w:val="32"/>
          <w:shd w:val="clear" w:color="auto" w:fill="FFFFFF"/>
          <w:lang w:val="en-US" w:eastAsia="zh-CN"/>
        </w:rPr>
        <w:t>均无结转结余</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49.14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89.58</w:t>
      </w:r>
      <w:r>
        <w:rPr>
          <w:rFonts w:ascii="方正仿宋_GBK" w:hAnsi="方正仿宋_GBK" w:eastAsia="方正仿宋_GBK" w:cs="方正仿宋_GBK"/>
          <w:sz w:val="32"/>
          <w:szCs w:val="32"/>
          <w:shd w:val="clear" w:color="auto" w:fill="FFFFFF"/>
        </w:rPr>
        <w:t>%，较年初预算数减少7.47万元，下降13.20%，主要原因</w:t>
      </w:r>
      <w:r>
        <w:rPr>
          <w:rFonts w:hint="eastAsia" w:ascii="方正仿宋_GBK" w:hAnsi="方正仿宋_GBK" w:eastAsia="方正仿宋_GBK" w:cs="方正仿宋_GBK"/>
          <w:sz w:val="32"/>
          <w:szCs w:val="32"/>
          <w:shd w:val="clear" w:color="auto" w:fill="FFFFFF"/>
        </w:rPr>
        <w:t>是202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年对社保基数进行了调整，故职工基本医疗保险（事业）、工伤保险（事业）、在职大额医疗互助金、失业保险（事业）、基本养老保险的实际支出与年初预算数不一致</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5.08</w:t>
      </w:r>
      <w:r>
        <w:rPr>
          <w:rFonts w:ascii="方正仿宋_GBK" w:hAnsi="方正仿宋_GBK" w:eastAsia="方正仿宋_GBK" w:cs="方正仿宋_GBK"/>
          <w:sz w:val="32"/>
          <w:szCs w:val="32"/>
          <w:shd w:val="clear" w:color="auto" w:fill="FFFFFF"/>
        </w:rPr>
        <w:t>%，较年初预算数减少0.13万元，下降4.45%，主要原因是</w:t>
      </w:r>
      <w:r>
        <w:rPr>
          <w:rFonts w:hint="eastAsia" w:ascii="仿宋_GB2312" w:hAnsi="仿宋_GB2312" w:eastAsia="仿宋_GB2312" w:cs="仿宋_GB2312"/>
          <w:color w:val="auto"/>
          <w:kern w:val="0"/>
          <w:sz w:val="32"/>
          <w:szCs w:val="24"/>
          <w:lang w:val="en-US" w:eastAsia="zh-CN" w:bidi="ar"/>
        </w:rPr>
        <w:t>年初预算不精准，合理误差。</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5.34</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val="en-US" w:eastAsia="zh-CN"/>
        </w:rPr>
        <w:t>年初预算准确，公积金支出无变化</w:t>
      </w:r>
      <w:r>
        <w:rPr>
          <w:rFonts w:ascii="方正仿宋_GBK" w:hAnsi="方正仿宋_GBK" w:eastAsia="方正仿宋_GBK" w:cs="方正仿宋_GBK"/>
          <w:sz w:val="32"/>
          <w:szCs w:val="32"/>
          <w:shd w:val="clear" w:color="auto" w:fill="FFFFFF"/>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54.85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54.17</w:t>
      </w:r>
      <w:r>
        <w:rPr>
          <w:rFonts w:ascii="方正仿宋_GBK" w:hAnsi="方正仿宋_GBK" w:eastAsia="方正仿宋_GBK" w:cs="方正仿宋_GBK"/>
          <w:sz w:val="32"/>
          <w:szCs w:val="32"/>
          <w:shd w:val="clear" w:color="auto" w:fill="FFFFFF"/>
        </w:rPr>
        <w:t>万元，较上年决算数增加10.37万元，增长23.68%，主要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相关</w:t>
      </w:r>
      <w:r>
        <w:rPr>
          <w:rFonts w:hint="eastAsia" w:ascii="方正仿宋_GBK" w:hAnsi="方正仿宋_GBK" w:eastAsia="方正仿宋_GBK" w:cs="方正仿宋_GBK"/>
          <w:sz w:val="32"/>
          <w:szCs w:val="32"/>
          <w:shd w:val="clear" w:color="auto" w:fill="FFFFFF"/>
          <w:lang w:val="en-US" w:eastAsia="zh-CN"/>
        </w:rPr>
        <w:t>政策</w:t>
      </w:r>
      <w:r>
        <w:rPr>
          <w:rFonts w:hint="eastAsia" w:ascii="方正仿宋_GBK" w:hAnsi="方正仿宋_GBK" w:eastAsia="方正仿宋_GBK" w:cs="方正仿宋_GBK"/>
          <w:sz w:val="32"/>
          <w:szCs w:val="32"/>
          <w:shd w:val="clear" w:color="auto" w:fill="FFFFFF"/>
        </w:rPr>
        <w:t>文件调整，</w:t>
      </w:r>
      <w:r>
        <w:rPr>
          <w:rFonts w:hint="eastAsia" w:ascii="方正仿宋_GBK" w:hAnsi="方正仿宋_GBK" w:eastAsia="方正仿宋_GBK" w:cs="方正仿宋_GBK"/>
          <w:sz w:val="32"/>
          <w:szCs w:val="32"/>
          <w:shd w:val="clear" w:color="auto" w:fill="FFFFFF"/>
          <w:lang w:val="en-US" w:eastAsia="zh-CN"/>
        </w:rPr>
        <w:t>社保、公积金基数及工资有所变化。</w:t>
      </w:r>
      <w:r>
        <w:rPr>
          <w:rFonts w:hint="eastAsia" w:ascii="仿宋_GB2312" w:hAnsi="仿宋_GB2312" w:eastAsia="仿宋_GB2312" w:cs="仿宋_GB2312"/>
          <w:color w:val="auto"/>
          <w:kern w:val="0"/>
          <w:sz w:val="32"/>
          <w:szCs w:val="24"/>
          <w:lang w:val="en-US" w:eastAsia="zh-CN" w:bidi="ar"/>
        </w:rPr>
        <w:t>人员经费用途主要包括在职人员基本工资、绩效工资、津贴补贴、各项奖金、社会保障缴费以及部分离退休人员经费支出等。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0.69</w:t>
      </w:r>
      <w:r>
        <w:rPr>
          <w:rFonts w:ascii="方正仿宋_GBK" w:hAnsi="方正仿宋_GBK" w:eastAsia="方正仿宋_GBK" w:cs="方正仿宋_GBK"/>
          <w:sz w:val="32"/>
          <w:szCs w:val="32"/>
          <w:shd w:val="clear" w:color="auto" w:fill="FFFFFF"/>
        </w:rPr>
        <w:t>万元，较上年决算数增加0.69万元，增长100.00%，主要原因是</w:t>
      </w:r>
      <w:r>
        <w:rPr>
          <w:rFonts w:hint="eastAsia" w:ascii="方正仿宋_GBK" w:hAnsi="方正仿宋_GBK" w:eastAsia="方正仿宋_GBK" w:cs="方正仿宋_GBK"/>
          <w:sz w:val="32"/>
          <w:szCs w:val="32"/>
          <w:shd w:val="clear" w:color="auto" w:fill="FFFFFF"/>
          <w:lang w:val="en-US" w:eastAsia="zh-CN"/>
        </w:rPr>
        <w:t>上年单位无公用经费支出，本年增加公用经费及退休人员公用经费。</w:t>
      </w:r>
      <w:r>
        <w:rPr>
          <w:rFonts w:hint="eastAsia" w:ascii="仿宋_GB2312" w:hAnsi="仿宋_GB2312" w:eastAsia="仿宋_GB2312" w:cs="仿宋_GB2312"/>
          <w:color w:val="auto"/>
          <w:kern w:val="0"/>
          <w:sz w:val="32"/>
          <w:szCs w:val="24"/>
          <w:lang w:val="en-US" w:eastAsia="zh-CN" w:bidi="ar"/>
        </w:rPr>
        <w:t>公用经费用途主要包括办公费、印刷费、咨询费、水电费、邮电费、差旅费、会议费、公务接待费、劳务费、公务用车运行维护费、其他商品和服务支出等费用支出。</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仿宋_GB2312" w:hAnsi="仿宋_GB2312" w:eastAsia="仿宋_GB2312" w:cs="仿宋_GB2312"/>
          <w:color w:val="auto"/>
          <w:kern w:val="0"/>
          <w:sz w:val="32"/>
          <w:szCs w:val="24"/>
          <w:lang w:val="en-US" w:eastAsia="zh-CN" w:bidi="ar"/>
        </w:rPr>
      </w:pPr>
      <w:r>
        <w:rPr>
          <w:rFonts w:hint="eastAsia" w:ascii="仿宋_GB2312" w:hAnsi="仿宋_GB2312" w:eastAsia="仿宋_GB2312" w:cs="仿宋_GB2312"/>
          <w:color w:val="auto"/>
          <w:kern w:val="0"/>
          <w:sz w:val="32"/>
          <w:szCs w:val="24"/>
          <w:lang w:val="en-US" w:eastAsia="zh-CN" w:bidi="ar"/>
        </w:rPr>
        <w:t>本单位2023年度无政府性基金预算财政拨款收支。</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仿宋_GB2312" w:hAnsi="仿宋_GB2312" w:eastAsia="仿宋_GB2312" w:cs="仿宋_GB2312"/>
          <w:color w:val="auto"/>
          <w:kern w:val="0"/>
          <w:sz w:val="32"/>
          <w:szCs w:val="24"/>
          <w:lang w:val="en-US" w:eastAsia="zh-CN" w:bidi="ar"/>
        </w:rPr>
      </w:pPr>
      <w:r>
        <w:rPr>
          <w:rFonts w:hint="eastAsia" w:ascii="仿宋_GB2312" w:hAnsi="仿宋_GB2312" w:eastAsia="仿宋_GB2312" w:cs="仿宋_GB2312"/>
          <w:color w:val="auto"/>
          <w:kern w:val="0"/>
          <w:sz w:val="32"/>
          <w:szCs w:val="24"/>
          <w:lang w:val="en-US" w:eastAsia="zh-CN" w:bidi="ar"/>
        </w:rPr>
        <w:t>本单位2023年度无国有资本经营预算财政拨款支出。</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本单位本年度无</w:t>
      </w:r>
      <w:r>
        <w:rPr>
          <w:rFonts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val="en-US" w:eastAsia="zh-CN"/>
        </w:rPr>
        <w:t>本单位本年度与上年度均无</w:t>
      </w:r>
      <w:r>
        <w:rPr>
          <w:rFonts w:ascii="方正仿宋_GBK" w:hAnsi="方正仿宋_GBK" w:eastAsia="方正仿宋_GBK" w:cs="方正仿宋_GBK"/>
          <w:sz w:val="32"/>
          <w:szCs w:val="32"/>
          <w:shd w:val="clear" w:color="auto" w:fill="FFFFFF"/>
        </w:rPr>
        <w:t>三公”经费支出</w:t>
      </w:r>
      <w:r>
        <w:rPr>
          <w:rFonts w:hint="eastAsia" w:ascii="方正仿宋_GBK" w:hAnsi="方正仿宋_GBK" w:eastAsia="方正仿宋_GBK" w:cs="方正仿宋_GBK"/>
          <w:sz w:val="32"/>
          <w:szCs w:val="32"/>
          <w:shd w:val="clear" w:color="auto" w:fill="FFFFFF"/>
          <w:lang w:eastAsia="zh-CN"/>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keepNext w:val="0"/>
        <w:keepLines w:val="0"/>
        <w:pageBreakBefore w:val="0"/>
        <w:kinsoku/>
        <w:wordWrap/>
        <w:overflowPunct/>
        <w:topLinePunct w:val="0"/>
        <w:autoSpaceDE/>
        <w:autoSpaceDN/>
        <w:bidi w:val="0"/>
        <w:adjustRightInd/>
        <w:snapToGrid/>
        <w:spacing w:afterAutospacing="0" w:line="600" w:lineRule="exact"/>
        <w:ind w:firstLine="640" w:firstLineChars="200"/>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万元，费用支出0，较上年支出数无增减，主要原因是</w:t>
      </w:r>
      <w:r>
        <w:rPr>
          <w:rFonts w:hint="eastAsia" w:ascii="仿宋_GB2312" w:hAnsi="仿宋_GB2312" w:eastAsia="仿宋_GB2312" w:cs="仿宋_GB2312"/>
          <w:color w:val="auto"/>
          <w:kern w:val="0"/>
          <w:sz w:val="32"/>
          <w:szCs w:val="24"/>
          <w:lang w:val="en-US" w:eastAsia="zh-CN" w:bidi="ar"/>
        </w:rPr>
        <w:t>主要原因是本单位2023年未发生因公出国（境）费用支出。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万元，费用支出0，较上年支出数无增减，</w:t>
      </w:r>
      <w:r>
        <w:rPr>
          <w:rFonts w:hint="eastAsia" w:ascii="仿宋_GB2312" w:hAnsi="仿宋_GB2312" w:eastAsia="仿宋_GB2312" w:cs="仿宋_GB2312"/>
          <w:color w:val="auto"/>
          <w:kern w:val="0"/>
          <w:sz w:val="32"/>
          <w:szCs w:val="24"/>
          <w:lang w:val="en-US" w:eastAsia="zh-CN" w:bidi="ar"/>
        </w:rPr>
        <w:t>本单位2023年未发生公务车购置费用支出</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万元，费用支出0，较上年支出数无增减，主要原因是</w:t>
      </w:r>
      <w:r>
        <w:rPr>
          <w:rFonts w:hint="eastAsia" w:ascii="仿宋_GB2312" w:hAnsi="仿宋_GB2312" w:eastAsia="仿宋_GB2312" w:cs="仿宋_GB2312"/>
          <w:color w:val="auto"/>
          <w:kern w:val="0"/>
          <w:sz w:val="32"/>
          <w:szCs w:val="24"/>
          <w:lang w:val="en-US" w:eastAsia="zh-CN" w:bidi="ar"/>
        </w:rPr>
        <w:t>本单位2023年未发生公务车运行维护费用支出。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仿宋_GB2312" w:hAnsi="仿宋_GB2312" w:eastAsia="仿宋_GB2312" w:cs="仿宋_GB2312"/>
          <w:color w:val="auto"/>
          <w:kern w:val="0"/>
          <w:sz w:val="32"/>
          <w:szCs w:val="24"/>
          <w:lang w:val="en-US" w:eastAsia="zh-CN" w:bidi="ar"/>
        </w:rPr>
        <w:t>本单位2023年未发生公务接待费。</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val="en-US" w:eastAsia="zh-CN"/>
        </w:rPr>
        <w:t>主要原因是</w:t>
      </w:r>
      <w:r>
        <w:rPr>
          <w:rFonts w:hint="eastAsia" w:ascii="仿宋_GB2312" w:hAnsi="仿宋_GB2312" w:eastAsia="仿宋_GB2312" w:cs="仿宋_GB2312"/>
          <w:color w:val="auto"/>
          <w:kern w:val="0"/>
          <w:sz w:val="32"/>
          <w:szCs w:val="24"/>
          <w:lang w:val="en-US" w:eastAsia="zh-CN" w:bidi="ar"/>
        </w:rPr>
        <w:t>本单位2023年未发生会议费支出。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万元，较上年决算数无变化，主要原因是</w:t>
      </w:r>
      <w:r>
        <w:rPr>
          <w:rFonts w:hint="eastAsia" w:ascii="方正仿宋_GBK" w:hAnsi="方正仿宋_GBK" w:eastAsia="方正仿宋_GBK" w:cs="方正仿宋_GBK"/>
          <w:sz w:val="32"/>
          <w:szCs w:val="32"/>
          <w:shd w:val="clear" w:color="auto" w:fill="FFFFFF"/>
          <w:lang w:val="en-US" w:eastAsia="zh-CN"/>
        </w:rPr>
        <w:t>本单位2023年未发生培训费支出</w:t>
      </w:r>
      <w:r>
        <w:rPr>
          <w:rFonts w:ascii="方正仿宋_GBK" w:hAnsi="方正仿宋_GBK" w:eastAsia="方正仿宋_GBK" w:cs="方正仿宋_GBK"/>
          <w:sz w:val="32"/>
          <w:szCs w:val="32"/>
          <w:shd w:val="clear" w:color="auto" w:fill="FFFFFF"/>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2023年度我单位未发生政府采购事项，无相关经费支出。</w:t>
      </w:r>
    </w:p>
    <w:p>
      <w:pPr>
        <w:pStyle w:val="7"/>
        <w:snapToGrid w:val="0"/>
        <w:spacing w:before="0" w:beforeAutospacing="0" w:after="0" w:afterAutospacing="0" w:line="600" w:lineRule="exact"/>
        <w:ind w:firstLine="643" w:firstLineChars="200"/>
        <w:jc w:val="both"/>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val="en-US" w:eastAsia="zh-CN"/>
        </w:rPr>
        <w:t>五、</w:t>
      </w:r>
      <w:r>
        <w:rPr>
          <w:rStyle w:val="11"/>
          <w:rFonts w:ascii="黑体" w:hAnsi="黑体" w:eastAsia="黑体" w:cs="黑体"/>
          <w:sz w:val="32"/>
          <w:szCs w:val="32"/>
          <w:shd w:val="clear" w:color="auto" w:fill="FFFFFF"/>
        </w:rPr>
        <w:t>预算绩效管理情况说明</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3"/>
        <w:autoSpaceDE w:val="0"/>
        <w:spacing w:before="0" w:beforeAutospacing="0" w:line="600" w:lineRule="exact"/>
        <w:ind w:firstLine="1280" w:firstLineChars="4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2"/>
        <w:autoSpaceDE w:val="0"/>
        <w:ind w:firstLine="1280" w:firstLineChars="4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7"/>
        <w:shd w:val="clear" w:color="auto" w:fill="FFFFFF"/>
        <w:ind w:firstLine="321" w:firstLineChars="100"/>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顾翩 023-81067061</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firstLine="640" w:firstLineChars="200"/>
        <w:jc w:val="left"/>
        <w:outlineLvl w:val="9"/>
        <w:rPr>
          <w:rFonts w:hint="eastAsia" w:ascii="仿宋_GB2312" w:hAnsi="仿宋_GB2312" w:eastAsia="仿宋_GB2312" w:cs="仿宋_GB2312"/>
          <w:color w:val="auto"/>
          <w:kern w:val="0"/>
          <w:sz w:val="32"/>
          <w:szCs w:val="24"/>
          <w:lang w:val="en-US" w:eastAsia="zh-CN" w:bidi="ar"/>
        </w:rPr>
      </w:pPr>
      <w:r>
        <w:rPr>
          <w:rFonts w:hint="eastAsia" w:ascii="仿宋_GB2312" w:hAnsi="仿宋_GB2312" w:eastAsia="仿宋_GB2312" w:cs="仿宋_GB2312"/>
          <w:color w:val="auto"/>
          <w:kern w:val="0"/>
          <w:sz w:val="32"/>
          <w:szCs w:val="24"/>
          <w:lang w:val="en-US" w:eastAsia="zh-CN" w:bidi="ar"/>
        </w:rPr>
        <w:t>附件：1.重庆市荣昌区古昌镇劳动就业和社会保障服务所2023年度部门决算公开报表</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firstLine="640" w:firstLineChars="200"/>
        <w:jc w:val="left"/>
        <w:outlineLvl w:val="9"/>
        <w:rPr>
          <w:rFonts w:hint="eastAsia" w:ascii="仿宋_GB2312" w:hAnsi="仿宋_GB2312" w:eastAsia="仿宋_GB2312" w:cs="仿宋_GB2312"/>
          <w:color w:val="auto"/>
          <w:kern w:val="0"/>
          <w:sz w:val="32"/>
          <w:szCs w:val="24"/>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firstLine="640" w:firstLineChars="200"/>
        <w:jc w:val="left"/>
        <w:outlineLvl w:val="9"/>
        <w:rPr>
          <w:rFonts w:hint="eastAsia" w:ascii="仿宋_GB2312" w:hAnsi="仿宋_GB2312" w:eastAsia="仿宋_GB2312" w:cs="仿宋_GB2312"/>
          <w:color w:val="auto"/>
          <w:kern w:val="0"/>
          <w:sz w:val="32"/>
          <w:szCs w:val="24"/>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Autospacing="0"/>
        <w:ind w:left="0" w:firstLine="640" w:firstLineChars="200"/>
        <w:jc w:val="left"/>
        <w:outlineLvl w:val="9"/>
        <w:rPr>
          <w:rFonts w:hint="eastAsia" w:ascii="仿宋_GB2312" w:hAnsi="仿宋_GB2312" w:eastAsia="仿宋_GB2312" w:cs="仿宋_GB2312"/>
          <w:color w:val="auto"/>
          <w:kern w:val="0"/>
          <w:sz w:val="32"/>
          <w:szCs w:val="24"/>
          <w:lang w:val="en-US" w:eastAsia="zh-CN" w:bidi="ar"/>
        </w:rPr>
      </w:pP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lang w:val="en-US" w:eastAsia="zh-CN"/>
        </w:rPr>
      </w:pP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lang w:val="en-US" w:eastAsia="zh-CN"/>
        </w:rPr>
      </w:pP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lang w:val="en-US" w:eastAsia="zh-CN"/>
        </w:rPr>
      </w:pP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lang w:val="en-US" w:eastAsia="zh-CN"/>
        </w:rPr>
      </w:pP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lang w:val="en-US" w:eastAsia="zh-CN"/>
        </w:rPr>
      </w:pP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lang w:val="en-US" w:eastAsia="zh-CN"/>
        </w:rPr>
      </w:pP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lang w:val="en-US" w:eastAsia="zh-CN"/>
        </w:rPr>
      </w:pP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lang w:val="en-US" w:eastAsia="zh-CN"/>
        </w:rPr>
      </w:pP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lang w:val="en-US" w:eastAsia="zh-CN"/>
        </w:rPr>
      </w:pP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lang w:val="en-US" w:eastAsia="zh-CN"/>
        </w:rPr>
      </w:pPr>
    </w:p>
    <w:p>
      <w:pPr>
        <w:pStyle w:val="7"/>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lang w:val="en-US" w:eastAsia="zh-CN"/>
        </w:rPr>
      </w:pPr>
    </w:p>
    <w:p>
      <w:pPr>
        <w:rPr>
          <w:rFonts w:hint="default" w:cs="宋体"/>
          <w:sz w:val="21"/>
          <w:szCs w:val="21"/>
        </w:rPr>
      </w:pPr>
    </w:p>
    <w:tbl>
      <w:tblPr>
        <w:tblStyle w:val="8"/>
        <w:tblW w:w="5005" w:type="pct"/>
        <w:tblInd w:w="0" w:type="dxa"/>
        <w:shd w:val="clear" w:color="auto" w:fill="auto"/>
        <w:tblLayout w:type="autofit"/>
        <w:tblCellMar>
          <w:top w:w="0" w:type="dxa"/>
          <w:left w:w="0" w:type="dxa"/>
          <w:bottom w:w="0" w:type="dxa"/>
          <w:right w:w="0" w:type="dxa"/>
        </w:tblCellMar>
      </w:tblPr>
      <w:tblGrid>
        <w:gridCol w:w="5230"/>
        <w:gridCol w:w="875"/>
        <w:gridCol w:w="3030"/>
        <w:gridCol w:w="1679"/>
      </w:tblGrid>
      <w:tr>
        <w:tblPrEx>
          <w:shd w:val="clear" w:color="auto" w:fill="auto"/>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shd w:val="clear" w:color="auto" w:fill="auto"/>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shd w:val="clear" w:color="auto" w:fill="auto"/>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公开单位：</w:t>
            </w:r>
            <w:r>
              <w:rPr>
                <w:sz w:val="20"/>
                <w:u w:color="auto"/>
              </w:rPr>
              <w:t>重庆市荣昌区古昌镇劳动就业和社会保障服务所</w:t>
            </w:r>
          </w:p>
        </w:tc>
        <w:tc>
          <w:tcPr>
            <w:tcW w:w="655"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79"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54.85</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655" w:type="pct"/>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49.14</w:t>
            </w: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2.79</w:t>
            </w: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2.93</w:t>
            </w: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54.85</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54.85</w:t>
            </w: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54.85</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54.85</w:t>
            </w:r>
            <w:r>
              <w:rPr>
                <w:color w:val="000000"/>
                <w:sz w:val="20"/>
                <w:u w:color="auto"/>
              </w:rPr>
              <w:t xml:space="preserve"> </w:t>
            </w:r>
          </w:p>
        </w:tc>
      </w:tr>
    </w:tbl>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5000" w:type="pct"/>
        <w:tblInd w:w="0" w:type="dxa"/>
        <w:shd w:val="clear" w:color="auto" w:fill="auto"/>
        <w:tblLayout w:type="fixed"/>
        <w:tblCellMar>
          <w:top w:w="0" w:type="dxa"/>
          <w:left w:w="0" w:type="dxa"/>
          <w:bottom w:w="0" w:type="dxa"/>
          <w:right w:w="0" w:type="dxa"/>
        </w:tblCellMar>
      </w:tblPr>
      <w:tblGrid>
        <w:gridCol w:w="1196"/>
        <w:gridCol w:w="2228"/>
        <w:gridCol w:w="866"/>
        <w:gridCol w:w="866"/>
        <w:gridCol w:w="866"/>
        <w:gridCol w:w="866"/>
        <w:gridCol w:w="960"/>
        <w:gridCol w:w="918"/>
        <w:gridCol w:w="1011"/>
        <w:gridCol w:w="1026"/>
      </w:tblGrid>
      <w:tr>
        <w:tblPrEx>
          <w:shd w:val="clear" w:color="auto" w:fill="auto"/>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shd w:val="clear" w:color="auto" w:fill="auto"/>
          <w:tblCellMar>
            <w:top w:w="0" w:type="dxa"/>
            <w:left w:w="0" w:type="dxa"/>
            <w:bottom w:w="0" w:type="dxa"/>
            <w:right w:w="0" w:type="dxa"/>
          </w:tblCellMar>
        </w:tblPrEx>
        <w:trPr>
          <w:trHeight w:val="328" w:hRule="atLeast"/>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sz w:val="20"/>
                <w:u w:color="auto"/>
              </w:rPr>
              <w:t>重庆市荣昌区古昌镇劳动就业和社会保障服务所</w:t>
            </w: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shd w:val="clear" w:color="auto" w:fill="auto"/>
          <w:tblCellMar>
            <w:top w:w="0" w:type="dxa"/>
            <w:left w:w="0" w:type="dxa"/>
            <w:bottom w:w="0" w:type="dxa"/>
            <w:right w:w="0" w:type="dxa"/>
          </w:tblCellMar>
        </w:tblPrEx>
        <w:trPr>
          <w:trHeight w:val="328" w:hRule="atLeast"/>
        </w:trPr>
        <w:tc>
          <w:tcPr>
            <w:tcW w:w="1584"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shd w:val="clear" w:color="auto" w:fill="auto"/>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3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3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3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3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54.85</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54.85</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49.14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49.14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39.71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39.71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39.71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39.71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9.43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9.43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0.39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0.39</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2.79</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0.83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0.83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5000" w:type="pct"/>
        <w:tblInd w:w="0" w:type="dxa"/>
        <w:shd w:val="clear" w:color="auto" w:fill="auto"/>
        <w:tblLayout w:type="autofit"/>
        <w:tblCellMar>
          <w:top w:w="0" w:type="dxa"/>
          <w:left w:w="0" w:type="dxa"/>
          <w:bottom w:w="0" w:type="dxa"/>
          <w:right w:w="0" w:type="dxa"/>
        </w:tblCellMar>
      </w:tblPr>
      <w:tblGrid>
        <w:gridCol w:w="1862"/>
        <w:gridCol w:w="3468"/>
        <w:gridCol w:w="892"/>
        <w:gridCol w:w="893"/>
        <w:gridCol w:w="893"/>
        <w:gridCol w:w="882"/>
        <w:gridCol w:w="882"/>
        <w:gridCol w:w="1031"/>
      </w:tblGrid>
      <w:tr>
        <w:tblPrEx>
          <w:shd w:val="clear" w:color="auto" w:fill="auto"/>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shd w:val="clear" w:color="auto" w:fill="auto"/>
          <w:tblCellMar>
            <w:top w:w="0" w:type="dxa"/>
            <w:left w:w="0" w:type="dxa"/>
            <w:bottom w:w="0" w:type="dxa"/>
            <w:right w:w="0" w:type="dxa"/>
          </w:tblCellMar>
        </w:tblPrEx>
        <w:trPr>
          <w:trHeight w:val="342" w:hRule="atLeast"/>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重庆市荣昌区古昌镇劳动就业和社会保障服务所 </w:t>
            </w: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shd w:val="clear" w:color="auto" w:fill="auto"/>
          <w:tblCellMar>
            <w:top w:w="0" w:type="dxa"/>
            <w:left w:w="0" w:type="dxa"/>
            <w:bottom w:w="0" w:type="dxa"/>
            <w:right w:w="0" w:type="dxa"/>
          </w:tblCellMar>
        </w:tblPrEx>
        <w:trPr>
          <w:trHeight w:val="342" w:hRule="atLeast"/>
        </w:trPr>
        <w:tc>
          <w:tcPr>
            <w:tcW w:w="167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shd w:val="clear" w:color="auto" w:fill="auto"/>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9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54.85</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54.85</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49.14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49.14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39.71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39.71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39.71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39.71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9.43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9.43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3.69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5.34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0.39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0.39</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2.79</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1.96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0.83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0.83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2.93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4790" w:type="pct"/>
        <w:tblInd w:w="0" w:type="dxa"/>
        <w:shd w:val="clear" w:color="auto" w:fill="auto"/>
        <w:tblLayout w:type="autofit"/>
        <w:tblCellMar>
          <w:top w:w="0" w:type="dxa"/>
          <w:left w:w="0" w:type="dxa"/>
          <w:bottom w:w="0" w:type="dxa"/>
          <w:right w:w="0" w:type="dxa"/>
        </w:tblCellMar>
      </w:tblPr>
      <w:tblGrid>
        <w:gridCol w:w="3524"/>
        <w:gridCol w:w="1806"/>
        <w:gridCol w:w="2730"/>
        <w:gridCol w:w="480"/>
        <w:gridCol w:w="480"/>
        <w:gridCol w:w="299"/>
        <w:gridCol w:w="1030"/>
      </w:tblGrid>
      <w:tr>
        <w:tblPrEx>
          <w:shd w:val="clear" w:color="auto" w:fill="auto"/>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shd w:val="clear" w:color="auto" w:fill="auto"/>
          <w:tblCellMar>
            <w:top w:w="0" w:type="dxa"/>
            <w:left w:w="0" w:type="dxa"/>
            <w:bottom w:w="0" w:type="dxa"/>
            <w:right w:w="0" w:type="dxa"/>
          </w:tblCellMar>
        </w:tblPrEx>
        <w:trPr>
          <w:trHeight w:val="90" w:hRule="atLeast"/>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重庆市荣昌区古昌镇劳动就业和社会保障服务所</w:t>
            </w:r>
          </w:p>
        </w:tc>
        <w:tc>
          <w:tcPr>
            <w:tcW w:w="108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shd w:val="clear" w:color="auto" w:fill="auto"/>
          <w:tblCellMar>
            <w:top w:w="0" w:type="dxa"/>
            <w:left w:w="0" w:type="dxa"/>
            <w:bottom w:w="0" w:type="dxa"/>
            <w:right w:w="0" w:type="dxa"/>
          </w:tblCellMar>
        </w:tblPrEx>
        <w:trPr>
          <w:trHeight w:val="90" w:hRule="atLeast"/>
        </w:trPr>
        <w:tc>
          <w:tcPr>
            <w:tcW w:w="1529" w:type="pct"/>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shd w:val="clear" w:color="auto" w:fill="auto"/>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7"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shd w:val="clear" w:color="auto" w:fill="auto"/>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54.85</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49.14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49.14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2.79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2.79</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54.85</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54.85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54.85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54.85</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54.85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54.85</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shd w:val="clear" w:color="auto" w:fill="auto"/>
        <w:tblLayout w:type="autofit"/>
        <w:tblCellMar>
          <w:top w:w="0" w:type="dxa"/>
          <w:left w:w="0" w:type="dxa"/>
          <w:bottom w:w="0" w:type="dxa"/>
          <w:right w:w="0" w:type="dxa"/>
        </w:tblCellMar>
      </w:tblPr>
      <w:tblGrid>
        <w:gridCol w:w="1831"/>
        <w:gridCol w:w="3499"/>
        <w:gridCol w:w="1820"/>
        <w:gridCol w:w="1821"/>
        <w:gridCol w:w="1832"/>
      </w:tblGrid>
      <w:tr>
        <w:tblPrEx>
          <w:shd w:val="clear" w:color="auto" w:fill="auto"/>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shd w:val="clear" w:color="auto" w:fill="auto"/>
          <w:tblCellMar>
            <w:top w:w="0" w:type="dxa"/>
            <w:left w:w="0" w:type="dxa"/>
            <w:bottom w:w="0" w:type="dxa"/>
            <w:right w:w="0" w:type="dxa"/>
          </w:tblCellMar>
        </w:tblPrEx>
        <w:trPr>
          <w:trHeight w:val="255" w:hRule="atLeast"/>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重庆市荣昌区古昌镇劳动就业和社会保障服务所</w:t>
            </w: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blPrEx>
          <w:shd w:val="clear" w:color="auto" w:fill="auto"/>
          <w:tblCellMar>
            <w:top w:w="0" w:type="dxa"/>
            <w:left w:w="0" w:type="dxa"/>
            <w:bottom w:w="0" w:type="dxa"/>
            <w:right w:w="0" w:type="dxa"/>
          </w:tblCellMar>
        </w:tblPrEx>
        <w:trPr>
          <w:trHeight w:val="285" w:hRule="atLeast"/>
        </w:trPr>
        <w:tc>
          <w:tcPr>
            <w:tcW w:w="1758"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1"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shd w:val="clear" w:color="auto" w:fill="auto"/>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shd w:val="clear" w:color="auto" w:fill="auto"/>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shd w:val="clear" w:color="auto" w:fill="auto"/>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54.85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54.85</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49.14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49.14</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39.71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39.71</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39.71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39.71</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9.43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9.43</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3.69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3.69</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5.34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5.34</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0.39</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0.39</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2.79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2.79</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2.79</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2.79</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1.96</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0.83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0.83</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2.93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2.93</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2.93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2.93</w:t>
            </w:r>
            <w:r>
              <w:rPr>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2.93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2.93</w:t>
            </w:r>
            <w:r>
              <w:rPr>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4994" w:type="pct"/>
        <w:tblInd w:w="0" w:type="dxa"/>
        <w:shd w:val="clear" w:color="auto" w:fill="auto"/>
        <w:tblLayout w:type="fixed"/>
        <w:tblCellMar>
          <w:top w:w="0" w:type="dxa"/>
          <w:left w:w="0" w:type="dxa"/>
          <w:bottom w:w="0" w:type="dxa"/>
          <w:right w:w="0" w:type="dxa"/>
        </w:tblCellMar>
      </w:tblPr>
      <w:tblGrid>
        <w:gridCol w:w="425"/>
        <w:gridCol w:w="1925"/>
        <w:gridCol w:w="967"/>
        <w:gridCol w:w="587"/>
        <w:gridCol w:w="1351"/>
        <w:gridCol w:w="1163"/>
        <w:gridCol w:w="568"/>
        <w:gridCol w:w="2478"/>
        <w:gridCol w:w="132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shd w:val="clear" w:color="auto" w:fill="auto"/>
          <w:tblCellMar>
            <w:top w:w="0" w:type="dxa"/>
            <w:left w:w="0" w:type="dxa"/>
            <w:bottom w:w="0" w:type="dxa"/>
            <w:right w:w="0" w:type="dxa"/>
          </w:tblCellMar>
        </w:tblPrEx>
        <w:trPr>
          <w:trHeight w:val="90" w:hRule="atLeast"/>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重庆市荣昌区古昌镇劳动就业和社会保障服务所</w:t>
            </w:r>
          </w:p>
        </w:tc>
        <w:tc>
          <w:tcPr>
            <w:tcW w:w="4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shd w:val="clear" w:color="auto" w:fill="auto"/>
          <w:tblCellMar>
            <w:top w:w="0" w:type="dxa"/>
            <w:left w:w="0" w:type="dxa"/>
            <w:bottom w:w="0" w:type="dxa"/>
            <w:right w:w="0" w:type="dxa"/>
          </w:tblCellMar>
        </w:tblPrEx>
        <w:trPr>
          <w:trHeight w:val="90" w:hRule="atLeast"/>
        </w:trPr>
        <w:tc>
          <w:tcPr>
            <w:tcW w:w="1089" w:type="pct"/>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2"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shd w:val="clear" w:color="auto" w:fill="auto"/>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shd w:val="clear" w:color="auto" w:fill="auto"/>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14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61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53.97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0.69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12.55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24.35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3.69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5.34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0.53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0.36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0.29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shd w:val="clear" w:color="auto" w:fill="auto"/>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54.17</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0.69</w:t>
            </w:r>
            <w:r>
              <w:rPr>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5000" w:type="pct"/>
        <w:tblInd w:w="0" w:type="dxa"/>
        <w:shd w:val="clear" w:color="auto" w:fill="auto"/>
        <w:tblLayout w:type="autofit"/>
        <w:tblCellMar>
          <w:top w:w="0" w:type="dxa"/>
          <w:left w:w="0" w:type="dxa"/>
          <w:bottom w:w="0" w:type="dxa"/>
          <w:right w:w="0" w:type="dxa"/>
        </w:tblCellMar>
      </w:tblPr>
      <w:tblGrid>
        <w:gridCol w:w="2000"/>
        <w:gridCol w:w="3330"/>
        <w:gridCol w:w="879"/>
        <w:gridCol w:w="879"/>
        <w:gridCol w:w="879"/>
        <w:gridCol w:w="879"/>
        <w:gridCol w:w="926"/>
        <w:gridCol w:w="1031"/>
      </w:tblGrid>
      <w:tr>
        <w:tblPrEx>
          <w:shd w:val="clear" w:color="auto" w:fill="auto"/>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shd w:val="clear" w:color="auto" w:fill="auto"/>
          <w:tblCellMar>
            <w:top w:w="0" w:type="dxa"/>
            <w:left w:w="0" w:type="dxa"/>
            <w:bottom w:w="0" w:type="dxa"/>
            <w:right w:w="0" w:type="dxa"/>
          </w:tblCellMar>
        </w:tblPrEx>
        <w:trPr>
          <w:trHeight w:val="329"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重庆市荣昌区古昌镇劳动就业和社会保障服务所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CellMar>
            <w:top w:w="0" w:type="dxa"/>
            <w:left w:w="0" w:type="dxa"/>
            <w:bottom w:w="0" w:type="dxa"/>
            <w:right w:w="0" w:type="dxa"/>
          </w:tblCellMar>
        </w:tblPrEx>
        <w:trPr>
          <w:trHeight w:val="329"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5000" w:type="pct"/>
        <w:tblInd w:w="0" w:type="dxa"/>
        <w:shd w:val="clear" w:color="auto" w:fill="auto"/>
        <w:tblLayout w:type="autofit"/>
        <w:tblCellMar>
          <w:top w:w="0" w:type="dxa"/>
          <w:left w:w="0" w:type="dxa"/>
          <w:bottom w:w="0" w:type="dxa"/>
          <w:right w:w="0" w:type="dxa"/>
        </w:tblCellMar>
      </w:tblPr>
      <w:tblGrid>
        <w:gridCol w:w="2030"/>
        <w:gridCol w:w="3300"/>
        <w:gridCol w:w="1929"/>
        <w:gridCol w:w="71"/>
        <w:gridCol w:w="1767"/>
        <w:gridCol w:w="28"/>
        <w:gridCol w:w="1678"/>
      </w:tblGrid>
      <w:tr>
        <w:tblPrEx>
          <w:shd w:val="clear" w:color="auto" w:fill="auto"/>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重庆市荣昌区古昌镇劳动就业和社会保障服务所</w:t>
            </w:r>
          </w:p>
        </w:tc>
        <w:tc>
          <w:tcPr>
            <w:tcW w:w="10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CellMar>
            <w:top w:w="0" w:type="dxa"/>
            <w:left w:w="0" w:type="dxa"/>
            <w:bottom w:w="0" w:type="dxa"/>
            <w:right w:w="0" w:type="dxa"/>
          </w:tblCellMar>
        </w:tblPrEx>
        <w:trPr>
          <w:trHeight w:val="332"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94"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0"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b/>
                <w:color w:val="000000"/>
                <w:sz w:val="20"/>
                <w:u w:color="auto"/>
              </w:rPr>
              <w:t xml:space="preserve">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5000" w:type="pct"/>
        <w:tblInd w:w="0" w:type="dxa"/>
        <w:shd w:val="clear" w:color="auto" w:fill="auto"/>
        <w:tblLayout w:type="fixed"/>
        <w:tblCellMar>
          <w:top w:w="0" w:type="dxa"/>
          <w:left w:w="0" w:type="dxa"/>
          <w:bottom w:w="0" w:type="dxa"/>
          <w:right w:w="0" w:type="dxa"/>
        </w:tblCellMar>
      </w:tblPr>
      <w:tblGrid>
        <w:gridCol w:w="2927"/>
        <w:gridCol w:w="1571"/>
        <w:gridCol w:w="1534"/>
        <w:gridCol w:w="3274"/>
        <w:gridCol w:w="1497"/>
      </w:tblGrid>
      <w:tr>
        <w:tblPrEx>
          <w:shd w:val="clear" w:color="auto" w:fill="auto"/>
          <w:tblCellMar>
            <w:top w:w="0" w:type="dxa"/>
            <w:left w:w="0" w:type="dxa"/>
            <w:bottom w:w="0" w:type="dxa"/>
            <w:right w:w="0" w:type="dxa"/>
          </w:tblCellMar>
        </w:tblPrEx>
        <w:trPr>
          <w:trHeight w:val="175"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shd w:val="clear" w:color="auto" w:fill="auto"/>
          <w:tblCellMar>
            <w:top w:w="0" w:type="dxa"/>
            <w:left w:w="0" w:type="dxa"/>
            <w:bottom w:w="0" w:type="dxa"/>
            <w:right w:w="0" w:type="dxa"/>
          </w:tblCellMar>
        </w:tblPrEx>
        <w:trPr>
          <w:trHeight w:val="175" w:hRule="atLeast"/>
        </w:trPr>
        <w:tc>
          <w:tcPr>
            <w:tcW w:w="1355" w:type="pct"/>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72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710"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1515" w:type="pct"/>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69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shd w:val="clear" w:color="auto" w:fill="auto"/>
          <w:tblCellMar>
            <w:top w:w="0" w:type="dxa"/>
            <w:left w:w="0" w:type="dxa"/>
            <w:bottom w:w="0" w:type="dxa"/>
            <w:right w:w="0" w:type="dxa"/>
          </w:tblCellMar>
        </w:tblPrEx>
        <w:trPr>
          <w:trHeight w:val="175" w:hRule="atLeast"/>
        </w:trPr>
        <w:tc>
          <w:tcPr>
            <w:tcW w:w="1355"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重庆市荣昌区古昌镇劳动就业和社会保障服务所</w:t>
            </w:r>
          </w:p>
        </w:tc>
        <w:tc>
          <w:tcPr>
            <w:tcW w:w="727"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71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1515"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693"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shd w:val="clear" w:color="auto" w:fill="auto"/>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预算数</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shd w:val="clear" w:color="auto" w:fill="auto"/>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一、“三公”经费支出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四、机关运行经费</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（一）支出合计</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（一）行政单位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（二）参照公务员法管理事业单位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2．公务用车购置及运行维护费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五、资产信息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（1）公务用车购置费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（一）车辆数合计（辆）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1．副部（省）级及以上领导用车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2．主要领导干部用车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（1）国内接待费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3．机要通信用车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4．应急保障用车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（2）国（境）外接待费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5．执法执勤用车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（二）相关统计数</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6．特种专业技术用车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1．因公出国（境）团组数（个）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7．离退休干部用车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2．因公出国（境）人次数（人）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8．其他用车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3．公务用车购置数（辆）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（二）单价100万元（含）以上设备（不含车辆）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4．公务用车保有量（辆）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六、政府采购支出信息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5．国内公务接待批次（个）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（一）政府采购支出合计</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1．政府采购货物支出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6．国内公务接待人次（人）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2．政府采购工程支出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3．政府采购服务支出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7．国（境）外公务接待批次（个）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（二）政府采购授予中小企业合同金额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8．国（境）外公务接待人次（人）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其中：授予小微企业合同金额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r>
      <w:tr>
        <w:tblPrEx>
          <w:shd w:val="clear" w:color="auto" w:fill="auto"/>
          <w:tblCellMar>
            <w:top w:w="0" w:type="dxa"/>
            <w:left w:w="0" w:type="dxa"/>
            <w:bottom w:w="0" w:type="dxa"/>
            <w:right w:w="0" w:type="dxa"/>
          </w:tblCellMar>
        </w:tblPrEx>
        <w:trPr>
          <w:trHeight w:val="269"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二、会议费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000000"/>
                <w:sz w:val="20"/>
                <w:szCs w:val="20"/>
              </w:rPr>
            </w:pPr>
          </w:p>
        </w:tc>
      </w:tr>
      <w:tr>
        <w:tblPrEx>
          <w:shd w:val="clear" w:color="auto" w:fill="auto"/>
          <w:tblCellMar>
            <w:top w:w="0" w:type="dxa"/>
            <w:left w:w="0" w:type="dxa"/>
            <w:bottom w:w="0" w:type="dxa"/>
            <w:right w:w="0" w:type="dxa"/>
          </w:tblCellMar>
        </w:tblPrEx>
        <w:trPr>
          <w:trHeight w:val="244" w:hRule="atLeast"/>
        </w:trPr>
        <w:tc>
          <w:tcPr>
            <w:tcW w:w="135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三、培训费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rPr>
                <w:rFonts w:hint="default" w:cs="宋体"/>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000000"/>
                <w:sz w:val="20"/>
                <w:szCs w:val="20"/>
              </w:rPr>
            </w:pPr>
          </w:p>
        </w:tc>
      </w:tr>
    </w:tbl>
    <w:p>
      <w:pPr>
        <w:rPr>
          <w:rFonts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3" w:type="default"/>
      <w:footerReference r:id="rId4" w:type="default"/>
      <w:pgSz w:w="11907" w:h="16839"/>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mZTcxMGE3Y2MxMjg4OTIwNDFlNGRmMmY5MDk0YjEifQ=="/>
  </w:docVars>
  <w:rsids>
    <w:rsidRoot w:val="00B03CCD"/>
    <w:rsid w:val="002B254B"/>
    <w:rsid w:val="00550ABE"/>
    <w:rsid w:val="00770383"/>
    <w:rsid w:val="007819D4"/>
    <w:rsid w:val="007B419D"/>
    <w:rsid w:val="009B67B8"/>
    <w:rsid w:val="009D2B67"/>
    <w:rsid w:val="00B03CCD"/>
    <w:rsid w:val="00C20C3E"/>
    <w:rsid w:val="00F73F90"/>
    <w:rsid w:val="01474EBF"/>
    <w:rsid w:val="01F3521E"/>
    <w:rsid w:val="03B87EA0"/>
    <w:rsid w:val="03E3214F"/>
    <w:rsid w:val="044C50BA"/>
    <w:rsid w:val="055A5E51"/>
    <w:rsid w:val="05BC6D49"/>
    <w:rsid w:val="06194FF1"/>
    <w:rsid w:val="06564BE5"/>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856E93"/>
    <w:rsid w:val="0B9335CE"/>
    <w:rsid w:val="0BA331B3"/>
    <w:rsid w:val="0BF2311A"/>
    <w:rsid w:val="0C7927C4"/>
    <w:rsid w:val="0C9B098C"/>
    <w:rsid w:val="0D673E11"/>
    <w:rsid w:val="0DDA54E4"/>
    <w:rsid w:val="0E3A5F83"/>
    <w:rsid w:val="0F521EC9"/>
    <w:rsid w:val="0F836721"/>
    <w:rsid w:val="0FA25D96"/>
    <w:rsid w:val="107B59E5"/>
    <w:rsid w:val="10EC0126"/>
    <w:rsid w:val="10F70B9A"/>
    <w:rsid w:val="111445C7"/>
    <w:rsid w:val="114278C6"/>
    <w:rsid w:val="1158083A"/>
    <w:rsid w:val="11643A4B"/>
    <w:rsid w:val="11ED0F98"/>
    <w:rsid w:val="11F03528"/>
    <w:rsid w:val="12C17D97"/>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C7287D"/>
    <w:rsid w:val="22403BD3"/>
    <w:rsid w:val="229E12F9"/>
    <w:rsid w:val="24B92327"/>
    <w:rsid w:val="24C14514"/>
    <w:rsid w:val="2533755C"/>
    <w:rsid w:val="25791755"/>
    <w:rsid w:val="26396DF4"/>
    <w:rsid w:val="264C34E9"/>
    <w:rsid w:val="270A4889"/>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7B291D"/>
    <w:rsid w:val="329C0913"/>
    <w:rsid w:val="32AA0460"/>
    <w:rsid w:val="3337290D"/>
    <w:rsid w:val="33E31118"/>
    <w:rsid w:val="33EF7674"/>
    <w:rsid w:val="342D7BC6"/>
    <w:rsid w:val="352930DB"/>
    <w:rsid w:val="35573069"/>
    <w:rsid w:val="355F6038"/>
    <w:rsid w:val="358C217E"/>
    <w:rsid w:val="35F61C76"/>
    <w:rsid w:val="36213642"/>
    <w:rsid w:val="36C9128A"/>
    <w:rsid w:val="37841E99"/>
    <w:rsid w:val="37BF1123"/>
    <w:rsid w:val="383C3F15"/>
    <w:rsid w:val="38BE4696"/>
    <w:rsid w:val="3939115E"/>
    <w:rsid w:val="395807E8"/>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DC47492"/>
    <w:rsid w:val="4E7F2FDD"/>
    <w:rsid w:val="4F0C6BA3"/>
    <w:rsid w:val="4F186D58"/>
    <w:rsid w:val="50F06B6E"/>
    <w:rsid w:val="51C00F74"/>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191EA7"/>
    <w:rsid w:val="622B4DAA"/>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207DC1"/>
    <w:rsid w:val="6A6C7940"/>
    <w:rsid w:val="6AAD2300"/>
    <w:rsid w:val="6AD8358F"/>
    <w:rsid w:val="6B474EF5"/>
    <w:rsid w:val="6B5E3AB4"/>
    <w:rsid w:val="6BD0013D"/>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74D1A"/>
    <w:rsid w:val="764F62AB"/>
    <w:rsid w:val="765C45EC"/>
    <w:rsid w:val="768A7619"/>
    <w:rsid w:val="772E1EBA"/>
    <w:rsid w:val="77E10BD3"/>
    <w:rsid w:val="781926BC"/>
    <w:rsid w:val="796D60A4"/>
    <w:rsid w:val="79A031D5"/>
    <w:rsid w:val="7A1525F7"/>
    <w:rsid w:val="7B420052"/>
    <w:rsid w:val="7BD06A28"/>
    <w:rsid w:val="7C3A7C0B"/>
    <w:rsid w:val="7C5248E4"/>
    <w:rsid w:val="7C566698"/>
    <w:rsid w:val="7C5866A3"/>
    <w:rsid w:val="7D7406BB"/>
    <w:rsid w:val="7DE94331"/>
    <w:rsid w:val="7F446A19"/>
    <w:rsid w:val="7F7452B9"/>
    <w:rsid w:val="7F8E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next w:val="4"/>
    <w:qFormat/>
    <w:uiPriority w:val="0"/>
    <w:pPr>
      <w:tabs>
        <w:tab w:val="center" w:pos="4153"/>
        <w:tab w:val="right" w:pos="8306"/>
      </w:tabs>
      <w:snapToGrid w:val="0"/>
    </w:pPr>
    <w:rPr>
      <w:sz w:val="18"/>
      <w:szCs w:val="18"/>
    </w:rPr>
  </w:style>
  <w:style w:type="paragraph" w:customStyle="1" w:styleId="4">
    <w:name w:val="索引 51"/>
    <w:basedOn w:val="1"/>
    <w:next w:val="1"/>
    <w:qFormat/>
    <w:uiPriority w:val="0"/>
    <w:pPr>
      <w:ind w:left="1680"/>
    </w:p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8127</Words>
  <Characters>9504</Characters>
  <Lines>190</Lines>
  <Paragraphs>53</Paragraphs>
  <TotalTime>4</TotalTime>
  <ScaleCrop>false</ScaleCrop>
  <LinksUpToDate>false</LinksUpToDate>
  <CharactersWithSpaces>10515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2024-09-29T07:35:00Z</cp:lastPrinted>
  <dcterms:modified xsi:type="dcterms:W3CDTF">2024-12-04T02:38:21Z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ies>
</file>