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sz w:val="40"/>
          <w:szCs w:val="32"/>
          <w:lang w:eastAsia="zh-CN"/>
        </w:rPr>
      </w:pPr>
      <w:r>
        <w:rPr>
          <w:rFonts w:hint="eastAsia"/>
          <w:sz w:val="40"/>
          <w:szCs w:val="32"/>
        </w:rPr>
        <w:t>重庆市</w:t>
      </w:r>
      <w:r>
        <w:rPr>
          <w:rFonts w:hint="eastAsia"/>
          <w:sz w:val="40"/>
          <w:szCs w:val="32"/>
          <w:lang w:eastAsia="zh-CN"/>
        </w:rPr>
        <w:t>荣昌区广顺街道办事处</w:t>
      </w:r>
    </w:p>
    <w:p>
      <w:pPr>
        <w:pStyle w:val="3"/>
        <w:keepNext w:val="0"/>
        <w:keepLines/>
        <w:pageBreakBefore w:val="0"/>
        <w:widowControl w:val="0"/>
        <w:kinsoku/>
        <w:wordWrap/>
        <w:overflowPunct/>
        <w:topLinePunct w:val="0"/>
        <w:autoSpaceDE/>
        <w:autoSpaceDN/>
        <w:bidi w:val="0"/>
        <w:adjustRightInd/>
        <w:snapToGrid w:val="0"/>
        <w:spacing w:line="240" w:lineRule="auto"/>
        <w:textAlignment w:val="auto"/>
        <w:rPr>
          <w:rFonts w:hint="eastAsia"/>
          <w:sz w:val="40"/>
          <w:szCs w:val="32"/>
        </w:rPr>
      </w:pPr>
      <w:r>
        <w:rPr>
          <w:rFonts w:hint="eastAsia"/>
          <w:sz w:val="40"/>
          <w:szCs w:val="32"/>
          <w:lang w:eastAsia="zh-CN"/>
        </w:rPr>
        <w:t>关于公开《广顺街道综合行政执法事项清单（2025年）》的通知</w:t>
      </w:r>
    </w:p>
    <w:p>
      <w:pPr>
        <w:rPr>
          <w:rFonts w:hint="eastAsia"/>
        </w:rPr>
      </w:pPr>
    </w:p>
    <w:p>
      <w:pPr>
        <w:keepNext w:val="0"/>
        <w:keepLines w:val="0"/>
        <w:pageBreakBefore w:val="0"/>
        <w:widowControl w:val="0"/>
        <w:kinsoku/>
        <w:wordWrap/>
        <w:overflowPunct/>
        <w:topLinePunct w:val="0"/>
        <w:autoSpaceDN/>
        <w:bidi w:val="0"/>
        <w:adjustRightInd/>
        <w:spacing w:line="620" w:lineRule="exact"/>
        <w:textAlignment w:val="auto"/>
        <w:rPr>
          <w:rFonts w:hint="eastAsia"/>
        </w:rPr>
      </w:pPr>
      <w:r>
        <w:rPr>
          <w:rFonts w:hint="eastAsia" w:ascii="方正仿宋_GBK" w:hAnsi="方正仿宋_GBK" w:eastAsia="方正仿宋_GBK" w:cs="方正仿宋_GBK"/>
          <w:sz w:val="32"/>
          <w:szCs w:val="32"/>
        </w:rPr>
        <w:t>根据《重庆市荣昌区人民政府办公室关于印发</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重庆市荣昌区镇（街道）综合行政执法事项清单（2025年）</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的通知》（荣昌府办发〔2025〕42号）</w:t>
      </w:r>
      <w:r>
        <w:rPr>
          <w:rFonts w:hint="eastAsia" w:ascii="方正仿宋_GBK" w:hAnsi="方正仿宋_GBK" w:eastAsia="方正仿宋_GBK" w:cs="方正仿宋_GBK"/>
          <w:bCs/>
          <w:sz w:val="32"/>
          <w:szCs w:val="32"/>
          <w:lang w:eastAsia="zh-CN"/>
        </w:rPr>
        <w:t>文件</w:t>
      </w:r>
      <w:r>
        <w:rPr>
          <w:rFonts w:hint="eastAsia" w:ascii="方正仿宋_GBK" w:hAnsi="方正仿宋_GBK" w:cs="方正仿宋_GBK"/>
          <w:bCs/>
          <w:sz w:val="32"/>
          <w:szCs w:val="32"/>
          <w:lang w:eastAsia="zh-CN"/>
        </w:rPr>
        <w:t>要求</w:t>
      </w:r>
      <w:r>
        <w:rPr>
          <w:rFonts w:hint="eastAsia" w:ascii="方正仿宋_GBK" w:hAnsi="方正仿宋_GBK" w:eastAsia="方正仿宋_GBK" w:cs="方正仿宋_GBK"/>
          <w:bCs/>
          <w:sz w:val="32"/>
          <w:szCs w:val="32"/>
          <w:lang w:eastAsia="zh-CN"/>
        </w:rPr>
        <w:t>，</w:t>
      </w:r>
      <w:r>
        <w:rPr>
          <w:rFonts w:hint="eastAsia"/>
          <w:lang w:val="en-US" w:eastAsia="zh-CN"/>
        </w:rPr>
        <w:t>广顺街道于</w:t>
      </w:r>
      <w:r>
        <w:rPr>
          <w:rFonts w:hint="default"/>
          <w:lang w:val="en-US" w:eastAsia="zh-CN"/>
        </w:rPr>
        <w:t>2025</w:t>
      </w:r>
      <w:r>
        <w:rPr>
          <w:rFonts w:hint="eastAsia"/>
          <w:lang w:val="en-US" w:eastAsia="zh-CN"/>
        </w:rPr>
        <w:t>年</w:t>
      </w:r>
      <w:r>
        <w:rPr>
          <w:rFonts w:hint="default"/>
          <w:lang w:val="en-US" w:eastAsia="zh-CN"/>
        </w:rPr>
        <w:t>7</w:t>
      </w:r>
      <w:r>
        <w:rPr>
          <w:rFonts w:hint="eastAsia"/>
          <w:lang w:val="en-US" w:eastAsia="zh-CN"/>
        </w:rPr>
        <w:t>月</w:t>
      </w:r>
      <w:r>
        <w:rPr>
          <w:rFonts w:hint="default"/>
          <w:lang w:val="en-US" w:eastAsia="zh-CN"/>
        </w:rPr>
        <w:t>1</w:t>
      </w:r>
      <w:r>
        <w:rPr>
          <w:rFonts w:hint="eastAsia"/>
          <w:lang w:val="en-US" w:eastAsia="zh-CN"/>
        </w:rPr>
        <w:t>日起正式行使《广顺街道综合行政执法事项清单（2025年）》内行政执法事项。对已不再承接或委托的行政执法事项，于</w:t>
      </w:r>
      <w:r>
        <w:rPr>
          <w:rFonts w:hint="default"/>
          <w:lang w:val="en-US" w:eastAsia="zh-CN"/>
        </w:rPr>
        <w:t>2025</w:t>
      </w:r>
      <w:r>
        <w:rPr>
          <w:rFonts w:hint="eastAsia"/>
          <w:lang w:val="en-US" w:eastAsia="zh-CN"/>
        </w:rPr>
        <w:t>年</w:t>
      </w:r>
      <w:r>
        <w:rPr>
          <w:rFonts w:hint="default"/>
          <w:lang w:val="en-US" w:eastAsia="zh-CN"/>
        </w:rPr>
        <w:t>7</w:t>
      </w:r>
      <w:r>
        <w:rPr>
          <w:rFonts w:hint="eastAsia"/>
          <w:lang w:val="en-US" w:eastAsia="zh-CN"/>
        </w:rPr>
        <w:t>月</w:t>
      </w:r>
      <w:r>
        <w:rPr>
          <w:rFonts w:hint="default"/>
          <w:lang w:val="en-US" w:eastAsia="zh-CN"/>
        </w:rPr>
        <w:t>1</w:t>
      </w:r>
      <w:r>
        <w:rPr>
          <w:rFonts w:hint="eastAsia"/>
          <w:lang w:val="en-US" w:eastAsia="zh-CN"/>
        </w:rPr>
        <w:t>日起交回原区级行政执法部门依法行使，</w:t>
      </w:r>
      <w:r>
        <w:rPr>
          <w:rFonts w:hint="default"/>
          <w:lang w:val="en-US" w:eastAsia="zh-CN"/>
        </w:rPr>
        <w:t>2025</w:t>
      </w:r>
      <w:r>
        <w:rPr>
          <w:rFonts w:hint="eastAsia"/>
          <w:lang w:val="en-US" w:eastAsia="zh-CN"/>
        </w:rPr>
        <w:t>年</w:t>
      </w:r>
      <w:r>
        <w:rPr>
          <w:rFonts w:hint="default"/>
          <w:lang w:val="en-US" w:eastAsia="zh-CN"/>
        </w:rPr>
        <w:t>7</w:t>
      </w:r>
      <w:r>
        <w:rPr>
          <w:rFonts w:hint="eastAsia"/>
          <w:lang w:val="en-US" w:eastAsia="zh-CN"/>
        </w:rPr>
        <w:t>月</w:t>
      </w:r>
      <w:r>
        <w:rPr>
          <w:rFonts w:hint="default"/>
          <w:lang w:val="en-US" w:eastAsia="zh-CN"/>
        </w:rPr>
        <w:t>1</w:t>
      </w:r>
      <w:r>
        <w:rPr>
          <w:rFonts w:hint="eastAsia"/>
          <w:lang w:val="en-US" w:eastAsia="zh-CN"/>
        </w:rPr>
        <w:t>日前已立案未办结的案件，仍由广顺街道继续办结。</w:t>
      </w:r>
    </w:p>
    <w:p>
      <w:pPr>
        <w:keepNext w:val="0"/>
        <w:keepLines w:val="0"/>
        <w:pageBreakBefore w:val="0"/>
        <w:widowControl w:val="0"/>
        <w:kinsoku/>
        <w:wordWrap/>
        <w:overflowPunct/>
        <w:topLinePunct w:val="0"/>
        <w:autoSpaceDN/>
        <w:bidi w:val="0"/>
        <w:adjustRightInd/>
        <w:spacing w:line="620" w:lineRule="exact"/>
        <w:textAlignment w:val="auto"/>
        <w:rPr>
          <w:rFonts w:hint="eastAsia" w:ascii="方正仿宋_GBK" w:hAnsi="方正仿宋_GBK" w:eastAsia="方正仿宋_GBK" w:cs="方正仿宋_GBK"/>
          <w:sz w:val="32"/>
          <w:szCs w:val="32"/>
        </w:rPr>
      </w:pPr>
      <w:r>
        <w:rPr>
          <w:rFonts w:hint="eastAsia"/>
          <w:lang w:val="en-US" w:eastAsia="zh-CN"/>
        </w:rPr>
        <w:t>依据现行法律法规和</w:t>
      </w:r>
      <w:r>
        <w:rPr>
          <w:rFonts w:hint="eastAsia" w:ascii="方正仿宋_GBK" w:hAnsi="方正仿宋_GBK" w:cs="方正仿宋_GBK"/>
          <w:sz w:val="32"/>
          <w:szCs w:val="32"/>
          <w:lang w:eastAsia="zh-CN"/>
        </w:rPr>
        <w:t>文件规定</w:t>
      </w:r>
      <w:bookmarkStart w:id="0" w:name="_GoBack"/>
      <w:bookmarkEnd w:id="0"/>
      <w:r>
        <w:rPr>
          <w:rFonts w:hint="eastAsia"/>
          <w:lang w:val="en-US" w:eastAsia="zh-CN"/>
        </w:rPr>
        <w:t>，广顺街道行使法定行政执法事项</w:t>
      </w:r>
      <w:r>
        <w:rPr>
          <w:rFonts w:hint="default"/>
          <w:lang w:val="en-US" w:eastAsia="zh-CN"/>
        </w:rPr>
        <w:t>22</w:t>
      </w:r>
      <w:r>
        <w:rPr>
          <w:rFonts w:hint="eastAsia"/>
          <w:lang w:val="en-US" w:eastAsia="zh-CN"/>
        </w:rPr>
        <w:t>项，承接赋权行政执法事项</w:t>
      </w:r>
      <w:r>
        <w:rPr>
          <w:rFonts w:hint="default"/>
          <w:lang w:val="en-US" w:eastAsia="zh-CN"/>
        </w:rPr>
        <w:t>81</w:t>
      </w:r>
      <w:r>
        <w:rPr>
          <w:rFonts w:hint="eastAsia"/>
          <w:lang w:val="en-US" w:eastAsia="zh-CN"/>
        </w:rPr>
        <w:t>项，依法接受委托行政执法事项</w:t>
      </w:r>
      <w:r>
        <w:rPr>
          <w:rFonts w:hint="default"/>
          <w:lang w:val="en-US" w:eastAsia="zh-CN"/>
        </w:rPr>
        <w:t>18</w:t>
      </w:r>
      <w:r>
        <w:rPr>
          <w:rFonts w:hint="eastAsia"/>
          <w:lang w:val="en-US" w:eastAsia="zh-CN"/>
        </w:rPr>
        <w:t>项。</w:t>
      </w:r>
      <w:r>
        <w:rPr>
          <w:rFonts w:hint="eastAsia" w:ascii="方正仿宋_GBK" w:hAnsi="方正仿宋_GBK" w:eastAsia="方正仿宋_GBK" w:cs="方正仿宋_GBK"/>
          <w:sz w:val="32"/>
          <w:szCs w:val="32"/>
          <w:lang w:eastAsia="zh-CN"/>
        </w:rPr>
        <w:t>现将</w:t>
      </w:r>
      <w:r>
        <w:rPr>
          <w:rFonts w:hint="eastAsia"/>
          <w:lang w:val="en-US" w:eastAsia="zh-CN"/>
        </w:rPr>
        <w:t>《广顺街道综合行政执法事项清单（2025年）》</w:t>
      </w:r>
      <w:r>
        <w:rPr>
          <w:rFonts w:hint="eastAsia" w:ascii="方正仿宋_GBK" w:hAnsi="方正仿宋_GBK" w:eastAsia="方正仿宋_GBK" w:cs="方正仿宋_GBK"/>
          <w:sz w:val="32"/>
          <w:szCs w:val="32"/>
          <w:lang w:eastAsia="zh-CN"/>
        </w:rPr>
        <w:t>予以公布</w:t>
      </w:r>
      <w:r>
        <w:rPr>
          <w:rFonts w:hint="eastAsia" w:ascii="方正仿宋_GBK" w:hAnsi="方正仿宋_GBK" w:eastAsia="方正仿宋_GBK" w:cs="方正仿宋_GBK"/>
          <w:sz w:val="32"/>
          <w:szCs w:val="32"/>
        </w:rPr>
        <w:t>。</w:t>
      </w:r>
    </w:p>
    <w:p>
      <w:pPr>
        <w:pStyle w:val="2"/>
        <w:rPr>
          <w:rFonts w:hint="eastAsia" w:ascii="方正仿宋_GBK" w:hAnsi="方正仿宋_GBK" w:eastAsia="方正仿宋_GBK" w:cs="方正仿宋_GBK"/>
          <w:sz w:val="32"/>
          <w:szCs w:val="32"/>
        </w:rPr>
      </w:pPr>
    </w:p>
    <w:p>
      <w:pPr>
        <w:rPr>
          <w:rFonts w:hint="eastAsia"/>
        </w:rPr>
      </w:pPr>
    </w:p>
    <w:p>
      <w:pPr>
        <w:wordWrap w:val="0"/>
        <w:bidi w:val="0"/>
        <w:jc w:val="right"/>
        <w:rPr>
          <w:rFonts w:hint="default" w:ascii="Times New Roman" w:hAnsi="Times New Roman"/>
          <w:lang w:val="en-US" w:eastAsia="zh-CN"/>
        </w:rPr>
      </w:pPr>
      <w:r>
        <w:rPr>
          <w:rFonts w:hint="eastAsia" w:ascii="Times New Roman" w:hAnsi="Times New Roman"/>
        </w:rPr>
        <w:t>重庆市荣昌区广顺街道办事处</w:t>
      </w:r>
      <w:r>
        <w:rPr>
          <w:rFonts w:hint="eastAsia" w:ascii="Times New Roman" w:hAnsi="Times New Roman"/>
          <w:lang w:val="en-US" w:eastAsia="zh-CN"/>
        </w:rPr>
        <w:t xml:space="preserve">   </w:t>
      </w:r>
    </w:p>
    <w:p>
      <w:pPr>
        <w:wordWrap w:val="0"/>
        <w:bidi w:val="0"/>
        <w:jc w:val="right"/>
        <w:rPr>
          <w:rFonts w:hint="eastAsia"/>
        </w:rPr>
      </w:pPr>
      <w:r>
        <w:rPr>
          <w:rFonts w:hint="eastAsia" w:ascii="Times New Roman" w:hAnsi="Times New Roman"/>
          <w:lang w:eastAsia="zh-CN"/>
        </w:rPr>
        <w:t>2025</w:t>
      </w:r>
      <w:r>
        <w:rPr>
          <w:rFonts w:hint="eastAsia" w:ascii="Times New Roman" w:hAnsi="Times New Roman"/>
        </w:rPr>
        <w:t>年</w:t>
      </w:r>
      <w:r>
        <w:rPr>
          <w:rFonts w:hint="eastAsia" w:ascii="Times New Roman" w:hAnsi="Times New Roman"/>
          <w:lang w:val="en-US" w:eastAsia="zh-CN"/>
        </w:rPr>
        <w:t>7</w:t>
      </w:r>
      <w:r>
        <w:rPr>
          <w:rFonts w:hint="eastAsia" w:ascii="Times New Roman" w:hAnsi="Times New Roman"/>
        </w:rPr>
        <w:t>月</w:t>
      </w:r>
      <w:r>
        <w:rPr>
          <w:rFonts w:hint="eastAsia" w:ascii="Times New Roman" w:hAnsi="Times New Roman"/>
          <w:lang w:val="en-US" w:eastAsia="zh-CN"/>
        </w:rPr>
        <w:t>4</w:t>
      </w:r>
      <w:r>
        <w:rPr>
          <w:rFonts w:hint="eastAsia" w:ascii="Times New Roman" w:hAnsi="Times New Roman"/>
        </w:rPr>
        <w:t>日</w:t>
      </w:r>
      <w:r>
        <w:rPr>
          <w:rFonts w:hint="eastAsia" w:ascii="Times New Roman" w:hAnsi="Times New Roman"/>
          <w:lang w:eastAsia="zh-CN"/>
        </w:rPr>
        <w:t>　　</w:t>
      </w:r>
    </w:p>
    <w:p>
      <w:pPr>
        <w:pStyle w:val="3"/>
        <w:bidi w:val="0"/>
        <w:rPr>
          <w:rFonts w:hint="eastAsia"/>
          <w:sz w:val="40"/>
          <w:szCs w:val="22"/>
        </w:rPr>
      </w:pPr>
    </w:p>
    <w:p>
      <w:pPr>
        <w:pStyle w:val="3"/>
        <w:bidi w:val="0"/>
        <w:rPr>
          <w:rFonts w:hint="eastAsia"/>
          <w:sz w:val="40"/>
          <w:szCs w:val="22"/>
        </w:rPr>
      </w:pPr>
    </w:p>
    <w:p>
      <w:pPr>
        <w:pStyle w:val="3"/>
        <w:bidi w:val="0"/>
        <w:rPr>
          <w:rFonts w:hint="eastAsia"/>
          <w:sz w:val="40"/>
          <w:szCs w:val="22"/>
        </w:rPr>
      </w:pPr>
      <w:r>
        <w:rPr>
          <w:rFonts w:hint="eastAsia"/>
          <w:sz w:val="40"/>
          <w:szCs w:val="22"/>
        </w:rPr>
        <w:t>广顺街道综合行政执法事项清单（2025年）</w:t>
      </w:r>
    </w:p>
    <w:p>
      <w:pPr>
        <w:keepNext/>
        <w:keepLines/>
        <w:pageBreakBefore w:val="0"/>
        <w:widowControl w:val="0"/>
        <w:kinsoku/>
        <w:wordWrap/>
        <w:overflowPunct/>
        <w:topLinePunct w:val="0"/>
        <w:autoSpaceDE/>
        <w:autoSpaceDN/>
        <w:bidi w:val="0"/>
        <w:adjustRightInd/>
        <w:spacing w:line="560" w:lineRule="exact"/>
        <w:jc w:val="left"/>
        <w:textAlignment w:val="baseline"/>
        <w:rPr>
          <w:rFonts w:ascii="Times New Roman" w:hAnsi="Times New Roman" w:eastAsia="Times New Roman" w:cs="Times New Roman"/>
          <w:b/>
          <w:bCs/>
          <w:kern w:val="44"/>
          <w:sz w:val="44"/>
          <w:szCs w:val="44"/>
          <w:lang w:val="en-US" w:eastAsia="zh-CN" w:bidi="ar-SA"/>
        </w:rPr>
      </w:pPr>
    </w:p>
    <w:p>
      <w:pPr>
        <w:pageBreakBefore w:val="0"/>
        <w:widowControl w:val="0"/>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方正楷体_GBK" w:cs="Times New Roman"/>
          <w:szCs w:val="32"/>
          <w:highlight w:val="yellow"/>
          <w:lang w:val="en-US" w:eastAsia="zh-CN"/>
        </w:rPr>
      </w:pPr>
      <w:r>
        <w:rPr>
          <w:rFonts w:hint="eastAsia" w:ascii="方正黑体_GBK" w:hAnsi="方正黑体_GBK" w:eastAsia="方正黑体_GBK" w:cs="方正黑体_GBK"/>
          <w:szCs w:val="32"/>
        </w:rPr>
        <w:t>法定行政执法事项清单</w:t>
      </w:r>
    </w:p>
    <w:tbl>
      <w:tblPr>
        <w:tblStyle w:val="6"/>
        <w:tblW w:w="8834"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488"/>
        <w:gridCol w:w="3114"/>
        <w:gridCol w:w="600"/>
        <w:gridCol w:w="1366"/>
        <w:gridCol w:w="3266"/>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tblHeader/>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事项名称</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事项类型</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执法主体</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黑体_GBK" w:cs="方正黑体_GBK"/>
                <w:sz w:val="24"/>
                <w:szCs w:val="24"/>
              </w:rPr>
            </w:pPr>
            <w:r>
              <w:rPr>
                <w:rFonts w:hint="eastAsia" w:ascii="Times New Roman" w:hAnsi="Times New Roman" w:eastAsia="方正黑体_GBK" w:cs="方正黑体_GBK"/>
                <w:sz w:val="24"/>
                <w:szCs w:val="24"/>
              </w:rPr>
              <w:t>执法依据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对生产经营单位安全生产状况的监督检查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831"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消防安全检查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3</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对地质灾害隐患的排查、核查和重点防范期的巡查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55"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4</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村镇建设工程安全生产检查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581"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5</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对城乡规划实施情况的监督检查，以及对《重庆市城乡规划条例》第七十四条所列违法建筑的日常巡查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22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6</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对本地区小型水库、山塘、堤防、水闸、堰坝和抗旱供水等设施的检查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94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7</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对水上交通安全的检查</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行政检查</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012"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8</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对《重庆市水资源管理条例》第十八条所列情形的处罚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2"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9</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对《重庆市村镇供水条例》第四十八条所列情形的处罚（小型集中供水工程）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0</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对《重庆市村镇供水条例》第四十九条所列情形的处罚（小型集中供水工程）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对《重庆市村镇供水条例》第五十一条所列情形的处罚（小型集中供水工程）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23"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3</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对《重庆市村镇供水条例》第五十二条所列情形的处罚（小型集中供水工程）</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4</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对损坏村庄和集镇的房屋、公共设施，违反村镇环境卫生和村容镇貌管理规定，乱堆粪便、垃圾、柴草、杂物，或者破坏绿化、损坏古树名木及其他破坏村容镇貌环境卫生行为的处罚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《村庄和集镇规划建设管理条例》（1993年施行）第三十九条；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1</w:t>
            </w:r>
            <w:r>
              <w:rPr>
                <w:rFonts w:hint="eastAsia" w:ascii="Times New Roman" w:hAnsi="Times New Roman" w:eastAsia="方正书宋_GBK" w:cs="方正书宋_GBK"/>
                <w:sz w:val="24"/>
                <w:szCs w:val="24"/>
                <w:lang w:val="en-US" w:eastAsia="zh-CN"/>
              </w:rPr>
              <w:t>5</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对涉及在村道违反《重庆市公路管理条例》规定的处罚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行政处罚</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16</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对经劝导仍拒绝转移的群众实施强制转移</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强行组织避灾疏散</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《地质灾害防治条例》（2004年施行）第二十九条；</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制止、铲除非法种植毒品原植物</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对在乡、村庄规划区内未依法取得乡村建设规划许可证或者未按照乡村建设规划许可证的规定进行建设且逾期不改正的予以拆除</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2</w:t>
            </w:r>
            <w:r>
              <w:rPr>
                <w:rFonts w:hint="eastAsia" w:ascii="Times New Roman" w:hAnsi="Times New Roman" w:eastAsia="方正书宋_GBK" w:cs="方正书宋_GBK"/>
                <w:sz w:val="24"/>
                <w:szCs w:val="24"/>
                <w:lang w:val="en-US" w:eastAsia="zh-CN"/>
              </w:rPr>
              <w:t>0</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对鉴定为危房且危及公共安全情形的村镇建筑作出强制治理决定</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2</w:t>
            </w:r>
            <w:r>
              <w:rPr>
                <w:rFonts w:hint="eastAsia" w:ascii="Times New Roman" w:hAnsi="Times New Roman" w:eastAsia="方正书宋_GBK" w:cs="方正书宋_GBK"/>
                <w:sz w:val="24"/>
                <w:szCs w:val="24"/>
                <w:lang w:val="en-US" w:eastAsia="zh-CN"/>
              </w:rPr>
              <w:t>1</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对在电力设施保护区内修建的建筑物、构筑物或者种植的植物、堆放的物品责令强制拆除、砍伐或者清除</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454" w:hRule="atLeast"/>
          <w:jc w:val="center"/>
        </w:trPr>
        <w:tc>
          <w:tcPr>
            <w:tcW w:w="488"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rPr>
              <w:t>2</w:t>
            </w:r>
            <w:r>
              <w:rPr>
                <w:rFonts w:hint="eastAsia" w:ascii="Times New Roman" w:hAnsi="Times New Roman" w:eastAsia="方正书宋_GBK" w:cs="方正书宋_GBK"/>
                <w:sz w:val="24"/>
                <w:szCs w:val="24"/>
                <w:lang w:val="en-US" w:eastAsia="zh-CN"/>
              </w:rPr>
              <w:t>2</w:t>
            </w:r>
          </w:p>
        </w:tc>
        <w:tc>
          <w:tcPr>
            <w:tcW w:w="3114"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对造成村道、村道附属设施损坏，拒不接受现场调查处理的，予以强制扣留车辆、工具；逾期不接受处理，并且经公告三个月仍不来接受处理的，对扣留车辆、工具依法予以拍卖</w:t>
            </w:r>
          </w:p>
        </w:tc>
        <w:tc>
          <w:tcPr>
            <w:tcW w:w="600"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行政强制</w:t>
            </w:r>
          </w:p>
        </w:tc>
        <w:tc>
          <w:tcPr>
            <w:tcW w:w="13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zh-CN"/>
              </w:rPr>
              <w:t>广顺街道办事处</w:t>
            </w:r>
          </w:p>
        </w:tc>
        <w:tc>
          <w:tcPr>
            <w:tcW w:w="3266" w:type="dxa"/>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rPr>
              <w:t>《重庆市公路管理条例》（2021年修正）第六十八条第一款、第二款、第三款。</w:t>
            </w:r>
          </w:p>
        </w:tc>
      </w:tr>
    </w:tbl>
    <w:p>
      <w:pPr>
        <w:spacing w:before="57" w:beforeLines="10"/>
        <w:ind w:left="0" w:leftChars="0" w:right="0" w:rightChars="0" w:firstLine="640" w:firstLineChars="200"/>
        <w:jc w:val="both"/>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imes New Roman" w:hAnsi="Times New Roman" w:eastAsia="方正小标宋_GBK"/>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宋体" w:hAnsi="宋体" w:eastAsia="方正仿宋_GBK" w:cs="Times New Roman"/>
          <w:szCs w:val="33"/>
        </w:rPr>
      </w:pPr>
      <w:r>
        <w:rPr>
          <w:rFonts w:ascii="宋体" w:hAnsi="宋体" w:eastAsia="方正黑体_GBK" w:cs="Times New Roman"/>
          <w:szCs w:val="33"/>
        </w:rPr>
        <w:t>赋权</w:t>
      </w:r>
      <w:r>
        <w:rPr>
          <w:rFonts w:hint="eastAsia" w:ascii="宋体" w:hAnsi="宋体" w:eastAsia="方正黑体_GBK" w:cs="Times New Roman"/>
          <w:szCs w:val="33"/>
        </w:rPr>
        <w:t>行政执法事项清单</w:t>
      </w:r>
    </w:p>
    <w:tbl>
      <w:tblPr>
        <w:tblStyle w:val="6"/>
        <w:tblW w:w="8897" w:type="dxa"/>
        <w:jc w:val="center"/>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Layout w:type="fixed"/>
        <w:tblCellMar>
          <w:top w:w="0" w:type="dxa"/>
          <w:left w:w="23" w:type="dxa"/>
          <w:bottom w:w="0" w:type="dxa"/>
          <w:right w:w="23" w:type="dxa"/>
        </w:tblCellMar>
      </w:tblPr>
      <w:tblGrid>
        <w:gridCol w:w="449"/>
        <w:gridCol w:w="2397"/>
        <w:gridCol w:w="1125"/>
        <w:gridCol w:w="1894"/>
        <w:gridCol w:w="2137"/>
        <w:gridCol w:w="895"/>
      </w:tblGrid>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675" w:hRule="atLeast"/>
          <w:tblHeader/>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序</w:t>
            </w:r>
          </w:p>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号</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赋权事项名称</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原行使</w:t>
            </w:r>
          </w:p>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赋权范围</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赋权事项的执法依据</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4"/>
                <w:szCs w:val="24"/>
                <w:highlight w:val="none"/>
                <w:lang w:eastAsia="zh-CN"/>
              </w:rPr>
            </w:pPr>
            <w:r>
              <w:rPr>
                <w:rFonts w:hint="eastAsia" w:ascii="Times New Roman" w:hAnsi="Times New Roman" w:eastAsia="方正黑体_GBK" w:cs="Times New Roman"/>
                <w:color w:val="auto"/>
                <w:sz w:val="24"/>
                <w:szCs w:val="24"/>
                <w:highlight w:val="none"/>
                <w:lang w:eastAsia="zh-CN"/>
              </w:rPr>
              <w:t>赋权镇街</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4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对《重庆市水污染防治条例》第七十条规定情形的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区县生态环境部门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《重庆市水污染防治条例》（</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年施行）第七十条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3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对养犬人和管理人未立即清除宠物在公共场所产生的粪便，影响市容环境卫生的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《重庆市养犬管理条例》（</w:t>
            </w:r>
            <w:r>
              <w:rPr>
                <w:rFonts w:hint="default" w:ascii="Times New Roman" w:hAnsi="Times New Roman" w:eastAsia="仿宋" w:cs="Times New Roman"/>
                <w:snapToGrid/>
                <w:color w:val="auto"/>
                <w:sz w:val="24"/>
                <w:szCs w:val="24"/>
                <w:highlight w:val="none"/>
                <w:u w:val="none"/>
                <w:lang w:eastAsia="zh-CN"/>
              </w:rPr>
              <w:t>2023</w:t>
            </w:r>
            <w:r>
              <w:rPr>
                <w:rFonts w:hint="default" w:ascii="Times New Roman" w:hAnsi="Times New Roman" w:eastAsia="方正书宋_GBK" w:cs="Times New Roman"/>
                <w:snapToGrid/>
                <w:color w:val="auto"/>
                <w:sz w:val="24"/>
                <w:szCs w:val="24"/>
                <w:highlight w:val="none"/>
                <w:u w:val="none"/>
                <w:lang w:eastAsia="zh-CN"/>
              </w:rPr>
              <w:t>年施行）第四十二条第四项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2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对个人随意倾倒、抛洒、堆放或者焚烧生活垃圾的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《中华人民共和国固体废物污染环境防治法》（</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年修订）第一百一十一条第一款第一项，第二款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0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对《重庆市市容环境卫生管理条例》第十八条规定情形的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年修正）第十八条第一款、第二款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对霓虹灯、电子显示屏（牌）、灯箱等形式的户外广告未保持完好、有破损、污迹和严重褪色，未显示完好的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2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对在道路上的通讯、邮政、电力、有线电视、公交客运、环境卫生等设施出现污损、残缺未及时清洗或修复的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88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对集贸摊区市场、临街门店的业主或经营者未按市容环境卫生主管部门要求设置垃圾收集容器，及时清运垃圾，保持环境整洁的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8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对违反《重庆市市容环境卫生管理条例》第四十五条规定情形的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63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对擅自设置、移动、涂改或者损毁历史文化街区、名镇、名村、传统风貌区和历史建筑标志牌的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区县城市管理部门（由规划和自然资源部门划入事项）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《历史文化名城名镇名村保护条例》（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年修订）第四十五条；《重庆市历史文化名城名镇名村保护条例》（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年施行）第六十三条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对违反《历史文化名城名镇名村保护条例》规定，在历史建筑上刻划、涂污的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区县城市管理部门（由规划和自然资源部门划入事项）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《历史文化名城名镇名村保护条例》（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年修订）第四十二条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对物业服务企业违反《重庆市物业管理条例》第六十一条规定情形的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区县城市管理部门（由住房城乡建设部门划入事项）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《重庆市物业管理条例》（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年修正）第一百零一条第四项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26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对在主、次干道建筑物顶部、平台堆放影响市容的物品，在建筑物临街面超出建筑物墙体设置防护网或吊挂物品，设置遮阳伞、篷盖的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rPr>
            </w:pPr>
            <w:r>
              <w:rPr>
                <w:rFonts w:hint="eastAsia" w:ascii="Times New Roman" w:hAnsi="Times New Roman" w:eastAsia="方正书宋_GBK" w:cs="Times New Roman"/>
                <w:color w:val="auto"/>
                <w:sz w:val="24"/>
                <w:szCs w:val="24"/>
                <w:highlight w:val="none"/>
                <w:lang w:val="en-US" w:eastAsia="zh-CN"/>
              </w:rPr>
              <w:t>1</w:t>
            </w:r>
            <w:r>
              <w:rPr>
                <w:rFonts w:hint="default" w:ascii="Times New Roman" w:hAnsi="Times New Roman" w:eastAsia="方正书宋_GBK" w:cs="Times New Roman"/>
                <w:color w:val="auto"/>
                <w:sz w:val="24"/>
                <w:szCs w:val="24"/>
                <w:highlight w:val="none"/>
                <w:lang w:eastAsia="zh-CN"/>
              </w:rPr>
              <w:t>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对擅自在路内停车位内设置地桩、地锁等障碍物或者以其他方式侵占路内停车设施影响路内停车设施的正常使用的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《重庆市停车场管理办法》（</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年修正）第二十五条第一项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对在主、次干道上清洗机动车辆的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对在建筑物平街层外墙安装的空调、排气扇，其底部未高于人行道路面二米的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对在主、次干道两侧的建筑物前修建封闭式隔离设施的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2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对在主、次干道以外的其他地区的建筑物，设置遮阳伞或篷盖违反设置标准，并未保持整洁、美观的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5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对机关、团体、部队、院校、企事业单位和其他组织及个体工商户名称、字号、标志等牌匾和标识有污损、残缺的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1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19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对广告经营者未保持充气式装置整洁美观，出现破损残缺的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年修正）第三十八条第三款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0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对违反《重庆市停车场管理办法》第二十二条第一项、第五项、第六项的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《重庆市停车场管理办法》（</w:t>
            </w:r>
            <w:r>
              <w:rPr>
                <w:rFonts w:hint="default" w:ascii="Times New Roman" w:hAnsi="Times New Roman" w:eastAsia="仿宋" w:cs="Times New Roman"/>
                <w:snapToGrid/>
                <w:color w:val="auto"/>
                <w:sz w:val="24"/>
                <w:szCs w:val="24"/>
                <w:highlight w:val="none"/>
                <w:u w:val="none"/>
                <w:lang w:eastAsia="zh-CN"/>
              </w:rPr>
              <w:t>2020</w:t>
            </w:r>
            <w:r>
              <w:rPr>
                <w:rFonts w:hint="default" w:ascii="Times New Roman" w:hAnsi="Times New Roman" w:eastAsia="方正书宋_GBK" w:cs="Times New Roman"/>
                <w:snapToGrid/>
                <w:color w:val="auto"/>
                <w:sz w:val="24"/>
                <w:szCs w:val="24"/>
                <w:highlight w:val="none"/>
                <w:u w:val="none"/>
                <w:lang w:eastAsia="zh-CN"/>
              </w:rPr>
              <w:t>年修正）第二十五条第二项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6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对违反《重庆市市政设施管理条例》第二十一条（第二项除外）的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年修正）第六十七条第二款第一项、第四项、第五项，第三款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61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对违反《重庆市市政设施管理条例》第四十五条第一款的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年修正）第六十七条第二款第六项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4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对违反《重庆市市政设施管理条例》第四十九条第一款的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年修正）第六十七条第二款第六项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对井盖等附属设施出现破损、移位或者丢失，有关产权单位或者其委托的管理单位未及时修复、正位或者补缺的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年修正）第六十八条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9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对废品收购、堆放场所未对废品围挡、遮盖或者在居民社区、公共场所堆放、晾晒、焚烧废品，污染周围环境的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9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对食品摊贩未按照规定办理备案手续、未在经营场所显著位置公示备案卡的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《重庆市食品生产加工小作坊和食品摊贩管理条例》（</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年施行）第五十条第一款、第五十二条</w:t>
            </w:r>
          </w:p>
        </w:tc>
        <w:tc>
          <w:tcPr>
            <w:tcW w:w="895" w:type="dxa"/>
            <w:tcBorders>
              <w:tl2br w:val="nil"/>
              <w:tr2bl w:val="nil"/>
            </w:tcBorders>
            <w:noWrap w:val="0"/>
            <w:vAlign w:val="center"/>
          </w:tcPr>
          <w:p>
            <w:pPr>
              <w:keepNext w:val="0"/>
              <w:keepLines w:val="0"/>
              <w:pageBreakBefore w:val="0"/>
              <w:widowControl w:val="0"/>
              <w:tabs>
                <w:tab w:val="left" w:pos="279"/>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1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对在禁止的时段和区域内露天烧烤食品或者为露天烧烤食品提供场地的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《中华人民共和国大气污染防治法》（</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年修正）第一百一十八条第三款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70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对在城市建成区、人口集中区域露天焚烧树叶、枯草、垃圾的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《中华人民共和国大气污染防治法》（</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年修正）第一百一十九条第一款；《重庆市大气污染防治条例》（</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年修正）第九十条第一款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29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对违反《重庆市市容环境卫生管理条例》第三十九条规定情形的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年修正）第三十九条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4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对在城市道路设施上冲洗机动车或在人行道上行驶机动车的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年修正）第二十条第一款第一项、第六十七条第二款第四项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7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对在城市道路设施上测试刹车的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年修正）第二十条第一款第二项、第六十七条第二款第四项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对在城市道路设施上排放污水、倾倒垃圾、渣土以及撒漏其他固体、流体物质等的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年修正）第二十条第一款第三项、第六十七条第二款第四项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对在城市道路设施上堆放易燃、易爆、有毒、恶臭、易飞扬物品或焚烧垃圾等的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年修正）第二十条第一款第四项、第六十七条第二款第四项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2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对在城市道路设施上移动、损毁路牌等道路设施的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年修正）第二十条第一款第五项、第六十七条第二款第四项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对在城市道路设施上直接在路面搅拌水泥砂浆、混凝土及其他拌和物的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年修正）第二十条第一款第六项、第六十七条第二款第四项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对在城市道路设施上行驶铁轮车、履带车，不采取防护措施的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年修正）第二十条第一款第七项、第六十七条第二款第四项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6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对在城市道路设施上其他侵占、损害城市道路设施的行为的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年修正）第二十条第一款第八项、第六十七条第二款第四项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对在城市道路非规划地段占道从事经营活动的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《重庆市市政设施管理条例》（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年修正）第二十条第二款、第六十七条第二款第四项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3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39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对违反《重庆市市容环境卫生管理条例》第五十六条规定情形的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0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对水域范围内的船舶、趸船或娱乐、餐饮等设施的所有者和经营者，未配备负责垃圾、粪便、污水接收处理等环境卫生事务的人员的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年修正）第五十条第一款第一项，第二款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7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对水域范围内的船舶、趸船或娱乐、餐饮等设施的所有者和经营者，未设置垃圾密闭储存容器和粪便、污水接收或者处理设施的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年修正）第五十条第一款第二项，第二款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94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对水域范围内的船舶、趸船或娱乐、餐饮等设施的所有者和经营者，未建立垃圾、粪便、污水处理或者接收移交证明专用记录簿的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年修正）第五十条第一款第三项，第二款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27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对水域范围内的船舶、趸船或娱乐、餐饮等设施的所有者和经营者，船舶垃圾中有毒有害、易燃易爆等废弃物的收集、运输和处理，未按国家有关规定办理的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年修正）第五十条第一款第四项，第二款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7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对水域范围内的船舶、趸船或娱乐、餐饮等设施的所有者和经营者，冲洗甲板或船舱将垃圾冲入水体的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年修正）第五十条第一款第五项，第二款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29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45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对水域范围内的船舶、趸船或娱乐、餐饮等设施的所有者和经营者，未先经卫生检疫机构卫生处理将来自疫情港口的船舶产生的垃圾、粪便进行委托清理的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年修正）第五十条第一款第六项，第二款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5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对作业者未及时清除渣土、淤泥、污物、枝叶，未保持路面清洁的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区县城市管理部门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《重庆市市容环境卫生管理条例》</w:t>
            </w:r>
            <w:r>
              <w:rPr>
                <w:rFonts w:hint="default" w:ascii="Times New Roman" w:hAnsi="Times New Roman" w:eastAsia="方正书宋_GBK" w:cs="Times New Roman"/>
                <w:snapToGrid/>
                <w:color w:val="auto"/>
                <w:sz w:val="24"/>
                <w:szCs w:val="24"/>
                <w:highlight w:val="none"/>
                <w:u w:val="none"/>
                <w:lang w:eastAsia="zh-CN"/>
              </w:rPr>
              <w:t>（</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年修正）第二十七条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5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对在崩塌、滑坡危险区或者泥石流易发区从事取土、挖砂、采石等可能造成水土流失的活动的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区县水利部门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《中华人民共和国水土保持法》（2010年修订）第四十八条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2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对在水利工程管理范围堆放杂物、晾晒粮草、放牧、种植、从事集市贸易的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区县水利部门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《重庆市水利工程管理条例》（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年修正）第五十条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0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49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对在禁捕区域内非法垂钓的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《重庆市人民代表大会常务委员会关于促进和保障长江流域禁捕工作的决定》（2021年施行）第四条、第十二条第四款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8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对互联网上网服务营业场所经营单位接纳未成年人进入营业场所的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区县文化旅游部门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行政处罚权（责令停产停业、吊销许可证件除外）以及与其行政处罚权有关的行政检查、行政强制措施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《互联网上网服务营业场所管理条例》（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仿宋_GBK" w:cs="Times New Roman"/>
                <w:snapToGrid/>
                <w:color w:val="auto"/>
                <w:sz w:val="24"/>
                <w:szCs w:val="24"/>
                <w:highlight w:val="none"/>
                <w:u w:val="none"/>
                <w:lang w:eastAsia="zh-CN"/>
              </w:rPr>
              <w:t>年修订）第三十一条第二项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9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对销售无卫生许可批准文件的涉及饮用水卫生安全的产品的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区县卫生健康部门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《生活饮用水卫生监督管理办法》（</w:t>
            </w:r>
            <w:r>
              <w:rPr>
                <w:rFonts w:hint="default" w:ascii="Times New Roman" w:hAnsi="Times New Roman" w:eastAsia="仿宋" w:cs="Times New Roman"/>
                <w:snapToGrid/>
                <w:color w:val="auto"/>
                <w:sz w:val="24"/>
                <w:szCs w:val="24"/>
                <w:highlight w:val="none"/>
                <w:u w:val="none"/>
                <w:lang w:eastAsia="zh-CN"/>
              </w:rPr>
              <w:t>2016</w:t>
            </w:r>
            <w:r>
              <w:rPr>
                <w:rFonts w:hint="default" w:ascii="Times New Roman" w:hAnsi="Times New Roman" w:eastAsia="方正书宋_GBK" w:cs="Times New Roman"/>
                <w:snapToGrid/>
                <w:color w:val="auto"/>
                <w:sz w:val="24"/>
                <w:szCs w:val="24"/>
                <w:highlight w:val="none"/>
                <w:u w:val="none"/>
                <w:lang w:eastAsia="zh-CN"/>
              </w:rPr>
              <w:t>年修改）第二十七条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对零售经营者变更零售点名称等信息并未重新办理零售许可证或者存放的烟花爆竹数量超过零售许可证载明范围的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区县应急管理部门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《烟花爆竹经营许可实施办法》（</w:t>
            </w:r>
            <w:r>
              <w:rPr>
                <w:rFonts w:hint="default" w:ascii="Times New Roman" w:hAnsi="Times New Roman" w:eastAsia="仿宋" w:cs="Times New Roman"/>
                <w:snapToGrid/>
                <w:color w:val="auto"/>
                <w:sz w:val="24"/>
                <w:szCs w:val="24"/>
                <w:highlight w:val="none"/>
                <w:u w:val="none"/>
                <w:lang w:eastAsia="zh-CN"/>
              </w:rPr>
              <w:t>2013</w:t>
            </w:r>
            <w:r>
              <w:rPr>
                <w:rFonts w:hint="default" w:ascii="Times New Roman" w:hAnsi="Times New Roman" w:eastAsia="方正书宋_GBK" w:cs="Times New Roman"/>
                <w:snapToGrid/>
                <w:color w:val="auto"/>
                <w:sz w:val="24"/>
                <w:szCs w:val="24"/>
                <w:highlight w:val="none"/>
                <w:u w:val="none"/>
                <w:lang w:eastAsia="zh-CN"/>
              </w:rPr>
              <w:t>年施行）第三十五条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59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对损坏或者擅自拆除、移动森林防火标志的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《重庆市森林防火条例》（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年修正）第四十五条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77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对森林防火期内，森林、林木、林地的经营单位未设置森林防火警示宣传标志的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w:t>
            </w:r>
            <w:r>
              <w:rPr>
                <w:rFonts w:hint="default" w:ascii="Times New Roman" w:hAnsi="Times New Roman" w:eastAsia="方正书宋_GBK" w:cs="Times New Roman"/>
                <w:snapToGrid/>
                <w:color w:val="auto"/>
                <w:sz w:val="24"/>
                <w:szCs w:val="24"/>
                <w:highlight w:val="none"/>
                <w:u w:val="none"/>
                <w:lang w:eastAsia="zh-CN"/>
              </w:rPr>
              <w:t>年修订）第五十二条第一项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7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对森林、林木、林地经营单位或个人未履行森林防火责任的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2008年</w:t>
            </w:r>
            <w:r>
              <w:rPr>
                <w:rFonts w:hint="default" w:ascii="Times New Roman" w:hAnsi="Times New Roman" w:eastAsia="方正书宋_GBK" w:cs="Times New Roman"/>
                <w:snapToGrid/>
                <w:color w:val="auto"/>
                <w:sz w:val="24"/>
                <w:szCs w:val="24"/>
                <w:highlight w:val="none"/>
                <w:u w:val="none"/>
                <w:lang w:eastAsia="zh-CN"/>
              </w:rPr>
              <w:t>修订）第四十八条；《重庆市森林防火条例》（</w:t>
            </w:r>
            <w:r>
              <w:rPr>
                <w:rFonts w:hint="default" w:ascii="Times New Roman" w:hAnsi="Times New Roman" w:eastAsia="仿宋" w:cs="Times New Roman"/>
                <w:snapToGrid/>
                <w:color w:val="auto"/>
                <w:sz w:val="24"/>
                <w:szCs w:val="24"/>
                <w:highlight w:val="none"/>
                <w:u w:val="none"/>
                <w:lang w:eastAsia="zh-CN"/>
              </w:rPr>
              <w:t>2018</w:t>
            </w:r>
            <w:r>
              <w:rPr>
                <w:rFonts w:hint="default" w:ascii="Times New Roman" w:hAnsi="Times New Roman" w:eastAsia="方正书宋_GBK" w:cs="Times New Roman"/>
                <w:snapToGrid/>
                <w:color w:val="auto"/>
                <w:sz w:val="24"/>
                <w:szCs w:val="24"/>
                <w:highlight w:val="none"/>
                <w:u w:val="none"/>
                <w:lang w:eastAsia="zh-CN"/>
              </w:rPr>
              <w:t>年修订）第四十四条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37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对森林防火区内的有关单位或者个人拒绝接受森林防火检查或者接到森林火灾隐患整改通知书逾期不消除火灾隐患的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《森林防火条例》（</w:t>
            </w:r>
            <w:r>
              <w:rPr>
                <w:rFonts w:hint="default" w:ascii="Times New Roman" w:hAnsi="Times New Roman" w:eastAsia="仿宋" w:cs="Times New Roman"/>
                <w:snapToGrid/>
                <w:color w:val="auto"/>
                <w:sz w:val="24"/>
                <w:szCs w:val="24"/>
                <w:highlight w:val="none"/>
                <w:u w:val="none"/>
                <w:lang w:eastAsia="zh-CN"/>
              </w:rPr>
              <w:t>2008</w:t>
            </w:r>
            <w:r>
              <w:rPr>
                <w:rFonts w:hint="default" w:ascii="Times New Roman" w:hAnsi="Times New Roman" w:eastAsia="方正书宋_GBK" w:cs="Times New Roman"/>
                <w:snapToGrid/>
                <w:color w:val="auto"/>
                <w:sz w:val="24"/>
                <w:szCs w:val="24"/>
                <w:highlight w:val="none"/>
                <w:u w:val="none"/>
                <w:lang w:eastAsia="zh-CN"/>
              </w:rPr>
              <w:t>年修订）第四十九条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43"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对消防安全重点单位及公安派出所监督检查单位以外其他单位或者个人在建筑物内部公共区域随意焚烧物品的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26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对消防安全重点单位及公安派出所监督检查单位以外其他单位或者个人占用、堵塞、封闭疏散通道、安全出口的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年修正）第六十条第一款第三项，第二款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10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59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对消防安全重点单位及公安派出所监督检查单位以外其他单位或者个人埋压、圈占、遮挡消火栓行为的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年修正）第六十条第一款第四项，第二款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21"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30" w:lineRule="exact"/>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对消防安全重点单位及公安派出所监督检查单位以外其他单位或者个人占用、堵塞、封闭消防车通道，妨碍消防车通行行为的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年修正）第六十条第一款第五项，第二款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51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对消防安全重点单位及公安派出所监督检查单位以外其他单位或者个人损坏、挪用或者擅自拆除、停用消防设施、器材的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年修正）第六十条第一款第二项，第二款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308"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eastAsia="zh-CN"/>
              </w:rPr>
            </w:pPr>
            <w:r>
              <w:rPr>
                <w:rFonts w:hint="eastAsia" w:ascii="Times New Roman" w:hAnsi="Times New Roman" w:eastAsia="方正书宋_GBK" w:cs="Times New Roman"/>
                <w:color w:val="auto"/>
                <w:sz w:val="24"/>
                <w:szCs w:val="24"/>
                <w:highlight w:val="none"/>
                <w:lang w:val="en-US" w:eastAsia="zh-CN"/>
              </w:rPr>
              <w:t>62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对消防安全重点单位及公安派出所监督检查单位以外其他单位或者个人在高层建筑内宾馆、餐饮场所的厨房烟道、燃气管道未定期检查、清洗和保养的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《重庆市高层建筑消防安全管理规定》（</w:t>
            </w:r>
            <w:r>
              <w:rPr>
                <w:rFonts w:hint="default" w:ascii="Times New Roman" w:hAnsi="Times New Roman" w:eastAsia="仿宋" w:cs="Times New Roman"/>
                <w:snapToGrid/>
                <w:color w:val="auto"/>
                <w:sz w:val="24"/>
                <w:szCs w:val="24"/>
                <w:highlight w:val="none"/>
                <w:u w:val="none"/>
                <w:lang w:eastAsia="zh-CN"/>
              </w:rPr>
              <w:t>2009</w:t>
            </w:r>
            <w:r>
              <w:rPr>
                <w:rFonts w:hint="default" w:ascii="Times New Roman" w:hAnsi="Times New Roman" w:eastAsia="方正书宋_GBK" w:cs="Times New Roman"/>
                <w:snapToGrid/>
                <w:color w:val="auto"/>
                <w:sz w:val="24"/>
                <w:szCs w:val="24"/>
                <w:highlight w:val="none"/>
                <w:u w:val="none"/>
                <w:lang w:eastAsia="zh-CN"/>
              </w:rPr>
              <w:t>年施行）第六十一条第一项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77"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对消防安全重点单位及公安派出所监督检查单位以外其他单位在人员密集场所的门窗上设置影响逃生和灭火救援的障碍物的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年修正）第六十条第六项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70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对消防安全重点单位及公安派出所监督检查单位以外其他具有火灾、爆炸危险的场所吸烟的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行政处罚权（公安机关依法行使的除外）以及与其行政处罚权有关的行政检查、行政强制措施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年修正）第六十三条第二项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5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对消防安全重点单位及公安派出所监督检查单位以外其他单位或者个人违反规定使用明火作业的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行政处罚权（公安机关依法行使的除外）以及与其行政处罚权有关的行政检查、行政强制措施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年修正）第六十三条第二项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17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对消防安全重点单位及公安派出所监督检查单位以外其他的机关、团体、企业、事业等单位或者个人违反《中华人民共和国消防法》第十八条、第二十一条第二款规定情形的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年修正）第六十七条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45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对消防安全重点单位及公安派出所监督检查单位以外其他单位未安排消防控制室值班人员或安排值班人员数量不符合要求的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3792"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《重庆市消防条例》（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年修订）第七十三条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5269"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69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区县消防救援机构</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《中华人民共和国消防法》（</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0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对殡仪馆、殡仪服务站以外的单位和个人从事经营性殡葬服务活动的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区县民政部门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《重庆市殡葬管理条例》（</w:t>
            </w:r>
            <w:r>
              <w:rPr>
                <w:rFonts w:hint="default" w:ascii="Times New Roman" w:hAnsi="Times New Roman" w:eastAsia="仿宋" w:cs="Times New Roman"/>
                <w:snapToGrid/>
                <w:color w:val="auto"/>
                <w:sz w:val="24"/>
                <w:szCs w:val="24"/>
                <w:highlight w:val="none"/>
                <w:u w:val="none"/>
                <w:lang w:eastAsia="zh-CN"/>
              </w:rPr>
              <w:t>2022</w:t>
            </w:r>
            <w:r>
              <w:rPr>
                <w:rFonts w:hint="default" w:ascii="Times New Roman" w:hAnsi="Times New Roman" w:eastAsia="方正书宋_GBK" w:cs="Times New Roman"/>
                <w:snapToGrid/>
                <w:color w:val="auto"/>
                <w:sz w:val="24"/>
                <w:szCs w:val="24"/>
                <w:highlight w:val="none"/>
                <w:u w:val="none"/>
                <w:lang w:eastAsia="zh-CN"/>
              </w:rPr>
              <w:t>年修正）第二十五条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62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pacing w:val="-6"/>
                <w:sz w:val="24"/>
                <w:szCs w:val="24"/>
                <w:highlight w:val="none"/>
                <w:lang w:eastAsia="zh-CN"/>
              </w:rPr>
              <w:t>对违反《基本农田保护条例》规定，破坏或者擅自改变基本农田保护区标志的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pacing w:val="-6"/>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区县规划和自然资源部门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《基本农田保护条例》（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年修订）第三十二条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820"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72</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对建设单位或物业服务企业未按照《重庆市物业管理条例》第十七条规定报送有关资料的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区县城市管理部门（由住房城乡建设部门划入事项）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《重庆市物业管理条例》（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年修正）第一百条第二项、第一百零一条第一项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209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73</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对建设单位或物业服务企业未按照《重庆市物业管理条例》第五十二条规定移交资料的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区县城市管理部门（由住房城乡建设部门划入事项）</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《重庆市物业管理条例》（</w:t>
            </w:r>
            <w:r>
              <w:rPr>
                <w:rFonts w:hint="default" w:ascii="Times New Roman" w:hAnsi="Times New Roman" w:eastAsia="仿宋" w:cs="Times New Roman"/>
                <w:snapToGrid/>
                <w:color w:val="auto"/>
                <w:sz w:val="24"/>
                <w:szCs w:val="24"/>
                <w:highlight w:val="none"/>
                <w:u w:val="none"/>
                <w:lang w:eastAsia="zh-CN"/>
              </w:rPr>
              <w:t>2024</w:t>
            </w:r>
            <w:r>
              <w:rPr>
                <w:rFonts w:hint="default" w:ascii="Times New Roman" w:hAnsi="Times New Roman" w:eastAsia="方正书宋_GBK" w:cs="Times New Roman"/>
                <w:snapToGrid/>
                <w:color w:val="auto"/>
                <w:sz w:val="24"/>
                <w:szCs w:val="24"/>
                <w:highlight w:val="none"/>
                <w:u w:val="none"/>
                <w:lang w:eastAsia="zh-CN"/>
              </w:rPr>
              <w:t>年修正）第一百条第五项、第一百零一条第三项</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83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74</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对违反乡道公路建筑控制区管理规定的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年修正）第八十一条；《公路安全保护条例》（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年施行）第五十六条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75</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对在乡道公路用地范围内设置公路标志以外的其他标志的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年修正）第七十九条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76</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对未经批准在乡道上增设平面交叉道口的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《中华人民共和国公路法》（</w:t>
            </w:r>
            <w:r>
              <w:rPr>
                <w:rFonts w:hint="default" w:ascii="Times New Roman" w:hAnsi="Times New Roman" w:eastAsia="仿宋" w:cs="Times New Roman"/>
                <w:snapToGrid/>
                <w:color w:val="auto"/>
                <w:sz w:val="24"/>
                <w:szCs w:val="24"/>
                <w:highlight w:val="none"/>
                <w:u w:val="none"/>
                <w:lang w:eastAsia="zh-CN"/>
              </w:rPr>
              <w:t>2017</w:t>
            </w:r>
            <w:r>
              <w:rPr>
                <w:rFonts w:hint="default" w:ascii="Times New Roman" w:hAnsi="Times New Roman" w:eastAsia="方正书宋_GBK" w:cs="Times New Roman"/>
                <w:snapToGrid/>
                <w:color w:val="auto"/>
                <w:sz w:val="24"/>
                <w:szCs w:val="24"/>
                <w:highlight w:val="none"/>
                <w:u w:val="none"/>
                <w:lang w:eastAsia="zh-CN"/>
              </w:rPr>
              <w:t>年修正）第八十条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77</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对未经许可在乡道上进行涉路施工活动的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年施行）第六十二条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296"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78</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对未经批准更新采伐乡道护路林的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区县交通运输部门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《公路安全保护条例》（</w:t>
            </w:r>
            <w:r>
              <w:rPr>
                <w:rFonts w:hint="default" w:ascii="Times New Roman" w:hAnsi="Times New Roman" w:eastAsia="仿宋" w:cs="Times New Roman"/>
                <w:snapToGrid/>
                <w:color w:val="auto"/>
                <w:sz w:val="24"/>
                <w:szCs w:val="24"/>
                <w:highlight w:val="none"/>
                <w:u w:val="none"/>
                <w:lang w:eastAsia="zh-CN"/>
              </w:rPr>
              <w:t>2011</w:t>
            </w:r>
            <w:r>
              <w:rPr>
                <w:rFonts w:hint="default" w:ascii="Times New Roman" w:hAnsi="Times New Roman" w:eastAsia="方正书宋_GBK" w:cs="Times New Roman"/>
                <w:snapToGrid/>
                <w:color w:val="auto"/>
                <w:sz w:val="24"/>
                <w:szCs w:val="24"/>
                <w:highlight w:val="none"/>
                <w:u w:val="none"/>
                <w:lang w:eastAsia="zh-CN"/>
              </w:rPr>
              <w:t>年施行）第六十一条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94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79</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对在人口集中地区、机场周围、交通干线附近以及市人民政府划定的其他禁止区域内露天焚烧秸秆的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《重庆市大气污染防治条例》（</w:t>
            </w:r>
            <w:r>
              <w:rPr>
                <w:rFonts w:hint="default" w:ascii="Times New Roman" w:hAnsi="Times New Roman" w:eastAsia="仿宋" w:cs="Times New Roman"/>
                <w:snapToGrid/>
                <w:color w:val="auto"/>
                <w:sz w:val="24"/>
                <w:szCs w:val="24"/>
                <w:highlight w:val="none"/>
                <w:u w:val="none"/>
                <w:lang w:eastAsia="zh-CN"/>
              </w:rPr>
              <w:t>2021</w:t>
            </w:r>
            <w:r>
              <w:rPr>
                <w:rFonts w:hint="default" w:ascii="Times New Roman" w:hAnsi="Times New Roman" w:eastAsia="方正书宋_GBK" w:cs="Times New Roman"/>
                <w:snapToGrid/>
                <w:color w:val="auto"/>
                <w:sz w:val="24"/>
                <w:szCs w:val="24"/>
                <w:highlight w:val="none"/>
                <w:u w:val="none"/>
                <w:lang w:eastAsia="zh-CN"/>
              </w:rPr>
              <w:t>年修正）第九十条第二款</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84"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80</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对违反《农药管理条例》（2022修订）第五十八条规定情形的</w:t>
            </w:r>
            <w:r>
              <w:rPr>
                <w:rFonts w:hint="default" w:ascii="Times New Roman" w:hAnsi="Times New Roman" w:eastAsia="方正书宋_GBK" w:cs="Times New Roman"/>
                <w:snapToGrid/>
                <w:color w:val="auto"/>
                <w:sz w:val="24"/>
                <w:szCs w:val="24"/>
                <w:highlight w:val="none"/>
                <w:u w:val="none"/>
                <w:lang w:eastAsia="zh-CN"/>
              </w:rPr>
              <w:t>行政</w:t>
            </w:r>
            <w:r>
              <w:rPr>
                <w:rFonts w:hint="default" w:ascii="Times New Roman" w:hAnsi="Times New Roman" w:eastAsia="方正书宋_GBK" w:cs="Times New Roman"/>
                <w:color w:val="auto"/>
                <w:sz w:val="24"/>
                <w:szCs w:val="24"/>
                <w:highlight w:val="none"/>
                <w:lang w:eastAsia="zh-CN"/>
              </w:rPr>
              <w:t>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区县农业农村部门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《农药管理条例》（</w:t>
            </w:r>
            <w:r>
              <w:rPr>
                <w:rFonts w:hint="default" w:ascii="Times New Roman" w:hAnsi="Times New Roman" w:eastAsia="仿宋" w:cs="Times New Roman"/>
                <w:snapToGrid/>
                <w:color w:val="auto"/>
                <w:sz w:val="24"/>
                <w:szCs w:val="24"/>
                <w:highlight w:val="none"/>
                <w:u w:val="none"/>
                <w:lang w:eastAsia="zh-CN"/>
              </w:rPr>
              <w:t>2022年</w:t>
            </w:r>
            <w:r>
              <w:rPr>
                <w:rFonts w:hint="default" w:ascii="Times New Roman" w:hAnsi="Times New Roman" w:eastAsia="方正书宋_GBK" w:cs="Times New Roman"/>
                <w:snapToGrid/>
                <w:color w:val="auto"/>
                <w:sz w:val="24"/>
                <w:szCs w:val="24"/>
                <w:highlight w:val="none"/>
                <w:u w:val="none"/>
                <w:lang w:eastAsia="zh-CN"/>
              </w:rPr>
              <w:t>修订）第五十八条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r>
        <w:tblPrEx>
          <w:tblBorders>
            <w:top w:val="single" w:color="000000" w:sz="4" w:space="0"/>
            <w:left w:val="single" w:color="000000" w:sz="4" w:space="0"/>
            <w:bottom w:val="single" w:color="000000" w:sz="4" w:space="0"/>
            <w:right w:val="single" w:color="000000" w:sz="4" w:space="0"/>
            <w:insideH w:val="dotted" w:color="000000" w:sz="4" w:space="0"/>
            <w:insideV w:val="dotted" w:color="000000" w:sz="4" w:space="0"/>
          </w:tblBorders>
          <w:tblCellMar>
            <w:top w:w="0" w:type="dxa"/>
            <w:left w:w="23" w:type="dxa"/>
            <w:bottom w:w="0" w:type="dxa"/>
            <w:right w:w="23" w:type="dxa"/>
          </w:tblCellMar>
        </w:tblPrEx>
        <w:trPr>
          <w:trHeight w:val="1485" w:hRule="atLeast"/>
          <w:jc w:val="center"/>
        </w:trPr>
        <w:tc>
          <w:tcPr>
            <w:tcW w:w="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96" w:leftChars="-30" w:right="-96" w:rightChars="-30" w:firstLine="0" w:firstLineChars="0"/>
              <w:jc w:val="center"/>
              <w:textAlignment w:val="center"/>
              <w:rPr>
                <w:rFonts w:hint="default" w:ascii="Times New Roman" w:hAnsi="Times New Roman" w:eastAsia="方正书宋_GBK" w:cs="Times New Roman"/>
                <w:color w:val="auto"/>
                <w:sz w:val="24"/>
                <w:szCs w:val="24"/>
                <w:highlight w:val="none"/>
                <w:lang w:val="en-US"/>
              </w:rPr>
            </w:pPr>
            <w:r>
              <w:rPr>
                <w:rFonts w:hint="eastAsia" w:ascii="Times New Roman" w:hAnsi="Times New Roman" w:eastAsia="方正书宋_GBK" w:cs="Times New Roman"/>
                <w:color w:val="auto"/>
                <w:sz w:val="24"/>
                <w:szCs w:val="24"/>
                <w:highlight w:val="none"/>
                <w:lang w:val="en-US" w:eastAsia="zh-CN"/>
              </w:rPr>
              <w:t>81</w:t>
            </w:r>
          </w:p>
        </w:tc>
        <w:tc>
          <w:tcPr>
            <w:tcW w:w="23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对森林防火期内携带火种或者易燃易爆物品进入森林防火区行为的行政处罚</w:t>
            </w:r>
          </w:p>
        </w:tc>
        <w:tc>
          <w:tcPr>
            <w:tcW w:w="11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rPr>
            </w:pPr>
            <w:r>
              <w:rPr>
                <w:rFonts w:hint="default" w:ascii="Times New Roman" w:hAnsi="Times New Roman" w:eastAsia="方正书宋_GBK" w:cs="Times New Roman"/>
                <w:color w:val="auto"/>
                <w:sz w:val="24"/>
                <w:szCs w:val="24"/>
                <w:highlight w:val="none"/>
                <w:lang w:eastAsia="zh-CN"/>
              </w:rPr>
              <w:t>区县林业部门</w:t>
            </w:r>
          </w:p>
        </w:tc>
        <w:tc>
          <w:tcPr>
            <w:tcW w:w="18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行政处罚权以及与其行政处罚权有关的行政检查、行政强制措施</w:t>
            </w:r>
          </w:p>
        </w:tc>
        <w:tc>
          <w:tcPr>
            <w:tcW w:w="2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书宋_GBK" w:cs="Times New Roman"/>
                <w:color w:val="auto"/>
                <w:sz w:val="24"/>
                <w:szCs w:val="24"/>
                <w:highlight w:val="none"/>
                <w:lang w:eastAsia="zh-CN"/>
              </w:rPr>
            </w:pPr>
            <w:r>
              <w:rPr>
                <w:rFonts w:hint="default" w:ascii="Times New Roman" w:hAnsi="Times New Roman" w:eastAsia="方正书宋_GBK" w:cs="Times New Roman"/>
                <w:color w:val="auto"/>
                <w:sz w:val="24"/>
                <w:szCs w:val="24"/>
                <w:highlight w:val="none"/>
                <w:lang w:eastAsia="zh-CN"/>
              </w:rPr>
              <w:t>《重庆市森林防火条例》（</w:t>
            </w:r>
            <w:r>
              <w:rPr>
                <w:rFonts w:hint="default" w:ascii="Times New Roman" w:hAnsi="Times New Roman" w:eastAsia="仿宋" w:cs="Times New Roman"/>
                <w:snapToGrid/>
                <w:color w:val="auto"/>
                <w:sz w:val="24"/>
                <w:szCs w:val="24"/>
                <w:highlight w:val="none"/>
                <w:u w:val="none"/>
                <w:lang w:eastAsia="zh-CN"/>
              </w:rPr>
              <w:t>2018年</w:t>
            </w:r>
            <w:r>
              <w:rPr>
                <w:rFonts w:hint="default" w:ascii="Times New Roman" w:hAnsi="Times New Roman" w:eastAsia="方正书宋_GBK" w:cs="Times New Roman"/>
                <w:snapToGrid/>
                <w:color w:val="auto"/>
                <w:sz w:val="24"/>
                <w:szCs w:val="24"/>
                <w:highlight w:val="none"/>
                <w:u w:val="none"/>
                <w:lang w:eastAsia="zh-CN"/>
              </w:rPr>
              <w:t>修订）第四十六条</w:t>
            </w:r>
          </w:p>
        </w:tc>
        <w:tc>
          <w:tcPr>
            <w:tcW w:w="8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书宋_GBK" w:cs="Times New Roman"/>
                <w:color w:val="auto"/>
                <w:sz w:val="24"/>
                <w:szCs w:val="24"/>
                <w:highlight w:val="none"/>
                <w:lang w:eastAsia="zh-CN"/>
              </w:rPr>
            </w:pPr>
            <w:r>
              <w:rPr>
                <w:rFonts w:hint="eastAsia" w:ascii="Times New Roman" w:hAnsi="Times New Roman" w:eastAsia="方正书宋_GBK" w:cs="Times New Roman"/>
                <w:color w:val="auto"/>
                <w:sz w:val="24"/>
                <w:szCs w:val="24"/>
                <w:highlight w:val="none"/>
                <w:lang w:eastAsia="zh-CN"/>
              </w:rPr>
              <w:t>广顺街道办事处</w:t>
            </w:r>
          </w:p>
        </w:tc>
      </w:tr>
    </w:tbl>
    <w:p/>
    <w:p>
      <w:pPr>
        <w:pStyle w:val="2"/>
      </w:pPr>
    </w:p>
    <w:p/>
    <w:p>
      <w:pPr>
        <w:ind w:left="0" w:leftChars="0" w:right="0" w:rightChars="0" w:firstLine="0" w:firstLineChars="0"/>
        <w:jc w:val="center"/>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委托行政执法事项清单</w:t>
      </w:r>
    </w:p>
    <w:tbl>
      <w:tblPr>
        <w:tblStyle w:val="6"/>
        <w:tblW w:w="8837" w:type="dxa"/>
        <w:jc w:val="center"/>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Layout w:type="fixed"/>
        <w:tblCellMar>
          <w:top w:w="0" w:type="dxa"/>
          <w:left w:w="23" w:type="dxa"/>
          <w:bottom w:w="0" w:type="dxa"/>
          <w:right w:w="23" w:type="dxa"/>
        </w:tblCellMar>
      </w:tblPr>
      <w:tblGrid>
        <w:gridCol w:w="377"/>
        <w:gridCol w:w="1626"/>
        <w:gridCol w:w="975"/>
        <w:gridCol w:w="937"/>
        <w:gridCol w:w="1294"/>
        <w:gridCol w:w="1613"/>
        <w:gridCol w:w="2015"/>
      </w:tblGrid>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670" w:hRule="atLeast"/>
          <w:tblHeader/>
          <w:jc w:val="center"/>
        </w:trPr>
        <w:tc>
          <w:tcPr>
            <w:tcW w:w="377"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kern w:val="0"/>
                <w:sz w:val="24"/>
                <w:szCs w:val="24"/>
              </w:rPr>
              <w:t>序号</w:t>
            </w:r>
          </w:p>
        </w:tc>
        <w:tc>
          <w:tcPr>
            <w:tcW w:w="1626"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委托</w:t>
            </w:r>
            <w:r>
              <w:rPr>
                <w:rFonts w:ascii="Times New Roman" w:hAnsi="Times New Roman" w:eastAsia="方正黑体_GBK" w:cs="Times New Roman"/>
                <w:kern w:val="0"/>
                <w:sz w:val="24"/>
                <w:szCs w:val="24"/>
              </w:rPr>
              <w:t>事项名称</w:t>
            </w:r>
          </w:p>
        </w:tc>
        <w:tc>
          <w:tcPr>
            <w:tcW w:w="975"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w:t>
            </w:r>
          </w:p>
          <w:p>
            <w:pPr>
              <w:widowControl/>
              <w:spacing w:line="300" w:lineRule="exact"/>
              <w:ind w:firstLine="0" w:firstLineChars="0"/>
              <w:jc w:val="center"/>
              <w:textAlignment w:val="center"/>
              <w:rPr>
                <w:rFonts w:hint="eastAsia"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单位</w:t>
            </w:r>
          </w:p>
        </w:tc>
        <w:tc>
          <w:tcPr>
            <w:tcW w:w="937"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受委托</w:t>
            </w:r>
          </w:p>
          <w:p>
            <w:pPr>
              <w:widowControl/>
              <w:spacing w:line="300" w:lineRule="exact"/>
              <w:ind w:firstLine="0" w:firstLineChars="0"/>
              <w:jc w:val="center"/>
              <w:textAlignment w:val="center"/>
              <w:rPr>
                <w:rFonts w:ascii="Times New Roman" w:hAnsi="Times New Roman" w:eastAsia="方正黑体_GBK" w:cs="Times New Roman"/>
                <w:sz w:val="24"/>
                <w:szCs w:val="24"/>
              </w:rPr>
            </w:pPr>
            <w:r>
              <w:rPr>
                <w:rFonts w:hint="eastAsia" w:ascii="Times New Roman" w:hAnsi="Times New Roman" w:eastAsia="方正黑体_GBK" w:cs="Times New Roman"/>
                <w:kern w:val="0"/>
                <w:sz w:val="24"/>
                <w:szCs w:val="24"/>
              </w:rPr>
              <w:t>镇（街道）</w:t>
            </w:r>
          </w:p>
        </w:tc>
        <w:tc>
          <w:tcPr>
            <w:tcW w:w="1294"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委托权限</w:t>
            </w:r>
          </w:p>
        </w:tc>
        <w:tc>
          <w:tcPr>
            <w:tcW w:w="1613"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hint="eastAsia" w:ascii="Times New Roman" w:hAnsi="Times New Roman" w:eastAsia="方正黑体_GBK" w:cs="Times New Roman"/>
                <w:sz w:val="24"/>
                <w:szCs w:val="24"/>
              </w:rPr>
            </w:pPr>
            <w:r>
              <w:rPr>
                <w:rFonts w:ascii="Times New Roman" w:hAnsi="Times New Roman" w:eastAsia="方正黑体_GBK" w:cs="Times New Roman"/>
                <w:kern w:val="0"/>
                <w:sz w:val="24"/>
                <w:szCs w:val="24"/>
              </w:rPr>
              <w:t>执法依据</w:t>
            </w:r>
          </w:p>
        </w:tc>
        <w:tc>
          <w:tcPr>
            <w:tcW w:w="2015" w:type="dxa"/>
            <w:tcBorders>
              <w:tl2br w:val="nil"/>
              <w:tr2bl w:val="nil"/>
            </w:tcBorders>
            <w:noWrap w:val="0"/>
            <w:tcMar>
              <w:top w:w="0" w:type="dxa"/>
              <w:left w:w="28" w:type="dxa"/>
              <w:bottom w:w="0" w:type="dxa"/>
              <w:right w:w="28" w:type="dxa"/>
            </w:tcMar>
            <w:vAlign w:val="center"/>
          </w:tcPr>
          <w:p>
            <w:pPr>
              <w:widowControl/>
              <w:spacing w:line="300" w:lineRule="exact"/>
              <w:ind w:firstLine="0" w:firstLineChars="0"/>
              <w:jc w:val="center"/>
              <w:textAlignment w:val="center"/>
              <w:rPr>
                <w:rFonts w:ascii="Times New Roman" w:hAnsi="Times New Roman" w:eastAsia="方正黑体_GBK" w:cs="Times New Roman"/>
                <w:kern w:val="0"/>
                <w:sz w:val="24"/>
                <w:szCs w:val="24"/>
              </w:rPr>
            </w:pPr>
            <w:r>
              <w:rPr>
                <w:rFonts w:hint="eastAsia" w:ascii="Times New Roman" w:hAnsi="Times New Roman" w:eastAsia="方正黑体_GBK" w:cs="Times New Roman"/>
                <w:kern w:val="0"/>
                <w:sz w:val="24"/>
                <w:szCs w:val="24"/>
              </w:rPr>
              <w:t>委托依据</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对载客进燃气充装站充气的处罚</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500元以下罚款、</w:t>
            </w: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2000元以上5000元以下罚款的处罚</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《重庆市消防条例》第四十二条第（一）项</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对载客进入加油站加油的处罚</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500元以下罚款、</w:t>
            </w: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2000元以上5000元以下罚款的处罚</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《重庆市消防条例》第四十二条第（一）项</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562"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对不及时消除火灾隐患的处罚</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对单位处</w:t>
            </w:r>
            <w:r>
              <w:rPr>
                <w:rFonts w:hint="eastAsia" w:ascii="Times New Roman" w:hAnsi="Times New Roman" w:eastAsia="方正书宋_GBK" w:cs="方正书宋_GBK"/>
                <w:kern w:val="0"/>
                <w:sz w:val="24"/>
                <w:szCs w:val="24"/>
                <w:lang w:val="en-US" w:eastAsia="zh-CN"/>
              </w:rPr>
              <w:t>5000元罚款的处罚</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《中华人民共和国消防法》第六十条第一款第（七）项</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3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对机关、团体、企业、事业等单位违反《中华人民共和国消防法》第十六条、第十七条规定的处罚</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警告</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《中华人民共和国消防法》第六十七条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89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对消防设施、器材、消防安全标志未保持完好有效的处罚</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区消防救援支队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center"/>
              <w:textAlignment w:val="center"/>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对个人处</w:t>
            </w:r>
            <w:r>
              <w:rPr>
                <w:rFonts w:hint="eastAsia" w:ascii="Times New Roman" w:hAnsi="Times New Roman" w:eastAsia="方正书宋_GBK" w:cs="方正书宋_GBK"/>
                <w:kern w:val="0"/>
                <w:sz w:val="24"/>
                <w:szCs w:val="24"/>
                <w:lang w:val="en-US" w:eastAsia="zh-CN"/>
              </w:rPr>
              <w:t>100元以上500元以下罚款、</w:t>
            </w:r>
            <w:r>
              <w:rPr>
                <w:rFonts w:hint="eastAsia" w:ascii="Times New Roman" w:hAnsi="Times New Roman" w:eastAsia="方正书宋_GBK" w:cs="方正书宋_GBK"/>
                <w:color w:val="000000"/>
                <w:kern w:val="0"/>
                <w:sz w:val="24"/>
                <w:szCs w:val="24"/>
                <w:lang w:eastAsia="zh-CN"/>
              </w:rPr>
              <w:t>对单位处</w:t>
            </w:r>
            <w:r>
              <w:rPr>
                <w:rFonts w:hint="eastAsia" w:ascii="Times New Roman" w:hAnsi="Times New Roman" w:eastAsia="方正书宋_GBK" w:cs="方正书宋_GBK"/>
                <w:color w:val="000000"/>
                <w:kern w:val="0"/>
                <w:sz w:val="24"/>
                <w:szCs w:val="24"/>
                <w:lang w:val="en-US" w:eastAsia="zh-CN"/>
              </w:rPr>
              <w:t>5000元罚款的处罚</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《中华人民共和国消防法》第六十条第一款第（一）项；《重庆市消防条例》第六十八条第（一）项</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354" w:lineRule="exact"/>
              <w:ind w:left="48" w:leftChars="15" w:right="48" w:rightChars="15" w:firstLine="0" w:firstLineChars="0"/>
              <w:jc w:val="both"/>
              <w:textAlignment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《重庆市消防安全责任制实施办法》第十二条</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《重庆市人民政府办公厅关于乡镇消防委托执法工作的实施意见》</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41"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驾驶轻便摩托车载人的（限于委托乡镇执法使用）</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罚款100元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《中华人民共和国道路交通安全法实施条例》第五十五条第三项；《中华人民共和国道路交通安全法》第九十条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48"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922"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摩托车后座乘坐不满十二周岁未成年人的（限于委托乡镇执法使用）</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《中华人民共和国道路交通安全法实施条例》第五十五条第三项；《中华人民共和国道路交通安全法》第九十条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675"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驾驶两轮摩托车时驾驶人未按规定戴安全头盔的（限于委托乡镇执法使用）</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罚款100元，扣1分</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驾驶三轮摩托车时驾驶人未按规定戴安全头盔的（限于委托乡镇执法使用）</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019"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在乡道或村道上驾驶摩托车超过额定乘员的（限于委托乡镇执法使用）</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《中华人民共和国道路交通安全法》第四十九条、第九十条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3158"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乘坐两轮摩托车未正向骑坐的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《中华人民共和国道路交通安全法实施条例》第七十七条第五项；《中华人民共和国道路交通安全法》第八十九条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69"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乘坐摩托车不戴安全头盔的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罚款30元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《中华人民共和国道路交通安全法》第五十一条、第八十九条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《重庆市道路交通安全条例》第七十六条第二款第（一）项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机动车违反禁令标志指示的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《中华人民共和国道路交通安全法》第三十八条、第九十条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《重庆市道路交通安全条例》第七十六条第二款第（二）项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机动车违反规定停放、临时停车，驾驶人不在现场或者虽在现场但驾驶人拒绝立即驶离，妨碍其它车辆、行人通行的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罚款100元（首违警告）</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《中华人民共和国道路交通安全法》第五十六条、第九十三条；《中华人民共和国道路交通安全法实施条例》第六十三条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《重庆市道路交通安全条例》第七十六条第二款第（三）项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850"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未经许可，占用道路从事非交通活动的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罚款50元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《中华人民共和国道路交通安全法》第三十一条、第八十九条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《重庆市道路交通安全条例》第七十六条第二款第（四）项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737"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机动车载物行驶时遗洒、飘散载运物的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《中华人民共和国道路交通安全法》第四十八条、第九十条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《重庆市道路交通安全条例》第七十六条第二款第七项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1353"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驾驶低速电动车违规载人的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《中华人民共和国道路交通安全法》第四十九、九十条</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《重庆市道路交通安全条例》第七十六条第二款第八项</w:t>
            </w:r>
          </w:p>
        </w:tc>
      </w:tr>
      <w:tr>
        <w:tblPrEx>
          <w:tblBorders>
            <w:top w:val="single" w:color="auto" w:sz="6" w:space="0"/>
            <w:left w:val="single" w:color="auto" w:sz="6" w:space="0"/>
            <w:bottom w:val="single" w:color="auto" w:sz="6" w:space="0"/>
            <w:right w:val="single" w:color="auto" w:sz="6" w:space="0"/>
            <w:insideH w:val="dotted" w:color="auto" w:sz="4" w:space="0"/>
            <w:insideV w:val="dotted" w:color="auto" w:sz="4" w:space="0"/>
          </w:tblBorders>
          <w:tblCellMar>
            <w:top w:w="0" w:type="dxa"/>
            <w:left w:w="23" w:type="dxa"/>
            <w:bottom w:w="0" w:type="dxa"/>
            <w:right w:w="23" w:type="dxa"/>
          </w:tblCellMar>
        </w:tblPrEx>
        <w:trPr>
          <w:trHeight w:val="2254" w:hRule="atLeast"/>
          <w:jc w:val="center"/>
        </w:trPr>
        <w:tc>
          <w:tcPr>
            <w:tcW w:w="37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center"/>
              <w:textAlignment w:val="center"/>
              <w:rPr>
                <w:rFonts w:hint="default"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w:t>
            </w:r>
          </w:p>
        </w:tc>
        <w:tc>
          <w:tcPr>
            <w:tcW w:w="1626"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驾驶低速电动车货厢载人的</w:t>
            </w:r>
          </w:p>
        </w:tc>
        <w:tc>
          <w:tcPr>
            <w:tcW w:w="97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区公安局交巡警支队</w:t>
            </w:r>
          </w:p>
        </w:tc>
        <w:tc>
          <w:tcPr>
            <w:tcW w:w="937"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0" w:leftChars="0" w:right="0" w:rightChars="0" w:firstLine="0" w:firstLineChars="0"/>
              <w:jc w:val="center"/>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广顺街道办事处</w:t>
            </w:r>
          </w:p>
        </w:tc>
        <w:tc>
          <w:tcPr>
            <w:tcW w:w="1294"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罚款200元</w:t>
            </w:r>
          </w:p>
        </w:tc>
        <w:tc>
          <w:tcPr>
            <w:tcW w:w="1613"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《中华人民共和国道路交通安全法》第五十条第一款、第九十条；《中华人民共和国道路交通安全法实施条例》第五十五条第二项</w:t>
            </w:r>
          </w:p>
        </w:tc>
        <w:tc>
          <w:tcPr>
            <w:tcW w:w="2015" w:type="dxa"/>
            <w:tcBorders>
              <w:tl2br w:val="nil"/>
              <w:tr2bl w:val="nil"/>
            </w:tcBorders>
            <w:noWrap w:val="0"/>
            <w:tcMar>
              <w:top w:w="0" w:type="dxa"/>
              <w:left w:w="28" w:type="dxa"/>
              <w:bottom w:w="0" w:type="dxa"/>
              <w:right w:w="28" w:type="dxa"/>
            </w:tcMar>
            <w:vAlign w:val="center"/>
          </w:tcPr>
          <w:p>
            <w:pPr>
              <w:widowControl/>
              <w:adjustRightInd w:val="0"/>
              <w:snapToGrid w:val="0"/>
              <w:spacing w:line="240" w:lineRule="auto"/>
              <w:ind w:leftChars="0" w:right="0" w:rightChars="0" w:firstLine="0" w:firstLineChars="0"/>
              <w:jc w:val="both"/>
              <w:textAlignment w:val="center"/>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《重庆市道路交通安全条例》第七十六条第二款第七项</w:t>
            </w:r>
          </w:p>
        </w:tc>
      </w:tr>
    </w:tbl>
    <w:p>
      <w:pPr>
        <w:pStyle w:val="2"/>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7105B"/>
    <w:rsid w:val="15184670"/>
    <w:rsid w:val="1667105B"/>
    <w:rsid w:val="16741118"/>
    <w:rsid w:val="1FFBFC55"/>
    <w:rsid w:val="28778C0C"/>
    <w:rsid w:val="3840005B"/>
    <w:rsid w:val="3960768E"/>
    <w:rsid w:val="3AF28DD0"/>
    <w:rsid w:val="3BC366A5"/>
    <w:rsid w:val="3F76B174"/>
    <w:rsid w:val="45AB33D4"/>
    <w:rsid w:val="4D272619"/>
    <w:rsid w:val="57ABD180"/>
    <w:rsid w:val="5FBD75D6"/>
    <w:rsid w:val="5FED4AE4"/>
    <w:rsid w:val="6DA50206"/>
    <w:rsid w:val="6EEE0C49"/>
    <w:rsid w:val="6FAA314E"/>
    <w:rsid w:val="6FCDFAE2"/>
    <w:rsid w:val="6FFEAD2B"/>
    <w:rsid w:val="73186682"/>
    <w:rsid w:val="7A77381D"/>
    <w:rsid w:val="7CFD4426"/>
    <w:rsid w:val="7D08504E"/>
    <w:rsid w:val="7DDF88D4"/>
    <w:rsid w:val="7DFF1013"/>
    <w:rsid w:val="7EFE7FA5"/>
    <w:rsid w:val="7F5360D4"/>
    <w:rsid w:val="7FE26A12"/>
    <w:rsid w:val="7FF20C1D"/>
    <w:rsid w:val="7FFFBD8F"/>
    <w:rsid w:val="7FFFDC37"/>
    <w:rsid w:val="9AFFB23E"/>
    <w:rsid w:val="9FFB5A7A"/>
    <w:rsid w:val="BD76327D"/>
    <w:rsid w:val="BF5783E2"/>
    <w:rsid w:val="BFF363C4"/>
    <w:rsid w:val="DCA73FF4"/>
    <w:rsid w:val="DF9FC113"/>
    <w:rsid w:val="DFFFF9E5"/>
    <w:rsid w:val="E63D8595"/>
    <w:rsid w:val="EEFD73D6"/>
    <w:rsid w:val="EF6D8C1A"/>
    <w:rsid w:val="EFFDEF5D"/>
    <w:rsid w:val="F3BF1877"/>
    <w:rsid w:val="F7650B15"/>
    <w:rsid w:val="F7F36587"/>
    <w:rsid w:val="F7FFDD82"/>
    <w:rsid w:val="FB7DBE08"/>
    <w:rsid w:val="FB7F6413"/>
    <w:rsid w:val="FBAEE13E"/>
    <w:rsid w:val="FBBF5A1E"/>
    <w:rsid w:val="FDBF9E1D"/>
    <w:rsid w:val="FEFF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9"/>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8"/>
    <w:unhideWhenUsed/>
    <w:qFormat/>
    <w:uiPriority w:val="0"/>
    <w:pPr>
      <w:keepNext w:val="0"/>
      <w:keepLines w:val="0"/>
      <w:spacing w:beforeLines="0" w:beforeAutospacing="0" w:afterLines="0" w:afterAutospacing="0" w:line="240" w:lineRule="auto"/>
      <w:outlineLvl w:val="2"/>
    </w:pPr>
    <w:rPr>
      <w:rFonts w:eastAsia="方正楷体_GBK"/>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character" w:customStyle="1" w:styleId="8">
    <w:name w:val="标题 3 Char"/>
    <w:link w:val="5"/>
    <w:qFormat/>
    <w:uiPriority w:val="0"/>
    <w:rPr>
      <w:rFonts w:eastAsia="方正楷体_GBK"/>
    </w:rPr>
  </w:style>
  <w:style w:type="character" w:customStyle="1" w:styleId="9">
    <w:name w:val="标题 2 Char"/>
    <w:link w:val="4"/>
    <w:qFormat/>
    <w:uiPriority w:val="0"/>
    <w:rPr>
      <w:rFonts w:eastAsia="方正黑体_GBK"/>
    </w:rPr>
  </w:style>
  <w:style w:type="character" w:customStyle="1" w:styleId="10">
    <w:name w:val="font21"/>
    <w:basedOn w:val="7"/>
    <w:qFormat/>
    <w:uiPriority w:val="0"/>
    <w:rPr>
      <w:rFonts w:hint="eastAsia" w:ascii="方正仿宋_GBK" w:hAnsi="方正仿宋_GBK" w:eastAsia="方正仿宋_GBK" w:cs="方正仿宋_GBK"/>
      <w:b/>
      <w:color w:val="FF0000"/>
      <w:sz w:val="21"/>
      <w:szCs w:val="21"/>
      <w:u w:val="none"/>
    </w:rPr>
  </w:style>
  <w:style w:type="character" w:customStyle="1" w:styleId="11">
    <w:name w:val="font71"/>
    <w:basedOn w:val="7"/>
    <w:qFormat/>
    <w:uiPriority w:val="0"/>
    <w:rPr>
      <w:rFonts w:hint="eastAsia" w:ascii="方正仿宋_GBK" w:hAnsi="方正仿宋_GBK" w:eastAsia="方正仿宋_GBK" w:cs="方正仿宋_GBK"/>
      <w:color w:val="000000"/>
      <w:sz w:val="21"/>
      <w:szCs w:val="21"/>
      <w:u w:val="none"/>
    </w:rPr>
  </w:style>
  <w:style w:type="character" w:customStyle="1" w:styleId="12">
    <w:name w:val="font41"/>
    <w:basedOn w:val="7"/>
    <w:qFormat/>
    <w:uiPriority w:val="0"/>
    <w:rPr>
      <w:rFonts w:hint="default" w:ascii="Times New Roman" w:hAnsi="Times New Roman" w:cs="Times New Roman"/>
      <w:color w:val="000000"/>
      <w:sz w:val="24"/>
      <w:szCs w:val="24"/>
      <w:u w:val="none"/>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rPr>
  </w:style>
  <w:style w:type="character" w:customStyle="1" w:styleId="14">
    <w:name w:val="font0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2024-01-06T06:29:00Z</dcterms:created>
  <dc:creator>Administrator</dc:creator>
  <cp:lastModifiedBy>GS7</cp:lastModifiedBy>
  <dcterms:modified xsi:type="dcterms:W3CDTF">2025-07-07T11:27:33Z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