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shd w:val="clear" w:color="auto" w:fill="FFFFFF"/>
          <w:lang w:val="en-US" w:eastAsia="zh-CN"/>
        </w:rPr>
      </w:pPr>
      <w:r>
        <w:rPr>
          <w:rFonts w:hint="default" w:ascii="Times New Roman" w:hAnsi="Times New Roman" w:eastAsia="方正小标宋_GBK" w:cs="Times New Roman"/>
          <w:color w:val="auto"/>
          <w:sz w:val="44"/>
          <w:szCs w:val="44"/>
        </w:rPr>
        <w:t>重庆市荣昌区广顺街道社区事务服务中</w:t>
      </w:r>
      <w:r>
        <w:rPr>
          <w:rFonts w:hint="default" w:ascii="Times New Roman" w:hAnsi="Times New Roman" w:eastAsia="方正小标宋_GBK" w:cs="Times New Roman"/>
          <w:color w:val="auto"/>
          <w:sz w:val="44"/>
          <w:szCs w:val="44"/>
          <w:lang w:val="en-US" w:eastAsia="zh-CN"/>
        </w:rPr>
        <w:t>心</w:t>
      </w:r>
      <w:r>
        <w:rPr>
          <w:rFonts w:hint="default" w:ascii="Times New Roman" w:hAnsi="Times New Roman" w:eastAsia="方正小标宋_GBK" w:cs="Times New Roman"/>
          <w:color w:val="auto"/>
          <w:sz w:val="44"/>
          <w:szCs w:val="44"/>
          <w:shd w:val="clear" w:color="auto" w:fill="FFFFFF"/>
        </w:rPr>
        <w:t>2023年度</w:t>
      </w:r>
      <w:r>
        <w:rPr>
          <w:rFonts w:hint="eastAsia" w:ascii="Times New Roman" w:hAnsi="Times New Roman" w:eastAsia="方正小标宋_GBK" w:cs="Times New Roman"/>
          <w:color w:val="auto"/>
          <w:sz w:val="44"/>
          <w:szCs w:val="44"/>
          <w:shd w:val="clear" w:color="auto" w:fill="FFFFFF"/>
          <w:lang w:val="en-US" w:eastAsia="zh-CN"/>
        </w:rPr>
        <w:t>单位</w:t>
      </w:r>
      <w:r>
        <w:rPr>
          <w:rFonts w:hint="default" w:ascii="Times New Roman" w:hAnsi="Times New Roman" w:eastAsia="方正小标宋_GBK" w:cs="Times New Roman"/>
          <w:color w:val="auto"/>
          <w:sz w:val="44"/>
          <w:szCs w:val="44"/>
          <w:shd w:val="clear" w:color="auto" w:fill="FFFFFF"/>
        </w:rPr>
        <w:t>决算公开</w:t>
      </w:r>
      <w:r>
        <w:rPr>
          <w:rFonts w:hint="eastAsia" w:ascii="Times New Roman" w:hAnsi="Times New Roman" w:eastAsia="方正小标宋_GBK" w:cs="Times New Roman"/>
          <w:color w:val="auto"/>
          <w:sz w:val="44"/>
          <w:szCs w:val="44"/>
          <w:shd w:val="clear" w:color="auto" w:fill="FFFFFF"/>
          <w:lang w:val="en-US" w:eastAsia="zh-CN"/>
        </w:rPr>
        <w:t>报告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shd w:val="clear" w:color="auto" w:fill="FFFFFF"/>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一、单位基本情况</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rPr>
        <w:t>（一）职能职责</w:t>
      </w:r>
      <w:r>
        <w:rPr>
          <w:rFonts w:hint="eastAsia" w:ascii="Times New Roman" w:hAnsi="Times New Roman" w:eastAsia="方正楷体_GBK" w:cs="Times New Roman"/>
          <w:color w:val="auto"/>
          <w:kern w:val="0"/>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广顺街道社区事务服务中心主要负责平安建设、社会治理、信访稳定、舆情险情处置、便民服务、矛盾纠纷排查调处、社情民意收集与引导、综合信息收集与管理和社区服务队伍建设、社区服务信息化建设、社区品牌创建以及协调物业管理等方面的事务性服务工作。</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（二）机构设置</w:t>
      </w:r>
      <w:r>
        <w:rPr>
          <w:rFonts w:hint="eastAsia" w:ascii="Times New Roman" w:hAnsi="Times New Roman" w:eastAsia="方正楷体_GBK" w:cs="Times New Roman"/>
          <w:color w:val="auto"/>
          <w:kern w:val="0"/>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w:t>
      </w:r>
      <w:r>
        <w:rPr>
          <w:rFonts w:hint="eastAsia" w:ascii="Times New Roman" w:hAnsi="Times New Roman" w:eastAsia="方正仿宋_GBK" w:cs="Times New Roman"/>
          <w:color w:val="auto"/>
          <w:kern w:val="0"/>
          <w:sz w:val="32"/>
          <w:szCs w:val="32"/>
          <w:lang w:val="en-US" w:eastAsia="zh-CN"/>
        </w:rPr>
        <w:t>为广顺街道办事处二级预算单位，无内设科室</w:t>
      </w:r>
      <w:r>
        <w:rPr>
          <w:rFonts w:hint="default" w:ascii="Times New Roman" w:hAnsi="Times New Roman" w:eastAsia="方正仿宋_GBK" w:cs="Times New Roman"/>
          <w:color w:val="auto"/>
          <w:kern w:val="0"/>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二、单位决算情况说明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楷体_GBK" w:cs="Times New Roman"/>
          <w:color w:val="auto"/>
          <w:kern w:val="0"/>
          <w:sz w:val="32"/>
          <w:szCs w:val="32"/>
        </w:rPr>
        <w:t>（一</w:t>
      </w:r>
      <w:r>
        <w:rPr>
          <w:rFonts w:hint="default" w:ascii="Times New Roman" w:hAnsi="Times New Roman" w:eastAsia="方正楷体_GBK" w:cs="Times New Roman"/>
          <w:b w:val="0"/>
          <w:bCs w:val="0"/>
          <w:color w:val="auto"/>
          <w:kern w:val="0"/>
          <w:sz w:val="32"/>
          <w:szCs w:val="32"/>
        </w:rPr>
        <w:t>）收入支出决算总体情况说明。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1.</w:t>
      </w:r>
      <w:r>
        <w:rPr>
          <w:rStyle w:val="12"/>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val="0"/>
          <w:color w:val="auto"/>
          <w:sz w:val="32"/>
          <w:szCs w:val="32"/>
          <w:shd w:val="clear" w:color="auto" w:fill="FFFFFF"/>
        </w:rPr>
        <w:t>总体情况。</w:t>
      </w:r>
      <w:r>
        <w:rPr>
          <w:rFonts w:hint="default" w:ascii="Times New Roman" w:hAnsi="Times New Roman" w:eastAsia="方正仿宋_GBK" w:cs="Times New Roman"/>
          <w:b w:val="0"/>
          <w:bCs w:val="0"/>
          <w:color w:val="auto"/>
          <w:sz w:val="32"/>
          <w:szCs w:val="32"/>
          <w:shd w:val="clear" w:color="auto" w:fill="FFFFFF"/>
        </w:rPr>
        <w:t>2023年度收入总计106.77万元，支出总计</w:t>
      </w:r>
      <w:r>
        <w:rPr>
          <w:rFonts w:hint="default" w:ascii="Times New Roman" w:hAnsi="Times New Roman" w:eastAsia="方正仿宋_GBK" w:cs="Times New Roman"/>
          <w:b w:val="0"/>
          <w:bCs w:val="0"/>
          <w:color w:val="auto"/>
          <w:sz w:val="32"/>
          <w:szCs w:val="32"/>
        </w:rPr>
        <w:t>106.77</w:t>
      </w:r>
      <w:r>
        <w:rPr>
          <w:rFonts w:hint="default" w:ascii="Times New Roman" w:hAnsi="Times New Roman" w:eastAsia="方正仿宋_GBK" w:cs="Times New Roman"/>
          <w:b w:val="0"/>
          <w:bCs w:val="0"/>
          <w:color w:val="auto"/>
          <w:sz w:val="32"/>
          <w:szCs w:val="32"/>
          <w:shd w:val="clear" w:color="auto" w:fill="FFFFFF"/>
        </w:rPr>
        <w:t>万元。收支较上年决算数增加7.65万元，增长7.72%，主要原因是</w:t>
      </w:r>
      <w:r>
        <w:rPr>
          <w:rFonts w:hint="default" w:ascii="Times New Roman" w:hAnsi="Times New Roman" w:eastAsia="方正仿宋_GBK" w:cs="Times New Roman"/>
          <w:b w:val="0"/>
          <w:bCs w:val="0"/>
          <w:color w:val="auto"/>
          <w:sz w:val="32"/>
          <w:szCs w:val="32"/>
          <w:shd w:val="clear" w:color="auto" w:fill="FFFFFF"/>
          <w:lang w:val="en-US" w:eastAsia="zh-CN"/>
        </w:rPr>
        <w:t>职工工资调整，工资福利增加</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2"/>
          <w:rFonts w:hint="default" w:ascii="Times New Roman" w:hAnsi="Times New Roman" w:eastAsia="方正仿宋_GBK" w:cs="Times New Roman"/>
          <w:b w:val="0"/>
          <w:bCs w:val="0"/>
          <w:color w:val="auto"/>
          <w:sz w:val="32"/>
          <w:szCs w:val="32"/>
          <w:shd w:val="clear" w:color="auto" w:fill="FFFFFF"/>
        </w:rPr>
        <w:t>2.</w:t>
      </w:r>
      <w:r>
        <w:rPr>
          <w:rStyle w:val="12"/>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val="0"/>
          <w:color w:val="auto"/>
          <w:sz w:val="32"/>
          <w:szCs w:val="32"/>
          <w:shd w:val="clear" w:color="auto" w:fill="FFFFFF"/>
        </w:rPr>
        <w:t>收入情况。</w:t>
      </w:r>
      <w:r>
        <w:rPr>
          <w:rFonts w:hint="default" w:ascii="Times New Roman" w:hAnsi="Times New Roman" w:eastAsia="方正仿宋_GBK" w:cs="Times New Roman"/>
          <w:b w:val="0"/>
          <w:bCs w:val="0"/>
          <w:color w:val="auto"/>
          <w:sz w:val="32"/>
          <w:szCs w:val="32"/>
          <w:shd w:val="clear" w:color="auto" w:fill="FFFFFF"/>
        </w:rPr>
        <w:t>2023年度收入合计106.77万元，较上年决算数增加7.65万元，增长7.72%，主要原因是</w:t>
      </w:r>
      <w:r>
        <w:rPr>
          <w:rFonts w:hint="default" w:ascii="Times New Roman" w:hAnsi="Times New Roman" w:eastAsia="方正仿宋_GBK" w:cs="Times New Roman"/>
          <w:b w:val="0"/>
          <w:bCs w:val="0"/>
          <w:color w:val="auto"/>
          <w:sz w:val="32"/>
          <w:szCs w:val="32"/>
          <w:shd w:val="clear" w:color="auto" w:fill="FFFFFF"/>
          <w:lang w:val="en-US" w:eastAsia="zh-CN"/>
        </w:rPr>
        <w:t>职工工资调整，工资福利增加</w:t>
      </w:r>
      <w:r>
        <w:rPr>
          <w:rFonts w:hint="default" w:ascii="Times New Roman" w:hAnsi="Times New Roman" w:eastAsia="方正仿宋_GBK" w:cs="Times New Roman"/>
          <w:b w:val="0"/>
          <w:bCs w:val="0"/>
          <w:color w:val="auto"/>
          <w:sz w:val="32"/>
          <w:szCs w:val="32"/>
          <w:shd w:val="clear" w:color="auto" w:fill="FFFFFF"/>
        </w:rPr>
        <w:t>。其中：财政拨款收入</w:t>
      </w:r>
      <w:r>
        <w:rPr>
          <w:rFonts w:hint="default" w:ascii="Times New Roman" w:hAnsi="Times New Roman" w:eastAsia="方正仿宋_GBK" w:cs="Times New Roman"/>
          <w:b w:val="0"/>
          <w:bCs w:val="0"/>
          <w:color w:val="auto"/>
          <w:sz w:val="32"/>
          <w:szCs w:val="32"/>
        </w:rPr>
        <w:t>106.77</w:t>
      </w:r>
      <w:r>
        <w:rPr>
          <w:rFonts w:hint="default" w:ascii="Times New Roman" w:hAnsi="Times New Roman" w:eastAsia="方正仿宋_GBK" w:cs="Times New Roman"/>
          <w:b w:val="0"/>
          <w:bCs w:val="0"/>
          <w:color w:val="auto"/>
          <w:sz w:val="32"/>
          <w:szCs w:val="32"/>
          <w:shd w:val="clear" w:color="auto" w:fill="FFFFFF"/>
        </w:rPr>
        <w:t>万元，占</w:t>
      </w:r>
      <w:r>
        <w:rPr>
          <w:rFonts w:hint="default" w:ascii="Times New Roman" w:hAnsi="Times New Roman" w:eastAsia="方正仿宋_GBK" w:cs="Times New Roman"/>
          <w:b w:val="0"/>
          <w:bCs w:val="0"/>
          <w:color w:val="auto"/>
          <w:sz w:val="32"/>
          <w:szCs w:val="32"/>
        </w:rPr>
        <w:t>100.00</w:t>
      </w:r>
      <w:r>
        <w:rPr>
          <w:rFonts w:hint="default" w:ascii="Times New Roman" w:hAnsi="Times New Roman" w:eastAsia="方正仿宋_GBK" w:cs="Times New Roman"/>
          <w:b w:val="0"/>
          <w:bCs w:val="0"/>
          <w:color w:val="auto"/>
          <w:sz w:val="32"/>
          <w:szCs w:val="32"/>
          <w:shd w:val="clear" w:color="auto" w:fill="FFFFFF"/>
        </w:rPr>
        <w:t>%；事业收入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万元，占0.00%；经营收入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万元，占0.00%；其他收入</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万元，占0.00%。此外，使用非财政拨款结余和专用结余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万元，年初结转和结余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Style w:val="12"/>
          <w:rFonts w:hint="default" w:ascii="Times New Roman" w:hAnsi="Times New Roman" w:eastAsia="方正仿宋_GBK" w:cs="Times New Roman"/>
          <w:b w:val="0"/>
          <w:bCs w:val="0"/>
          <w:color w:val="auto"/>
          <w:sz w:val="32"/>
          <w:szCs w:val="32"/>
          <w:shd w:val="clear" w:color="auto" w:fill="FFFFFF"/>
        </w:rPr>
        <w:t>3.</w:t>
      </w:r>
      <w:r>
        <w:rPr>
          <w:rStyle w:val="12"/>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val="0"/>
          <w:color w:val="auto"/>
          <w:sz w:val="32"/>
          <w:szCs w:val="32"/>
          <w:shd w:val="clear" w:color="auto" w:fill="FFFFFF"/>
        </w:rPr>
        <w:t>支出情况。</w:t>
      </w:r>
      <w:r>
        <w:rPr>
          <w:rFonts w:hint="default" w:ascii="Times New Roman" w:hAnsi="Times New Roman" w:eastAsia="方正仿宋_GBK" w:cs="Times New Roman"/>
          <w:b w:val="0"/>
          <w:bCs w:val="0"/>
          <w:color w:val="auto"/>
          <w:sz w:val="32"/>
          <w:szCs w:val="32"/>
          <w:shd w:val="clear" w:color="auto" w:fill="FFFFFF"/>
        </w:rPr>
        <w:t>2023年度支出合计</w:t>
      </w:r>
      <w:r>
        <w:rPr>
          <w:rFonts w:hint="default" w:ascii="Times New Roman" w:hAnsi="Times New Roman" w:eastAsia="方正仿宋_GBK" w:cs="Times New Roman"/>
          <w:b w:val="0"/>
          <w:bCs w:val="0"/>
          <w:color w:val="auto"/>
          <w:sz w:val="32"/>
          <w:szCs w:val="32"/>
        </w:rPr>
        <w:t>106.77</w:t>
      </w:r>
      <w:r>
        <w:rPr>
          <w:rFonts w:hint="default" w:ascii="Times New Roman" w:hAnsi="Times New Roman" w:eastAsia="方正仿宋_GBK" w:cs="Times New Roman"/>
          <w:b w:val="0"/>
          <w:bCs w:val="0"/>
          <w:color w:val="auto"/>
          <w:sz w:val="32"/>
          <w:szCs w:val="32"/>
          <w:shd w:val="clear" w:color="auto" w:fill="FFFFFF"/>
        </w:rPr>
        <w:t>万元，较上年决算数增加7.65万元，增长7.72%，主要原因是</w:t>
      </w:r>
      <w:r>
        <w:rPr>
          <w:rFonts w:hint="default" w:ascii="Times New Roman" w:hAnsi="Times New Roman" w:eastAsia="方正仿宋_GBK" w:cs="Times New Roman"/>
          <w:b w:val="0"/>
          <w:bCs w:val="0"/>
          <w:color w:val="auto"/>
          <w:sz w:val="32"/>
          <w:szCs w:val="32"/>
          <w:shd w:val="clear" w:color="auto" w:fill="FFFFFF"/>
          <w:lang w:val="en-US" w:eastAsia="zh-CN"/>
        </w:rPr>
        <w:t>职工工资调整，工资福利等基本支出增加</w:t>
      </w:r>
      <w:r>
        <w:rPr>
          <w:rFonts w:hint="default" w:ascii="Times New Roman" w:hAnsi="Times New Roman" w:eastAsia="方正仿宋_GBK" w:cs="Times New Roman"/>
          <w:b w:val="0"/>
          <w:bCs w:val="0"/>
          <w:color w:val="auto"/>
          <w:sz w:val="32"/>
          <w:szCs w:val="32"/>
          <w:shd w:val="clear" w:color="auto" w:fill="FFFFFF"/>
        </w:rPr>
        <w:t>。其中：基本支出</w:t>
      </w:r>
      <w:r>
        <w:rPr>
          <w:rFonts w:hint="default" w:ascii="Times New Roman" w:hAnsi="Times New Roman" w:eastAsia="方正仿宋_GBK" w:cs="Times New Roman"/>
          <w:b w:val="0"/>
          <w:bCs w:val="0"/>
          <w:color w:val="auto"/>
          <w:sz w:val="32"/>
          <w:szCs w:val="32"/>
        </w:rPr>
        <w:t>106.77</w:t>
      </w:r>
      <w:r>
        <w:rPr>
          <w:rFonts w:hint="default" w:ascii="Times New Roman" w:hAnsi="Times New Roman" w:eastAsia="方正仿宋_GBK" w:cs="Times New Roman"/>
          <w:b w:val="0"/>
          <w:bCs w:val="0"/>
          <w:color w:val="auto"/>
          <w:sz w:val="32"/>
          <w:szCs w:val="32"/>
          <w:shd w:val="clear" w:color="auto" w:fill="FFFFFF"/>
        </w:rPr>
        <w:t>万元，占100.00%；项目支出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万元，占0.00%；经营支出</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万元，占0.00%。此外，结余分配</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仿宋_GBK" w:cs="Times New Roman"/>
          <w:b w:val="0"/>
          <w:bCs w:val="0"/>
          <w:color w:val="auto"/>
          <w:sz w:val="32"/>
          <w:szCs w:val="32"/>
          <w:shd w:val="clear" w:color="auto" w:fill="FFFFFF"/>
        </w:rPr>
        <w:t>4.</w:t>
      </w:r>
      <w:r>
        <w:rPr>
          <w:rStyle w:val="12"/>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val="0"/>
          <w:color w:val="auto"/>
          <w:sz w:val="32"/>
          <w:szCs w:val="32"/>
          <w:shd w:val="clear" w:color="auto" w:fill="FFFFFF"/>
        </w:rPr>
        <w:t>结转结余情况。</w:t>
      </w:r>
      <w:r>
        <w:rPr>
          <w:rFonts w:hint="default" w:ascii="Times New Roman" w:hAnsi="Times New Roman" w:eastAsia="方正仿宋_GBK" w:cs="Times New Roman"/>
          <w:b w:val="0"/>
          <w:bCs w:val="0"/>
          <w:color w:val="auto"/>
          <w:sz w:val="32"/>
          <w:szCs w:val="32"/>
          <w:shd w:val="clear" w:color="auto" w:fill="FFFFFF"/>
        </w:rPr>
        <w:t>2023年度年末结转和结余</w:t>
      </w:r>
      <w:r>
        <w:rPr>
          <w:rFonts w:hint="default" w:ascii="Times New Roman" w:hAnsi="Times New Roman" w:eastAsia="方正仿宋_GBK" w:cs="Times New Roman"/>
          <w:b w:val="0"/>
          <w:bCs w:val="0"/>
          <w:color w:val="auto"/>
          <w:sz w:val="32"/>
          <w:szCs w:val="32"/>
        </w:rPr>
        <w:t>0.00</w:t>
      </w:r>
      <w:r>
        <w:rPr>
          <w:rFonts w:hint="default" w:ascii="Times New Roman" w:hAnsi="Times New Roman" w:eastAsia="方正仿宋_GBK" w:cs="Times New Roman"/>
          <w:b w:val="0"/>
          <w:bCs w:val="0"/>
          <w:color w:val="auto"/>
          <w:sz w:val="32"/>
          <w:szCs w:val="32"/>
          <w:shd w:val="clear" w:color="auto" w:fill="FFFFFF"/>
        </w:rPr>
        <w:t>万元，较上年决算数无增减，主要原因是</w:t>
      </w:r>
      <w:r>
        <w:rPr>
          <w:rFonts w:hint="default" w:ascii="Times New Roman" w:hAnsi="Times New Roman" w:eastAsia="方正仿宋_GBK" w:cs="Times New Roman"/>
          <w:b w:val="0"/>
          <w:bCs w:val="0"/>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val="0"/>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（二）财政拨款收入支出决算总体情况说明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2023年度财政拨款收、支总计106.77万元。与2022年相比，财政拨款收、支总计各增加7.65万元，增长7.72%。主要原因是</w:t>
      </w:r>
      <w:r>
        <w:rPr>
          <w:rFonts w:hint="default" w:ascii="Times New Roman" w:hAnsi="Times New Roman" w:eastAsia="方正仿宋_GBK" w:cs="Times New Roman"/>
          <w:color w:val="auto"/>
          <w:sz w:val="32"/>
          <w:szCs w:val="32"/>
          <w:shd w:val="clear" w:color="auto" w:fill="FFFFFF"/>
          <w:lang w:val="en-US" w:eastAsia="zh-CN"/>
        </w:rPr>
        <w:t>职工工资调整，工资福利等增加</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（三）一般公共预算财政拨款收入支出决算情况说明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1.</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106.77</w:t>
      </w:r>
      <w:r>
        <w:rPr>
          <w:rFonts w:hint="default" w:ascii="Times New Roman" w:hAnsi="Times New Roman" w:eastAsia="方正仿宋_GBK" w:cs="Times New Roman"/>
          <w:b w:val="0"/>
          <w:bCs/>
          <w:color w:val="auto"/>
          <w:sz w:val="32"/>
          <w:szCs w:val="32"/>
          <w:shd w:val="clear" w:color="auto" w:fill="FFFFFF"/>
        </w:rPr>
        <w:t>万元，较上年决算数增加7.65万元，增长7.72%。主要原因是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职工工资调整，工资福利等增加</w:t>
      </w:r>
      <w:r>
        <w:rPr>
          <w:rFonts w:hint="default" w:ascii="Times New Roman" w:hAnsi="Times New Roman" w:eastAsia="方正仿宋_GBK" w:cs="Times New Roman"/>
          <w:b w:val="0"/>
          <w:bCs/>
          <w:color w:val="auto"/>
          <w:sz w:val="32"/>
          <w:szCs w:val="32"/>
          <w:shd w:val="clear" w:color="auto" w:fill="FFFFFF"/>
        </w:rPr>
        <w:t>。较年初预算数增加6.49万元，增长6.47%。主要原因是</w:t>
      </w:r>
      <w:r>
        <w:rPr>
          <w:rFonts w:hint="default" w:ascii="Times New Roman" w:hAnsi="Times New Roman" w:eastAsia="方正仿宋_GBK" w:cs="Times New Roman"/>
          <w:b w:val="0"/>
          <w:bCs/>
          <w:color w:val="auto"/>
          <w:sz w:val="32"/>
          <w:szCs w:val="32"/>
          <w:shd w:val="clear" w:color="auto" w:fill="FFFFFF"/>
          <w:lang w:val="en-US" w:eastAsia="zh-CN"/>
        </w:rPr>
        <w:t>本年度职工工资调整，工资福利等增加</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2.</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106.77</w:t>
      </w:r>
      <w:r>
        <w:rPr>
          <w:rFonts w:hint="default" w:ascii="Times New Roman" w:hAnsi="Times New Roman" w:eastAsia="方正仿宋_GBK" w:cs="Times New Roman"/>
          <w:b w:val="0"/>
          <w:bCs/>
          <w:color w:val="auto"/>
          <w:sz w:val="32"/>
          <w:szCs w:val="32"/>
          <w:shd w:val="clear" w:color="auto" w:fill="FFFFFF"/>
        </w:rPr>
        <w:t>万元，较上年决算数增加7.65万元，增长7.72%。主要原因是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职工工资调整，工资福利增加</w:t>
      </w:r>
      <w:r>
        <w:rPr>
          <w:rFonts w:hint="default" w:ascii="Times New Roman" w:hAnsi="Times New Roman" w:eastAsia="方正仿宋_GBK" w:cs="Times New Roman"/>
          <w:b w:val="0"/>
          <w:bCs/>
          <w:color w:val="auto"/>
          <w:sz w:val="32"/>
          <w:szCs w:val="32"/>
          <w:shd w:val="clear" w:color="auto" w:fill="FFFFFF"/>
        </w:rPr>
        <w:t>。较年初预算数增加6.49万元，增长6.47%。主要原因是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职工工资调整，工资福利等基本支出增加</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2"/>
          <w:rFonts w:hint="default" w:ascii="Times New Roman" w:hAnsi="Times New Roman" w:eastAsia="方正仿宋_GBK" w:cs="Times New Roman"/>
          <w:b w:val="0"/>
          <w:bCs/>
          <w:color w:val="auto"/>
          <w:sz w:val="32"/>
          <w:szCs w:val="32"/>
          <w:shd w:val="clear" w:color="auto" w:fill="FFFFFF"/>
        </w:rPr>
        <w:t>3.</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12"/>
          <w:rFonts w:hint="default" w:ascii="Times New Roman" w:hAnsi="Times New Roman" w:eastAsia="方正仿宋_GBK" w:cs="Times New Roman"/>
          <w:b w:val="0"/>
          <w:bCs/>
          <w:color w:val="auto"/>
          <w:sz w:val="32"/>
          <w:szCs w:val="32"/>
          <w:shd w:val="clear" w:color="auto" w:fill="FFFFFF"/>
        </w:rPr>
        <w:t xml:space="preserve"> 4.</w:t>
      </w:r>
      <w:r>
        <w:rPr>
          <w:rStyle w:val="12"/>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2"/>
          <w:rFonts w:hint="default" w:ascii="Times New Roman" w:hAnsi="Times New Roman" w:eastAsia="方正仿宋_GBK" w:cs="Times New Roman"/>
          <w:b w:val="0"/>
          <w:bCs/>
          <w:color w:val="auto"/>
          <w:sz w:val="32"/>
          <w:szCs w:val="32"/>
          <w:shd w:val="clear" w:color="auto" w:fill="FFFFFF"/>
        </w:rPr>
        <w:t>比较情况。</w:t>
      </w:r>
      <w:r>
        <w:rPr>
          <w:rFonts w:hint="default" w:ascii="Times New Roman" w:hAnsi="Times New Roman" w:eastAsia="方正仿宋_GBK" w:cs="Times New Roman"/>
          <w:b w:val="0"/>
          <w:bCs/>
          <w:color w:val="auto"/>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8.78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8.22</w:t>
      </w:r>
      <w:r>
        <w:rPr>
          <w:rFonts w:hint="default" w:ascii="Times New Roman" w:hAnsi="Times New Roman" w:eastAsia="方正仿宋_GBK" w:cs="Times New Roman"/>
          <w:color w:val="auto"/>
          <w:sz w:val="32"/>
          <w:szCs w:val="32"/>
          <w:shd w:val="clear" w:color="auto" w:fill="FFFFFF"/>
        </w:rPr>
        <w:t>%，较年初预算数减少0.02万元，下降0.23%，主要原因是</w:t>
      </w:r>
      <w:r>
        <w:rPr>
          <w:rFonts w:hint="default" w:ascii="Times New Roman" w:hAnsi="Times New Roman" w:eastAsia="方正仿宋_GBK" w:cs="Times New Roman"/>
          <w:color w:val="auto"/>
          <w:sz w:val="32"/>
          <w:szCs w:val="32"/>
          <w:shd w:val="clear" w:color="auto" w:fill="FFFFFF"/>
          <w:lang w:val="en-US" w:eastAsia="zh-CN"/>
        </w:rPr>
        <w:t>职工社保缴费基数调整</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4.46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4.18</w:t>
      </w:r>
      <w:r>
        <w:rPr>
          <w:rFonts w:hint="default" w:ascii="Times New Roman" w:hAnsi="Times New Roman" w:eastAsia="方正仿宋_GBK" w:cs="Times New Roman"/>
          <w:color w:val="auto"/>
          <w:sz w:val="32"/>
          <w:szCs w:val="32"/>
          <w:shd w:val="clear" w:color="auto" w:fill="FFFFFF"/>
        </w:rPr>
        <w:t>%，较年初预算数减少0.01万元，下降0.22%，主要原因是</w:t>
      </w:r>
      <w:r>
        <w:rPr>
          <w:rFonts w:hint="default" w:ascii="Times New Roman" w:hAnsi="Times New Roman" w:eastAsia="方正仿宋_GBK" w:cs="Times New Roman"/>
          <w:color w:val="auto"/>
          <w:sz w:val="32"/>
          <w:szCs w:val="32"/>
          <w:shd w:val="clear" w:color="auto" w:fill="FFFFFF"/>
          <w:lang w:val="en-US" w:eastAsia="zh-CN"/>
        </w:rPr>
        <w:t>职工医疗保障缴费基数调整</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rPr>
        <w:t>89.13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83.48</w:t>
      </w:r>
      <w:r>
        <w:rPr>
          <w:rFonts w:hint="default" w:ascii="Times New Roman" w:hAnsi="Times New Roman" w:eastAsia="方正仿宋_GBK" w:cs="Times New Roman"/>
          <w:color w:val="auto"/>
          <w:sz w:val="32"/>
          <w:szCs w:val="32"/>
          <w:shd w:val="clear" w:color="auto" w:fill="FFFFFF"/>
        </w:rPr>
        <w:t>%，较年初预算数增加6.52万元，增长7.89%，主要原因是</w:t>
      </w:r>
      <w:r>
        <w:rPr>
          <w:rFonts w:hint="default" w:ascii="Times New Roman" w:hAnsi="Times New Roman" w:eastAsia="方正仿宋_GBK" w:cs="Times New Roman"/>
          <w:color w:val="auto"/>
          <w:sz w:val="32"/>
          <w:szCs w:val="32"/>
          <w:shd w:val="clear" w:color="auto" w:fill="FFFFFF"/>
          <w:lang w:val="en-US" w:eastAsia="zh-CN"/>
        </w:rPr>
        <w:t>职工工资福利费用调整</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住房保障支出4.40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4.12</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人员减少，职工住房公积金缴费减少</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（四）一般公共预算财政拨款基本支出决算情况说明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106.77</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90.39</w:t>
      </w:r>
      <w:r>
        <w:rPr>
          <w:rFonts w:hint="default" w:ascii="Times New Roman" w:hAnsi="Times New Roman" w:eastAsia="方正仿宋_GBK" w:cs="Times New Roman"/>
          <w:color w:val="auto"/>
          <w:sz w:val="32"/>
          <w:szCs w:val="32"/>
          <w:shd w:val="clear" w:color="auto" w:fill="FFFFFF"/>
        </w:rPr>
        <w:t>万元，较上年决算数增加11.62万元，增长14.75%，主要原因是</w:t>
      </w:r>
      <w:r>
        <w:rPr>
          <w:rFonts w:hint="default" w:ascii="Times New Roman" w:hAnsi="Times New Roman" w:eastAsia="方正仿宋_GBK" w:cs="Times New Roman"/>
          <w:color w:val="auto"/>
          <w:sz w:val="32"/>
          <w:szCs w:val="32"/>
          <w:shd w:val="clear" w:color="auto" w:fill="FFFFFF"/>
          <w:lang w:val="en-US" w:eastAsia="zh-CN"/>
        </w:rPr>
        <w:t>职工工资调整，工资福利增加</w:t>
      </w:r>
      <w:r>
        <w:rPr>
          <w:rFonts w:hint="default" w:ascii="Times New Roman" w:hAnsi="Times New Roman" w:eastAsia="方正仿宋_GBK" w:cs="Times New Roman"/>
          <w:color w:val="auto"/>
          <w:sz w:val="32"/>
          <w:szCs w:val="32"/>
          <w:shd w:val="clear" w:color="auto" w:fill="FFFFFF"/>
        </w:rPr>
        <w:t>。人员经费用途主要包括基本工资、津贴补贴、绩效工资、社会保障缴费、住房公积金。公用经费</w:t>
      </w:r>
      <w:r>
        <w:rPr>
          <w:rFonts w:hint="default" w:ascii="Times New Roman" w:hAnsi="Times New Roman" w:eastAsia="方正仿宋_GBK" w:cs="Times New Roman"/>
          <w:color w:val="auto"/>
          <w:sz w:val="32"/>
          <w:szCs w:val="32"/>
        </w:rPr>
        <w:t>16.39</w:t>
      </w:r>
      <w:r>
        <w:rPr>
          <w:rFonts w:hint="default" w:ascii="Times New Roman" w:hAnsi="Times New Roman" w:eastAsia="方正仿宋_GBK" w:cs="Times New Roman"/>
          <w:color w:val="auto"/>
          <w:sz w:val="32"/>
          <w:szCs w:val="32"/>
          <w:shd w:val="clear" w:color="auto" w:fill="FFFFFF"/>
        </w:rPr>
        <w:t>万元，较上年决算数减少3.96万元，下降19.46%，主要原因是</w:t>
      </w:r>
      <w:r>
        <w:rPr>
          <w:rFonts w:hint="default" w:ascii="Times New Roman" w:hAnsi="Times New Roman" w:eastAsia="方正仿宋_GBK" w:cs="Times New Roman"/>
          <w:color w:val="auto"/>
          <w:sz w:val="32"/>
          <w:szCs w:val="32"/>
          <w:shd w:val="clear" w:color="auto" w:fill="FFFFFF"/>
          <w:lang w:val="en-US" w:eastAsia="zh-CN"/>
        </w:rPr>
        <w:t>厉行节约，减少公用经费支出</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b w:val="0"/>
          <w:color w:val="auto"/>
          <w:kern w:val="0"/>
          <w:sz w:val="32"/>
          <w:szCs w:val="32"/>
          <w:shd w:val="clear" w:fill="FFFFFF"/>
        </w:rPr>
        <w:t>办公费、</w:t>
      </w:r>
      <w:r>
        <w:rPr>
          <w:rFonts w:hint="default" w:ascii="Times New Roman" w:hAnsi="Times New Roman" w:eastAsia="方正仿宋_GBK" w:cs="Times New Roman"/>
          <w:b w:val="0"/>
          <w:color w:val="auto"/>
          <w:kern w:val="0"/>
          <w:sz w:val="32"/>
          <w:szCs w:val="32"/>
          <w:shd w:val="clear" w:fill="FFFFFF"/>
          <w:lang w:val="en-US" w:eastAsia="zh-CN"/>
        </w:rPr>
        <w:t>水费、</w:t>
      </w:r>
      <w:r>
        <w:rPr>
          <w:rFonts w:hint="default" w:ascii="Times New Roman" w:hAnsi="Times New Roman" w:eastAsia="方正仿宋_GBK" w:cs="Times New Roman"/>
          <w:b w:val="0"/>
          <w:color w:val="auto"/>
          <w:kern w:val="0"/>
          <w:sz w:val="32"/>
          <w:szCs w:val="32"/>
          <w:shd w:val="clear" w:fill="FFFFFF"/>
        </w:rPr>
        <w:t>电费、</w:t>
      </w:r>
      <w:r>
        <w:rPr>
          <w:rFonts w:hint="default" w:ascii="Times New Roman" w:hAnsi="Times New Roman" w:eastAsia="方正仿宋_GBK" w:cs="Times New Roman"/>
          <w:b w:val="0"/>
          <w:color w:val="auto"/>
          <w:kern w:val="0"/>
          <w:sz w:val="32"/>
          <w:szCs w:val="32"/>
          <w:shd w:val="clear" w:fill="FFFFFF"/>
          <w:lang w:val="en-US" w:eastAsia="zh-CN"/>
        </w:rPr>
        <w:t>培训费</w:t>
      </w:r>
      <w:r>
        <w:rPr>
          <w:rFonts w:hint="default" w:ascii="Times New Roman" w:hAnsi="Times New Roman" w:eastAsia="方正仿宋_GBK" w:cs="Times New Roman"/>
          <w:b w:val="0"/>
          <w:color w:val="auto"/>
          <w:kern w:val="0"/>
          <w:sz w:val="32"/>
          <w:szCs w:val="32"/>
          <w:shd w:val="clear" w:fill="FFFFFF"/>
        </w:rPr>
        <w:t>、</w:t>
      </w:r>
      <w:r>
        <w:rPr>
          <w:rFonts w:hint="default" w:ascii="Times New Roman" w:hAnsi="Times New Roman" w:eastAsia="方正仿宋_GBK" w:cs="Times New Roman"/>
          <w:b w:val="0"/>
          <w:color w:val="auto"/>
          <w:kern w:val="0"/>
          <w:sz w:val="32"/>
          <w:szCs w:val="32"/>
          <w:shd w:val="clear" w:fill="FFFFFF"/>
          <w:lang w:val="en-US" w:eastAsia="zh-CN"/>
        </w:rPr>
        <w:t>差旅费</w:t>
      </w:r>
      <w:r>
        <w:rPr>
          <w:rFonts w:hint="default" w:ascii="Times New Roman" w:hAnsi="Times New Roman" w:eastAsia="方正仿宋_GBK" w:cs="Times New Roman"/>
          <w:b w:val="0"/>
          <w:color w:val="auto"/>
          <w:kern w:val="0"/>
          <w:sz w:val="32"/>
          <w:szCs w:val="32"/>
          <w:shd w:val="clear" w:fill="FFFFFF"/>
        </w:rPr>
        <w:t>和</w:t>
      </w:r>
      <w:r>
        <w:rPr>
          <w:rFonts w:hint="default" w:ascii="Times New Roman" w:hAnsi="Times New Roman" w:eastAsia="方正仿宋_GBK" w:cs="Times New Roman"/>
          <w:b w:val="0"/>
          <w:color w:val="auto"/>
          <w:kern w:val="0"/>
          <w:sz w:val="32"/>
          <w:szCs w:val="32"/>
          <w:shd w:val="clear" w:fill="FFFFFF"/>
          <w:lang w:val="en-US" w:eastAsia="zh-CN"/>
        </w:rPr>
        <w:t>工会经费</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default" w:ascii="Times New Roman" w:hAnsi="Times New Roman" w:eastAsia="方正楷体_GBK" w:cs="Times New Roman"/>
          <w:b w:val="0"/>
          <w:bCs w:val="0"/>
          <w:color w:val="auto"/>
          <w:sz w:val="32"/>
          <w:szCs w:val="32"/>
          <w:shd w:val="clear" w:color="auto" w:fill="FFFFFF"/>
          <w:lang w:val="en-US" w:eastAsia="zh-CN" w:bidi="ar-SA"/>
        </w:rPr>
      </w:pPr>
      <w:r>
        <w:rPr>
          <w:rStyle w:val="12"/>
          <w:rFonts w:hint="default" w:ascii="Times New Roman" w:hAnsi="Times New Roman" w:eastAsia="方正楷体_GBK" w:cs="Times New Roman"/>
          <w:b w:val="0"/>
          <w:bCs w:val="0"/>
          <w:color w:val="auto"/>
          <w:sz w:val="32"/>
          <w:szCs w:val="32"/>
          <w:shd w:val="clear" w:color="auto" w:fill="FFFFFF"/>
          <w:lang w:val="en-US" w:eastAsia="zh-CN" w:bidi="ar-SA"/>
        </w:rPr>
        <w:t>（五）政府性你基金预算收支决算情况说明</w:t>
      </w:r>
      <w:r>
        <w:rPr>
          <w:rStyle w:val="12"/>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本单位2023年度无政府性基金预算财政拨款收支。</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楷体_GBK" w:cs="Times New Roman"/>
          <w:b w:val="0"/>
          <w:bCs w:val="0"/>
          <w:color w:val="auto"/>
          <w:sz w:val="32"/>
          <w:szCs w:val="32"/>
          <w:shd w:val="clear" w:color="auto" w:fill="FFFFFF"/>
          <w:lang w:val="en-US" w:eastAsia="zh-CN" w:bidi="ar-SA"/>
        </w:rPr>
      </w:pPr>
      <w:r>
        <w:rPr>
          <w:rStyle w:val="12"/>
          <w:rFonts w:hint="default" w:ascii="Times New Roman" w:hAnsi="Times New Roman" w:eastAsia="方正楷体_GBK" w:cs="Times New Roman"/>
          <w:b w:val="0"/>
          <w:bCs w:val="0"/>
          <w:color w:val="auto"/>
          <w:sz w:val="32"/>
          <w:szCs w:val="32"/>
          <w:shd w:val="clear" w:color="auto" w:fill="FFFFFF"/>
          <w:lang w:val="en-US" w:eastAsia="zh-CN" w:bidi="ar-SA"/>
        </w:rPr>
        <w:t>（六）国有资本经营预算财政拨款支出决算情况说明</w:t>
      </w:r>
      <w:r>
        <w:rPr>
          <w:rStyle w:val="12"/>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三、“三公”经费情况说明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（一）“三公”经费支出总体情况说明</w:t>
      </w:r>
      <w:r>
        <w:rPr>
          <w:rFonts w:hint="eastAsia" w:ascii="Times New Roman" w:hAnsi="Times New Roman" w:eastAsia="方正楷体_GBK" w:cs="Times New Roman"/>
          <w:color w:val="auto"/>
          <w:kern w:val="0"/>
          <w:sz w:val="32"/>
          <w:szCs w:val="32"/>
          <w:lang w:val="en-US"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本单位2023年度无“三公”经费预算</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本单位2023年度无“三公”经费支出</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（二）“三公”经费分项支出情况</w:t>
      </w:r>
      <w:r>
        <w:rPr>
          <w:rFonts w:hint="eastAsia" w:ascii="Times New Roman" w:hAnsi="Times New Roman" w:eastAsia="方正楷体_GBK" w:cs="Times New Roman"/>
          <w:color w:val="auto"/>
          <w:kern w:val="0"/>
          <w:sz w:val="32"/>
          <w:szCs w:val="32"/>
          <w:lang w:val="en-US"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年度未发生公务车购置费用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b w:val="0"/>
          <w:color w:val="auto"/>
          <w:kern w:val="0"/>
          <w:sz w:val="32"/>
          <w:szCs w:val="32"/>
          <w:shd w:val="clear" w:fill="FFFFFF"/>
        </w:rPr>
        <w:t>公务车购置费用</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公务车运行维护费。较上年支出数无增减，主要原因是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公务车运行维护费。</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公务接待费。较上年支出数无增减，主要原因是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公务接待费。</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（三）“三公”经费实物量情况</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四、其他需要说明的事项</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  （一）财政拨款会议费和培训费情况说明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1.00</w:t>
      </w:r>
      <w:r>
        <w:rPr>
          <w:rFonts w:hint="default" w:ascii="Times New Roman" w:hAnsi="Times New Roman" w:eastAsia="方正仿宋_GBK" w:cs="Times New Roman"/>
          <w:color w:val="auto"/>
          <w:sz w:val="32"/>
          <w:szCs w:val="32"/>
          <w:shd w:val="clear" w:color="auto" w:fill="FFFFFF"/>
        </w:rPr>
        <w:t>万元，较上年决算数增加0.60万元，增长150.00%，主要原因是</w:t>
      </w:r>
      <w:r>
        <w:rPr>
          <w:rFonts w:hint="default" w:ascii="Times New Roman" w:hAnsi="Times New Roman" w:eastAsia="方正仿宋_GBK" w:cs="Times New Roman"/>
          <w:color w:val="auto"/>
          <w:sz w:val="32"/>
          <w:szCs w:val="32"/>
          <w:shd w:val="clear" w:color="auto" w:fill="FFFFFF"/>
          <w:lang w:val="en-US" w:eastAsia="zh-CN"/>
        </w:rPr>
        <w:t>乡村振兴等工作会议线下召开增多，会议支出增加</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0.55</w:t>
      </w:r>
      <w:r>
        <w:rPr>
          <w:rFonts w:hint="default" w:ascii="Times New Roman" w:hAnsi="Times New Roman" w:eastAsia="方正仿宋_GBK" w:cs="Times New Roman"/>
          <w:color w:val="auto"/>
          <w:sz w:val="32"/>
          <w:szCs w:val="32"/>
          <w:shd w:val="clear" w:color="auto" w:fill="FFFFFF"/>
        </w:rPr>
        <w:t>万元，较上年决算数增加0.35万元，增长175.00%，主要原因是</w:t>
      </w:r>
      <w:r>
        <w:rPr>
          <w:rFonts w:hint="default" w:ascii="Times New Roman" w:hAnsi="Times New Roman" w:eastAsia="方正仿宋_GBK" w:cs="Times New Roman"/>
          <w:b w:val="0"/>
          <w:bCs/>
          <w:color w:val="auto"/>
          <w:sz w:val="32"/>
          <w:szCs w:val="32"/>
          <w:shd w:val="clear" w:color="auto" w:fill="FFFFFF"/>
          <w:lang w:val="en-US" w:eastAsia="zh-CN"/>
        </w:rPr>
        <w:t>本单位2023年度</w:t>
      </w:r>
      <w:r>
        <w:rPr>
          <w:rFonts w:hint="default" w:ascii="Times New Roman" w:hAnsi="Times New Roman" w:eastAsia="方正仿宋_GBK" w:cs="Times New Roman"/>
          <w:b w:val="0"/>
          <w:bCs/>
          <w:color w:val="auto"/>
          <w:kern w:val="0"/>
          <w:sz w:val="32"/>
          <w:szCs w:val="32"/>
          <w:shd w:val="clear" w:fill="FFFFFF"/>
        </w:rPr>
        <w:t>新增职工教育经费</w:t>
      </w:r>
      <w:r>
        <w:rPr>
          <w:rFonts w:hint="default" w:ascii="Times New Roman" w:hAnsi="Times New Roman" w:eastAsia="方正仿宋_GBK" w:cs="Times New Roman"/>
          <w:b w:val="0"/>
          <w:bCs/>
          <w:color w:val="auto"/>
          <w:kern w:val="0"/>
          <w:sz w:val="32"/>
          <w:szCs w:val="32"/>
          <w:shd w:val="clear"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（二）机关运行经费情况说明</w:t>
      </w:r>
      <w:r>
        <w:rPr>
          <w:rFonts w:hint="eastAsia" w:ascii="Times New Roman" w:hAnsi="Times New Roman" w:eastAsia="方正楷体_GBK" w:cs="Times New Roman"/>
          <w:color w:val="auto"/>
          <w:kern w:val="0"/>
          <w:sz w:val="32"/>
          <w:szCs w:val="32"/>
          <w:lang w:eastAsia="zh-CN"/>
        </w:rPr>
        <w:t>。</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按照部门决算列报口径，我单位不在机关运行经费统计范围之内</w:t>
      </w:r>
      <w:r>
        <w:rPr>
          <w:rFonts w:hint="default" w:ascii="Times New Roman" w:hAnsi="Times New Roman" w:eastAsia="方正仿宋_GBK" w:cs="Times New Roman"/>
          <w:color w:val="auto"/>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（三）国有资产占用情况说明</w:t>
      </w:r>
      <w:r>
        <w:rPr>
          <w:rFonts w:hint="eastAsia" w:ascii="Times New Roman" w:hAnsi="Times New Roman" w:eastAsia="方正楷体_GBK" w:cs="Times New Roman"/>
          <w:color w:val="auto"/>
          <w:kern w:val="0"/>
          <w:sz w:val="32"/>
          <w:szCs w:val="32"/>
          <w:lang w:eastAsia="zh-CN"/>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keepNext w:val="0"/>
        <w:keepLines w:val="0"/>
        <w:pageBreakBefore w:val="0"/>
        <w:widowControl/>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w:t>
      </w:r>
      <w:r>
        <w:rPr>
          <w:rStyle w:val="12"/>
          <w:rFonts w:hint="default" w:ascii="Times New Roman" w:hAnsi="Times New Roman" w:eastAsia="方正楷体_GBK" w:cs="Times New Roman"/>
          <w:b w:val="0"/>
          <w:bCs/>
          <w:color w:val="auto"/>
          <w:sz w:val="32"/>
          <w:szCs w:val="32"/>
          <w:shd w:val="clear" w:color="auto" w:fill="FFFFFF"/>
          <w:lang w:val="en-US" w:eastAsia="zh-CN" w:bidi="ar-SA"/>
        </w:rPr>
        <w:t>四）政府采购支出情况说明</w:t>
      </w:r>
      <w:r>
        <w:rPr>
          <w:rStyle w:val="12"/>
          <w:rFonts w:hint="eastAsia" w:ascii="Times New Roman" w:hAnsi="Times New Roman" w:eastAsia="方正楷体_GBK" w:cs="Times New Roman"/>
          <w:b w:val="0"/>
          <w:bCs/>
          <w:color w:val="auto"/>
          <w:sz w:val="32"/>
          <w:szCs w:val="32"/>
          <w:shd w:val="clear" w:color="auto" w:fill="FFFFFF"/>
          <w:lang w:val="en-US" w:eastAsia="zh-CN" w:bidi="ar-SA"/>
        </w:rPr>
        <w:t>。</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lang w:val="en-US" w:eastAsia="zh-CN"/>
        </w:rPr>
        <w:t>五、</w:t>
      </w:r>
      <w:r>
        <w:rPr>
          <w:rStyle w:val="12"/>
          <w:rFonts w:hint="default" w:ascii="Times New Roman" w:hAnsi="Times New Roman" w:eastAsia="方正黑体_GBK" w:cs="Times New Roman"/>
          <w:b w:val="0"/>
          <w:bCs/>
          <w:color w:val="auto"/>
          <w:sz w:val="32"/>
          <w:szCs w:val="32"/>
          <w:shd w:val="clear" w:color="auto" w:fill="FFFFFF"/>
        </w:rPr>
        <w:t>预算绩效管理情况说明</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（一）单位自评情况</w:t>
      </w:r>
      <w:r>
        <w:rPr>
          <w:rStyle w:val="12"/>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本单位2023年度无项目支出，未开展绩效自评。</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（二）单位绩效评价情况</w:t>
      </w:r>
      <w:r>
        <w:rPr>
          <w:rStyle w:val="12"/>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我单位未组织开展绩效评价。</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2"/>
          <w:rFonts w:hint="default" w:ascii="Times New Roman" w:hAnsi="Times New Roman" w:eastAsia="方正楷体_GBK" w:cs="Times New Roman"/>
          <w:b w:val="0"/>
          <w:bCs w:val="0"/>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（三）财政绩效评价情况</w:t>
      </w:r>
      <w:r>
        <w:rPr>
          <w:rStyle w:val="12"/>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3"/>
        <w:keepNext w:val="0"/>
        <w:keepLines w:val="0"/>
        <w:pageBreakBefore w:val="0"/>
        <w:widowControl/>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市财政局未委托第三方对我单位开展绩效评价。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 六、专业名词解释</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kern w:val="0"/>
          <w:sz w:val="32"/>
          <w:szCs w:val="32"/>
          <w:lang w:val="en-US" w:eastAsia="zh-CN" w:bidi="ar-SA"/>
        </w:rPr>
        <w:t>（四）其他收入：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kern w:val="0"/>
          <w:sz w:val="32"/>
          <w:szCs w:val="32"/>
          <w:lang w:val="en-US" w:eastAsia="zh-CN" w:bidi="ar-SA"/>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SA"/>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许发琼   023-46357757</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960" w:leftChars="0" w:hanging="960" w:hangingChars="3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1598" w:leftChars="266" w:hanging="960" w:hangingChars="300"/>
        <w:jc w:val="both"/>
        <w:textAlignment w:val="auto"/>
        <w:rPr>
          <w:rStyle w:val="12"/>
          <w:rFonts w:hint="default" w:ascii="Times New Roman" w:hAnsi="Times New Roman" w:eastAsia="方正仿宋_GBK" w:cs="Times New Roman"/>
          <w:color w:val="auto"/>
          <w:sz w:val="32"/>
          <w:szCs w:val="32"/>
          <w:shd w:val="clear" w:color="auto" w:fill="FFFF00"/>
        </w:rPr>
        <w:sectPr>
          <w:footerReference r:id="rId3" w:type="default"/>
          <w:pgSz w:w="11915" w:h="16840"/>
          <w:pgMar w:top="2098" w:right="1474" w:bottom="1984" w:left="1587" w:header="851" w:footer="1474" w:gutter="0"/>
          <w:pgNumType w:fmt="decimal"/>
          <w:cols w:space="720" w:num="1"/>
          <w:docGrid w:type="lines" w:linePitch="312" w:charSpace="0"/>
        </w:sectPr>
      </w:pPr>
      <w:r>
        <w:rPr>
          <w:rFonts w:hint="default" w:ascii="Times New Roman" w:hAnsi="Times New Roman" w:eastAsia="方正仿宋_GBK" w:cs="Times New Roman"/>
          <w:color w:val="auto"/>
          <w:sz w:val="32"/>
          <w:szCs w:val="32"/>
          <w:shd w:val="clear" w:color="auto" w:fill="FFFFFF"/>
          <w:lang w:val="en-US" w:eastAsia="zh-CN" w:bidi="ar-SA"/>
        </w:rPr>
        <w:t>附件：重庆市荣昌区人民政府广顺街道社区事务服务中心2023年度</w:t>
      </w:r>
      <w:r>
        <w:rPr>
          <w:rFonts w:hint="eastAsia" w:ascii="Times New Roman" w:hAnsi="Times New Roman" w:eastAsia="方正仿宋_GBK" w:cs="Times New Roman"/>
          <w:color w:val="auto"/>
          <w:sz w:val="32"/>
          <w:szCs w:val="32"/>
          <w:shd w:val="clear" w:color="auto" w:fill="FFFFFF"/>
          <w:lang w:val="en-US" w:eastAsia="zh-CN" w:bidi="ar-SA"/>
        </w:rPr>
        <w:t>单位</w:t>
      </w:r>
      <w:r>
        <w:rPr>
          <w:rFonts w:hint="default" w:ascii="Times New Roman" w:hAnsi="Times New Roman" w:eastAsia="方正仿宋_GBK" w:cs="Times New Roman"/>
          <w:color w:val="auto"/>
          <w:sz w:val="32"/>
          <w:szCs w:val="32"/>
          <w:shd w:val="clear" w:color="auto" w:fill="FFFFFF"/>
          <w:lang w:val="en-US" w:eastAsia="zh-CN" w:bidi="ar-SA"/>
        </w:rPr>
        <w:t>决算公开报表（公开01—09表）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pStyle w:val="8"/>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重庆市荣昌区人民政府广顺街道办事处</w:t>
      </w:r>
      <w:r>
        <w:rPr>
          <w:rFonts w:hint="eastAsia" w:ascii="方正小标宋_GBK" w:hAnsi="方正小标宋_GBK" w:eastAsia="方正小标宋_GBK" w:cs="方正小标宋_GBK"/>
          <w:color w:val="auto"/>
          <w:sz w:val="44"/>
          <w:szCs w:val="44"/>
          <w:lang w:val="en-US" w:eastAsia="zh-CN"/>
        </w:rPr>
        <w:t>社区事务服务中心</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年度单位决算公开报表（公开01—09表）</w:t>
      </w:r>
    </w:p>
    <w:p>
      <w:pPr>
        <w:pStyle w:val="2"/>
        <w:rPr>
          <w:rFonts w:hint="eastAsia"/>
          <w:lang w:val="en-US" w:eastAsia="zh-CN"/>
        </w:rPr>
      </w:pPr>
    </w:p>
    <w:tbl>
      <w:tblPr>
        <w:tblStyle w:val="9"/>
        <w:tblW w:w="8876" w:type="dxa"/>
        <w:tblInd w:w="0" w:type="dxa"/>
        <w:shd w:val="clear" w:color="auto" w:fill="auto"/>
        <w:tblLayout w:type="fixed"/>
        <w:tblCellMar>
          <w:top w:w="0" w:type="dxa"/>
          <w:left w:w="0" w:type="dxa"/>
          <w:bottom w:w="0" w:type="dxa"/>
          <w:right w:w="0" w:type="dxa"/>
        </w:tblCellMar>
      </w:tblPr>
      <w:tblGrid>
        <w:gridCol w:w="3201"/>
        <w:gridCol w:w="917"/>
        <w:gridCol w:w="3256"/>
        <w:gridCol w:w="1502"/>
      </w:tblGrid>
      <w:tr>
        <w:tblPrEx>
          <w:shd w:val="clear" w:color="auto" w:fill="auto"/>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374"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重庆市荣昌区广顺街道社区事务服务中心</w:t>
            </w:r>
          </w:p>
        </w:tc>
        <w:tc>
          <w:tcPr>
            <w:tcW w:w="150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47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106.77</w:t>
            </w: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917"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8.78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89.13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106.77</w:t>
            </w: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106.77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50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32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106.77</w:t>
            </w:r>
            <w:r>
              <w:rPr>
                <w:rFonts w:hint="default" w:ascii="Times New Roman" w:hAnsi="Times New Roman" w:cs="Times New Roman"/>
                <w:color w:val="auto"/>
                <w:sz w:val="20"/>
                <w:u w:color="auto"/>
              </w:rPr>
              <w:t xml:space="preserve"> </w:t>
            </w:r>
          </w:p>
        </w:tc>
        <w:tc>
          <w:tcPr>
            <w:tcW w:w="3256"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106.77</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p>
    <w:p>
      <w:pPr>
        <w:rPr>
          <w:rFonts w:hint="default" w:ascii="Times New Roman" w:hAnsi="Times New Roman" w:cs="Times New Roman"/>
          <w:color w:val="auto"/>
          <w:sz w:val="20"/>
          <w:szCs w:val="20"/>
        </w:rPr>
      </w:pPr>
      <w:bookmarkStart w:id="0" w:name="_GoBack"/>
      <w:bookmarkEnd w:id="0"/>
    </w:p>
    <w:p>
      <w:pPr>
        <w:pStyle w:val="2"/>
        <w:rPr>
          <w:rFonts w:hint="default"/>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textWrapping"/>
      </w:r>
    </w:p>
    <w:tbl>
      <w:tblPr>
        <w:tblStyle w:val="9"/>
        <w:tblW w:w="8876" w:type="dxa"/>
        <w:tblInd w:w="0" w:type="dxa"/>
        <w:shd w:val="clear" w:color="auto" w:fill="auto"/>
        <w:tblLayout w:type="fixed"/>
        <w:tblCellMar>
          <w:top w:w="0" w:type="dxa"/>
          <w:left w:w="0" w:type="dxa"/>
          <w:bottom w:w="0" w:type="dxa"/>
          <w:right w:w="0" w:type="dxa"/>
        </w:tblCellMar>
      </w:tblPr>
      <w:tblGrid>
        <w:gridCol w:w="924"/>
        <w:gridCol w:w="2182"/>
        <w:gridCol w:w="546"/>
        <w:gridCol w:w="584"/>
        <w:gridCol w:w="712"/>
        <w:gridCol w:w="711"/>
        <w:gridCol w:w="1"/>
        <w:gridCol w:w="788"/>
        <w:gridCol w:w="754"/>
        <w:gridCol w:w="831"/>
        <w:gridCol w:w="843"/>
      </w:tblGrid>
      <w:tr>
        <w:tblPrEx>
          <w:shd w:val="clear" w:color="auto" w:fill="auto"/>
          <w:tblLayout w:type="fixed"/>
          <w:tblCellMar>
            <w:top w:w="0" w:type="dxa"/>
            <w:left w:w="0" w:type="dxa"/>
            <w:bottom w:w="0" w:type="dxa"/>
            <w:right w:w="0" w:type="dxa"/>
          </w:tblCellMar>
        </w:tblPrEx>
        <w:trPr>
          <w:trHeight w:val="641" w:hRule="atLeast"/>
        </w:trPr>
        <w:tc>
          <w:tcPr>
            <w:tcW w:w="8876"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659"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重庆市荣昌区广顺街道社区事务服务中心</w:t>
            </w:r>
          </w:p>
        </w:tc>
        <w:tc>
          <w:tcPr>
            <w:tcW w:w="78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42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5659"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789"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42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310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92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18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2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18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2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18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2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18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31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106.77</w:t>
            </w:r>
            <w:r>
              <w:rPr>
                <w:rFonts w:hint="default" w:ascii="Times New Roman" w:hAnsi="Times New Roman" w:cs="Times New Roman"/>
                <w:b/>
                <w:color w:val="auto"/>
                <w:sz w:val="20"/>
                <w:u w:color="auto"/>
              </w:rPr>
              <w:t xml:space="preserve"> </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106.77</w:t>
            </w:r>
            <w:r>
              <w:rPr>
                <w:rFonts w:hint="default" w:ascii="Times New Roman" w:hAnsi="Times New Roman" w:cs="Times New Roman"/>
                <w:b/>
                <w:color w:val="auto"/>
                <w:sz w:val="20"/>
                <w:u w:color="auto"/>
              </w:rPr>
              <w:t xml:space="preserve"> </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5.85</w:t>
            </w:r>
            <w:r>
              <w:rPr>
                <w:rFonts w:hint="default" w:ascii="Times New Roman" w:hAnsi="Times New Roman" w:cs="Times New Roman"/>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5.85</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2.93</w:t>
            </w:r>
            <w:r>
              <w:rPr>
                <w:rFonts w:hint="default" w:ascii="Times New Roman" w:hAnsi="Times New Roman" w:cs="Times New Roman"/>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2.93</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3.11</w:t>
            </w:r>
            <w:r>
              <w:rPr>
                <w:rFonts w:hint="default" w:ascii="Times New Roman" w:hAnsi="Times New Roman" w:cs="Times New Roman"/>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3.11</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1.35</w:t>
            </w:r>
            <w:r>
              <w:rPr>
                <w:rFonts w:hint="default" w:ascii="Times New Roman" w:hAnsi="Times New Roman" w:cs="Times New Roman"/>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1.35</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21201</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城乡社区管理事务</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2120199</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其他城乡社区管理事务支出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89.13</w:t>
            </w:r>
            <w:r>
              <w:rPr>
                <w:rFonts w:hint="default" w:ascii="Times New Roman" w:hAnsi="Times New Roman" w:cs="Times New Roman"/>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89.13</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4.40</w:t>
            </w:r>
            <w:r>
              <w:rPr>
                <w:rFonts w:hint="default" w:ascii="Times New Roman" w:hAnsi="Times New Roman" w:cs="Times New Roman"/>
                <w:color w:val="auto"/>
                <w:sz w:val="20"/>
                <w:u w:color="auto"/>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4.40</w:t>
            </w:r>
            <w:r>
              <w:rPr>
                <w:rFonts w:hint="default" w:ascii="Times New Roman" w:hAnsi="Times New Roman" w:cs="Times New Roman"/>
                <w:color w:val="auto"/>
                <w:sz w:val="20"/>
                <w:u w:color="auto"/>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074"/>
        <w:gridCol w:w="3055"/>
        <w:gridCol w:w="982"/>
        <w:gridCol w:w="763"/>
        <w:gridCol w:w="546"/>
        <w:gridCol w:w="763"/>
        <w:gridCol w:w="518"/>
        <w:gridCol w:w="1175"/>
      </w:tblGrid>
      <w:tr>
        <w:tblPrEx>
          <w:shd w:val="clear" w:color="auto" w:fill="auto"/>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420"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重庆市荣昌区广顺街道社区事务服务中心 </w:t>
            </w:r>
          </w:p>
        </w:tc>
        <w:tc>
          <w:tcPr>
            <w:tcW w:w="7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69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420"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7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69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4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07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5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7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0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7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0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7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0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4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106.77</w:t>
            </w:r>
            <w:r>
              <w:rPr>
                <w:rFonts w:hint="default" w:ascii="Times New Roman" w:hAnsi="Times New Roman" w:cs="Times New Roman"/>
                <w:b/>
                <w:color w:val="auto"/>
                <w:sz w:val="20"/>
                <w:u w:color="auto"/>
              </w:rPr>
              <w:t xml:space="preserve"> </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106.77</w:t>
            </w:r>
            <w:r>
              <w:rPr>
                <w:rFonts w:hint="default" w:ascii="Times New Roman" w:hAnsi="Times New Roman" w:cs="Times New Roman"/>
                <w:b/>
                <w:color w:val="auto"/>
                <w:sz w:val="20"/>
                <w:u w:color="auto"/>
              </w:rPr>
              <w:t xml:space="preserve"> </w:t>
            </w:r>
          </w:p>
        </w:tc>
        <w:tc>
          <w:tcPr>
            <w:tcW w:w="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5.85</w:t>
            </w: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5.85</w:t>
            </w:r>
            <w:r>
              <w:rPr>
                <w:rFonts w:hint="default" w:ascii="Times New Roman" w:hAnsi="Times New Roman" w:cs="Times New Roman"/>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2.93</w:t>
            </w: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2.93</w:t>
            </w:r>
            <w:r>
              <w:rPr>
                <w:rFonts w:hint="default" w:ascii="Times New Roman" w:hAnsi="Times New Roman" w:cs="Times New Roman"/>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3.11</w:t>
            </w: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3.11</w:t>
            </w:r>
            <w:r>
              <w:rPr>
                <w:rFonts w:hint="default" w:ascii="Times New Roman" w:hAnsi="Times New Roman" w:cs="Times New Roman"/>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1.35</w:t>
            </w: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1.35</w:t>
            </w:r>
            <w:r>
              <w:rPr>
                <w:rFonts w:hint="default" w:ascii="Times New Roman" w:hAnsi="Times New Roman" w:cs="Times New Roman"/>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21201</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城乡社区管理事务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2120199</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其他城乡社区管理事务支出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89.13</w:t>
            </w: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89.13</w:t>
            </w:r>
            <w:r>
              <w:rPr>
                <w:rFonts w:hint="default" w:ascii="Times New Roman" w:hAnsi="Times New Roman" w:cs="Times New Roman"/>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4.40</w:t>
            </w: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4.40</w:t>
            </w:r>
            <w:r>
              <w:rPr>
                <w:rFonts w:hint="default" w:ascii="Times New Roman" w:hAnsi="Times New Roman" w:cs="Times New Roman"/>
                <w:color w:val="auto"/>
                <w:sz w:val="20"/>
                <w:u w:color="auto"/>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p>
    <w:tbl>
      <w:tblPr>
        <w:tblStyle w:val="9"/>
        <w:tblW w:w="8876" w:type="dxa"/>
        <w:tblInd w:w="0" w:type="dxa"/>
        <w:shd w:val="clear" w:color="auto" w:fill="auto"/>
        <w:tblLayout w:type="fixed"/>
        <w:tblCellMar>
          <w:top w:w="0" w:type="dxa"/>
          <w:left w:w="0" w:type="dxa"/>
          <w:bottom w:w="0" w:type="dxa"/>
          <w:right w:w="0" w:type="dxa"/>
        </w:tblCellMar>
      </w:tblPr>
      <w:tblGrid>
        <w:gridCol w:w="1620"/>
        <w:gridCol w:w="1094"/>
        <w:gridCol w:w="2356"/>
        <w:gridCol w:w="590"/>
        <w:gridCol w:w="1"/>
        <w:gridCol w:w="1023"/>
        <w:gridCol w:w="1"/>
        <w:gridCol w:w="1024"/>
        <w:gridCol w:w="1"/>
        <w:gridCol w:w="1166"/>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661"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重庆市荣昌区广顺街道社区事务服务中心</w:t>
            </w:r>
          </w:p>
        </w:tc>
        <w:tc>
          <w:tcPr>
            <w:tcW w:w="1024"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2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5661"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24"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2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616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23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3806"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2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106.77</w:t>
            </w: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8.78</w:t>
            </w: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8.78</w:t>
            </w: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4.46</w:t>
            </w: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4.46</w:t>
            </w: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89.13</w:t>
            </w: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89.13</w:t>
            </w: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4.40</w:t>
            </w: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4.40</w:t>
            </w: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106.77</w:t>
            </w: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106.77</w:t>
            </w: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106.77</w:t>
            </w: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106.77</w:t>
            </w:r>
            <w:r>
              <w:rPr>
                <w:rFonts w:hint="default" w:ascii="Times New Roman" w:hAnsi="Times New Roman" w:cs="Times New Roman"/>
                <w:color w:val="auto"/>
                <w:sz w:val="18"/>
                <w:u w:color="auto"/>
              </w:rPr>
              <w:t xml:space="preserve"> </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106.77</w:t>
            </w:r>
            <w:r>
              <w:rPr>
                <w:rFonts w:hint="default" w:ascii="Times New Roman" w:hAnsi="Times New Roman" w:cs="Times New Roman"/>
                <w:color w:val="auto"/>
                <w:sz w:val="18"/>
                <w:u w:color="auto"/>
              </w:rPr>
              <w:t xml:space="preserve"> </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106.77</w:t>
            </w:r>
            <w:r>
              <w:rPr>
                <w:rFonts w:hint="default" w:ascii="Times New Roman" w:hAnsi="Times New Roman" w:cs="Times New Roman"/>
                <w:color w:val="auto"/>
                <w:sz w:val="18"/>
                <w:u w:color="auto"/>
              </w:rPr>
              <w:t xml:space="preserve"> </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072"/>
        <w:gridCol w:w="2048"/>
        <w:gridCol w:w="1916"/>
        <w:gridCol w:w="1915"/>
        <w:gridCol w:w="1"/>
        <w:gridCol w:w="1924"/>
      </w:tblGrid>
      <w:tr>
        <w:tblPrEx>
          <w:shd w:val="clear" w:color="auto" w:fill="auto"/>
          <w:tblLayout w:type="fixed"/>
          <w:tblCellMar>
            <w:top w:w="0" w:type="dxa"/>
            <w:left w:w="0" w:type="dxa"/>
            <w:bottom w:w="0" w:type="dxa"/>
            <w:right w:w="0" w:type="dxa"/>
          </w:tblCellMar>
        </w:tblPrEx>
        <w:trPr>
          <w:trHeight w:val="510" w:hRule="atLeast"/>
        </w:trPr>
        <w:tc>
          <w:tcPr>
            <w:tcW w:w="8876"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03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重庆市荣昌区广顺街道社区事务服务中心</w:t>
            </w:r>
          </w:p>
        </w:tc>
        <w:tc>
          <w:tcPr>
            <w:tcW w:w="191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03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1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75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0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0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92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0"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9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31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106.77</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106.77</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8.78</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5.85</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5.85</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2.93</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2.93</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3.11</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3.11</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1.35</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1.35</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21201</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城乡社区管理事务</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89.13</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2120199</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其他城乡社区管理事务支出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89.13</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89.13</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0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4.40</w:t>
            </w:r>
            <w:r>
              <w:rPr>
                <w:rFonts w:hint="default" w:ascii="Times New Roman" w:hAnsi="Times New Roman" w:cs="Times New Roman"/>
                <w:color w:val="auto"/>
                <w:sz w:val="20"/>
                <w:u w:color="auto"/>
              </w:rPr>
              <w:t xml:space="preserve"> </w:t>
            </w:r>
          </w:p>
        </w:tc>
        <w:tc>
          <w:tcPr>
            <w:tcW w:w="1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4.40</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761"/>
        <w:gridCol w:w="1172"/>
        <w:gridCol w:w="668"/>
        <w:gridCol w:w="655"/>
        <w:gridCol w:w="1364"/>
        <w:gridCol w:w="659"/>
        <w:gridCol w:w="745"/>
        <w:gridCol w:w="1800"/>
        <w:gridCol w:w="1052"/>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279"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重庆市荣昌区广顺街道社区事务服务中心</w:t>
            </w:r>
          </w:p>
        </w:tc>
        <w:tc>
          <w:tcPr>
            <w:tcW w:w="74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279"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74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627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76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6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3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74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0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76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1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3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4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0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90.39</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16.39</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20.48</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0.16</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0.77</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50.58</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0.20</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5.85</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2.93</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3.11</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0.83</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5.40</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4.40</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0.80</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0.63</w:t>
            </w: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0.55</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9.04</w:t>
            </w: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9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6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90.39</w:t>
            </w:r>
            <w:r>
              <w:rPr>
                <w:rFonts w:hint="default" w:ascii="Times New Roman" w:hAnsi="Times New Roman" w:cs="Times New Roman"/>
                <w:color w:val="auto"/>
                <w:sz w:val="18"/>
                <w:u w:color="auto"/>
              </w:rPr>
              <w:t xml:space="preserve"> </w:t>
            </w:r>
          </w:p>
        </w:tc>
        <w:tc>
          <w:tcPr>
            <w:tcW w:w="522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16.39</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auto"/>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80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重庆市荣昌区广顺街道社区事务服务中心</w:t>
            </w: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08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580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08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1086"/>
        <w:gridCol w:w="1766"/>
        <w:gridCol w:w="1891"/>
        <w:gridCol w:w="116"/>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743"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重庆市荣昌区广顺街道社区事务服务中心</w:t>
            </w:r>
          </w:p>
        </w:tc>
        <w:tc>
          <w:tcPr>
            <w:tcW w:w="216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743"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16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02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200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2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b/>
                <w:color w:val="auto"/>
                <w:sz w:val="20"/>
                <w:szCs w:val="20"/>
              </w:rPr>
            </w:pPr>
          </w:p>
        </w:tc>
        <w:tc>
          <w:tcPr>
            <w:tcW w:w="2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8876" w:type="dxa"/>
        <w:tblInd w:w="0" w:type="dxa"/>
        <w:shd w:val="clear" w:color="auto" w:fill="auto"/>
        <w:tblLayout w:type="fixed"/>
        <w:tblCellMar>
          <w:top w:w="0" w:type="dxa"/>
          <w:left w:w="0" w:type="dxa"/>
          <w:bottom w:w="0" w:type="dxa"/>
          <w:right w:w="0" w:type="dxa"/>
        </w:tblCellMar>
      </w:tblPr>
      <w:tblGrid>
        <w:gridCol w:w="3365"/>
        <w:gridCol w:w="750"/>
        <w:gridCol w:w="723"/>
        <w:gridCol w:w="3368"/>
        <w:gridCol w:w="670"/>
      </w:tblGrid>
      <w:tr>
        <w:tblPrEx>
          <w:shd w:val="clear" w:color="auto" w:fill="auto"/>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33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color w:val="auto"/>
                <w:sz w:val="20"/>
                <w:szCs w:val="20"/>
              </w:rPr>
            </w:pPr>
          </w:p>
        </w:tc>
        <w:tc>
          <w:tcPr>
            <w:tcW w:w="7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403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838" w:type="dxa"/>
            <w:gridSpan w:val="3"/>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重庆市荣昌区广顺街道社区事务服务中心</w:t>
            </w:r>
          </w:p>
        </w:tc>
        <w:tc>
          <w:tcPr>
            <w:tcW w:w="4038"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392"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一、“三公”经费支出</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69"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1.00</w:t>
            </w: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244" w:hRule="atLeast"/>
        </w:trPr>
        <w:tc>
          <w:tcPr>
            <w:tcW w:w="3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7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0.55</w:t>
            </w:r>
            <w:r>
              <w:rPr>
                <w:rFonts w:hint="default" w:ascii="Times New Roman" w:hAnsi="Times New Roman" w:cs="Times New Roman"/>
                <w:color w:val="auto"/>
                <w:sz w:val="20"/>
                <w:u w:color="auto"/>
              </w:rPr>
              <w:t xml:space="preserve"> </w:t>
            </w:r>
          </w:p>
        </w:tc>
        <w:tc>
          <w:tcPr>
            <w:tcW w:w="33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8B7979"/>
    <w:rsid w:val="0C9B098C"/>
    <w:rsid w:val="0D673E11"/>
    <w:rsid w:val="0DDA54E4"/>
    <w:rsid w:val="0E3A5F83"/>
    <w:rsid w:val="0E80285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3515CA"/>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A87C99"/>
    <w:rsid w:val="29310A5F"/>
    <w:rsid w:val="29C37A35"/>
    <w:rsid w:val="2A076083"/>
    <w:rsid w:val="2A73162E"/>
    <w:rsid w:val="2B167953"/>
    <w:rsid w:val="2B200583"/>
    <w:rsid w:val="2B8209DE"/>
    <w:rsid w:val="2C636760"/>
    <w:rsid w:val="2C6762A3"/>
    <w:rsid w:val="2F5A0962"/>
    <w:rsid w:val="2FCA4B37"/>
    <w:rsid w:val="2FE029D7"/>
    <w:rsid w:val="2FE23717"/>
    <w:rsid w:val="2FF06E00"/>
    <w:rsid w:val="30586FEC"/>
    <w:rsid w:val="315F0B22"/>
    <w:rsid w:val="31D84415"/>
    <w:rsid w:val="32285F6F"/>
    <w:rsid w:val="32770556"/>
    <w:rsid w:val="329C0913"/>
    <w:rsid w:val="32AA0460"/>
    <w:rsid w:val="3337290D"/>
    <w:rsid w:val="33E31118"/>
    <w:rsid w:val="33EF7674"/>
    <w:rsid w:val="342D7BC6"/>
    <w:rsid w:val="35123FF6"/>
    <w:rsid w:val="352930DB"/>
    <w:rsid w:val="35573069"/>
    <w:rsid w:val="355F6038"/>
    <w:rsid w:val="358C217E"/>
    <w:rsid w:val="36104BF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A562B6"/>
    <w:rsid w:val="43BB152F"/>
    <w:rsid w:val="44C37687"/>
    <w:rsid w:val="45CB699A"/>
    <w:rsid w:val="465B470D"/>
    <w:rsid w:val="469936DC"/>
    <w:rsid w:val="469D6AD4"/>
    <w:rsid w:val="471E6C84"/>
    <w:rsid w:val="4748792B"/>
    <w:rsid w:val="475D719D"/>
    <w:rsid w:val="47674801"/>
    <w:rsid w:val="48225EF7"/>
    <w:rsid w:val="488F422B"/>
    <w:rsid w:val="48E36915"/>
    <w:rsid w:val="48EB6572"/>
    <w:rsid w:val="495C4A24"/>
    <w:rsid w:val="497135DF"/>
    <w:rsid w:val="49CC0EB5"/>
    <w:rsid w:val="4A263DF2"/>
    <w:rsid w:val="4A6F6675"/>
    <w:rsid w:val="4B135857"/>
    <w:rsid w:val="4B7951CB"/>
    <w:rsid w:val="4B7C315C"/>
    <w:rsid w:val="4BEC697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8D72B3"/>
    <w:rsid w:val="5A3B59D6"/>
    <w:rsid w:val="5AD134D8"/>
    <w:rsid w:val="5B911CA4"/>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4E2BDE"/>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200560"/>
    <w:rsid w:val="708F6F7F"/>
    <w:rsid w:val="70D94BD3"/>
    <w:rsid w:val="71C34D91"/>
    <w:rsid w:val="723852EF"/>
    <w:rsid w:val="72DB435C"/>
    <w:rsid w:val="72E2613A"/>
    <w:rsid w:val="72F771F4"/>
    <w:rsid w:val="73934AD2"/>
    <w:rsid w:val="750837F0"/>
    <w:rsid w:val="754758CF"/>
    <w:rsid w:val="764F62AB"/>
    <w:rsid w:val="765C45EC"/>
    <w:rsid w:val="768A7619"/>
    <w:rsid w:val="772E1EBA"/>
    <w:rsid w:val="781926BC"/>
    <w:rsid w:val="78352FBD"/>
    <w:rsid w:val="7858775C"/>
    <w:rsid w:val="78A86917"/>
    <w:rsid w:val="796A60B1"/>
    <w:rsid w:val="796D60A4"/>
    <w:rsid w:val="79A031D5"/>
    <w:rsid w:val="7A1525F7"/>
    <w:rsid w:val="7B420052"/>
    <w:rsid w:val="7B4E1189"/>
    <w:rsid w:val="7BD06A28"/>
    <w:rsid w:val="7C3A7C0B"/>
    <w:rsid w:val="7C5248E4"/>
    <w:rsid w:val="7C566698"/>
    <w:rsid w:val="7C5866A3"/>
    <w:rsid w:val="7D7406BB"/>
    <w:rsid w:val="7D773A44"/>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keepNext w:val="0"/>
      <w:keepLines w:val="0"/>
      <w:widowControl/>
      <w:suppressLineNumbers w:val="0"/>
      <w:adjustRightInd w:val="0"/>
      <w:snapToGrid w:val="0"/>
      <w:spacing w:before="0" w:beforeAutospacing="0" w:after="0" w:afterAutospacing="0" w:line="360" w:lineRule="auto"/>
      <w:ind w:left="0" w:right="0"/>
      <w:jc w:val="left"/>
    </w:pPr>
    <w:rPr>
      <w:rFonts w:hint="default" w:ascii="仿宋_GB2312" w:hAnsi="宋体" w:eastAsia="仿宋_GB2312" w:cs="宋体"/>
      <w:kern w:val="0"/>
      <w:sz w:val="28"/>
      <w:szCs w:val="28"/>
      <w:lang w:val="en-US" w:eastAsia="zh-CN" w:bidi="ar"/>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2024-10-09T08:46:46Z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