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BD18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eastAsia"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重庆市荣昌区广顺街道社区文化服务中心2023年度</w:t>
      </w:r>
      <w:r>
        <w:rPr>
          <w:rFonts w:hint="eastAsia" w:ascii="Times New Roman" w:hAnsi="Times New Roman" w:eastAsia="方正小标宋_GBK" w:cs="Times New Roman"/>
          <w:color w:val="auto"/>
          <w:sz w:val="44"/>
          <w:szCs w:val="44"/>
          <w:lang w:val="en-US" w:eastAsia="zh-CN"/>
        </w:rPr>
        <w:t>单位</w:t>
      </w:r>
      <w:r>
        <w:rPr>
          <w:rFonts w:hint="default" w:ascii="Times New Roman" w:hAnsi="Times New Roman" w:eastAsia="方正小标宋_GBK" w:cs="Times New Roman"/>
          <w:color w:val="auto"/>
          <w:sz w:val="44"/>
          <w:szCs w:val="44"/>
        </w:rPr>
        <w:t>决算公开</w:t>
      </w:r>
      <w:r>
        <w:rPr>
          <w:rFonts w:hint="eastAsia" w:ascii="Times New Roman" w:hAnsi="Times New Roman" w:eastAsia="方正小标宋_GBK" w:cs="Times New Roman"/>
          <w:color w:val="auto"/>
          <w:sz w:val="44"/>
          <w:szCs w:val="44"/>
          <w:lang w:val="en-US" w:eastAsia="zh-CN"/>
        </w:rPr>
        <w:t>报告</w:t>
      </w:r>
    </w:p>
    <w:p w14:paraId="5EFEF38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eastAsia" w:ascii="Times New Roman" w:hAnsi="Times New Roman" w:eastAsia="方正小标宋_GBK" w:cs="Times New Roman"/>
          <w:color w:val="auto"/>
          <w:sz w:val="44"/>
          <w:szCs w:val="44"/>
          <w:lang w:val="en-US" w:eastAsia="zh-CN"/>
        </w:rPr>
      </w:pPr>
    </w:p>
    <w:p w14:paraId="2E12DD76">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color w:val="auto"/>
          <w:sz w:val="32"/>
          <w:szCs w:val="32"/>
          <w:shd w:val="clear" w:color="auto" w:fill="FFFFFF"/>
        </w:rPr>
      </w:pPr>
      <w:r>
        <w:rPr>
          <w:rStyle w:val="12"/>
          <w:rFonts w:hint="default" w:ascii="Times New Roman" w:hAnsi="Times New Roman" w:eastAsia="方正黑体_GBK" w:cs="Times New Roman"/>
          <w:b w:val="0"/>
          <w:bCs/>
          <w:color w:val="auto"/>
          <w:sz w:val="32"/>
          <w:szCs w:val="32"/>
          <w:shd w:val="clear" w:color="auto" w:fill="FFFFFF"/>
        </w:rPr>
        <w:t>一、单位基本情况</w:t>
      </w:r>
    </w:p>
    <w:p w14:paraId="0A019AA4">
      <w:pPr>
        <w:keepNext w:val="0"/>
        <w:keepLines w:val="0"/>
        <w:pageBreakBefore w:val="0"/>
        <w:widowControl/>
        <w:suppressLineNumbers w:val="0"/>
        <w:kinsoku/>
        <w:wordWrap/>
        <w:overflowPunct/>
        <w:topLinePunct w:val="0"/>
        <w:autoSpaceDE w:val="0"/>
        <w:autoSpaceDN/>
        <w:bidi w:val="0"/>
        <w:adjustRightInd/>
        <w:snapToGrid/>
        <w:spacing w:line="560" w:lineRule="exact"/>
        <w:ind w:leftChars="200" w:right="0" w:rightChars="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（一）职能职责</w:t>
      </w:r>
      <w:r>
        <w:rPr>
          <w:rFonts w:hint="eastAsia" w:ascii="Times New Roman" w:hAnsi="Times New Roman" w:eastAsia="方正楷体_GBK" w:cs="Times New Roman"/>
          <w:color w:val="auto"/>
          <w:kern w:val="0"/>
          <w:sz w:val="32"/>
          <w:szCs w:val="32"/>
          <w:lang w:eastAsia="zh-CN"/>
        </w:rPr>
        <w:t>。</w:t>
      </w:r>
    </w:p>
    <w:p w14:paraId="592FB167">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广顺街道社区文化服务中心主要负责组织群众文化活动，繁荣群众文化事业。承担辖区内文化体育阵地建设，组织开展文化体育、文化交流、全民健身活动，组织辖区内文艺培训，负责广播电视、旅游等事务性服务工作，完成文化体育事业方面的其他服务工作。</w:t>
      </w:r>
    </w:p>
    <w:p w14:paraId="12BFD85F">
      <w:pPr>
        <w:keepNext w:val="0"/>
        <w:keepLines w:val="0"/>
        <w:pageBreakBefore w:val="0"/>
        <w:widowControl/>
        <w:suppressLineNumbers w:val="0"/>
        <w:kinsoku/>
        <w:wordWrap/>
        <w:overflowPunct/>
        <w:topLinePunct w:val="0"/>
        <w:autoSpaceDE w:val="0"/>
        <w:autoSpaceDN/>
        <w:bidi w:val="0"/>
        <w:adjustRightInd/>
        <w:snapToGrid/>
        <w:spacing w:line="560" w:lineRule="exact"/>
        <w:ind w:leftChars="200" w:right="0" w:rightChars="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（二）机构设置</w:t>
      </w:r>
      <w:r>
        <w:rPr>
          <w:rFonts w:hint="eastAsia" w:ascii="Times New Roman" w:hAnsi="Times New Roman" w:eastAsia="方正楷体_GBK" w:cs="Times New Roman"/>
          <w:color w:val="auto"/>
          <w:kern w:val="0"/>
          <w:sz w:val="32"/>
          <w:szCs w:val="32"/>
          <w:lang w:eastAsia="zh-CN"/>
        </w:rPr>
        <w:t>。</w:t>
      </w:r>
    </w:p>
    <w:p w14:paraId="63A96BC3">
      <w:pPr>
        <w:keepNext w:val="0"/>
        <w:keepLines w:val="0"/>
        <w:pageBreakBefore w:val="0"/>
        <w:widowControl/>
        <w:suppressLineNumbers w:val="0"/>
        <w:kinsoku/>
        <w:wordWrap/>
        <w:overflowPunct/>
        <w:topLinePunct w:val="0"/>
        <w:autoSpaceDE w:val="0"/>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本单位</w:t>
      </w:r>
      <w:r>
        <w:rPr>
          <w:rFonts w:hint="eastAsia" w:ascii="Times New Roman" w:hAnsi="Times New Roman" w:eastAsia="方正仿宋_GBK" w:cs="Times New Roman"/>
          <w:color w:val="auto"/>
          <w:kern w:val="0"/>
          <w:sz w:val="32"/>
          <w:szCs w:val="32"/>
          <w:lang w:val="en-US" w:eastAsia="zh-CN"/>
        </w:rPr>
        <w:t>为广顺街道办事处二级预算单位，无内设科室</w:t>
      </w:r>
      <w:r>
        <w:rPr>
          <w:rFonts w:hint="default" w:ascii="Times New Roman" w:hAnsi="Times New Roman" w:eastAsia="方正仿宋_GBK" w:cs="Times New Roman"/>
          <w:color w:val="auto"/>
          <w:kern w:val="0"/>
          <w:sz w:val="32"/>
          <w:szCs w:val="32"/>
        </w:rPr>
        <w:t>。</w:t>
      </w:r>
    </w:p>
    <w:p w14:paraId="6C0E5EF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color w:val="auto"/>
          <w:sz w:val="32"/>
          <w:szCs w:val="32"/>
          <w:shd w:val="clear" w:color="auto" w:fill="FFFFFF"/>
        </w:rPr>
      </w:pPr>
      <w:r>
        <w:rPr>
          <w:rStyle w:val="12"/>
          <w:rFonts w:hint="default" w:ascii="Times New Roman" w:hAnsi="Times New Roman" w:eastAsia="方正黑体_GBK" w:cs="Times New Roman"/>
          <w:b w:val="0"/>
          <w:bCs/>
          <w:color w:val="auto"/>
          <w:sz w:val="32"/>
          <w:szCs w:val="32"/>
          <w:shd w:val="clear" w:color="auto" w:fill="FFFFFF"/>
        </w:rPr>
        <w:t>二、单位决算情况说明</w:t>
      </w:r>
    </w:p>
    <w:p w14:paraId="3E2D015E">
      <w:pPr>
        <w:keepNext w:val="0"/>
        <w:keepLines w:val="0"/>
        <w:pageBreakBefore w:val="0"/>
        <w:widowControl/>
        <w:suppressLineNumbers w:val="0"/>
        <w:kinsoku/>
        <w:wordWrap/>
        <w:overflowPunct/>
        <w:topLinePunct w:val="0"/>
        <w:autoSpaceDE w:val="0"/>
        <w:autoSpaceDN/>
        <w:bidi w:val="0"/>
        <w:adjustRightInd/>
        <w:snapToGri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（一）收入支出决算总体情况说明。</w:t>
      </w:r>
    </w:p>
    <w:p w14:paraId="45E9177F">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color w:val="auto"/>
          <w:sz w:val="32"/>
          <w:szCs w:val="32"/>
        </w:rPr>
      </w:pPr>
      <w:r>
        <w:rPr>
          <w:rStyle w:val="12"/>
          <w:rFonts w:hint="default" w:ascii="Times New Roman" w:hAnsi="Times New Roman" w:eastAsia="方正仿宋_GBK" w:cs="Times New Roman"/>
          <w:b w:val="0"/>
          <w:bCs/>
          <w:color w:val="auto"/>
          <w:sz w:val="32"/>
          <w:szCs w:val="32"/>
          <w:shd w:val="clear" w:color="auto" w:fill="FFFFFF"/>
        </w:rPr>
        <w:t>1.</w:t>
      </w:r>
      <w:r>
        <w:rPr>
          <w:rStyle w:val="12"/>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2"/>
          <w:rFonts w:hint="default" w:ascii="Times New Roman" w:hAnsi="Times New Roman" w:eastAsia="方正仿宋_GBK" w:cs="Times New Roman"/>
          <w:b w:val="0"/>
          <w:bCs/>
          <w:color w:val="auto"/>
          <w:sz w:val="32"/>
          <w:szCs w:val="32"/>
          <w:shd w:val="clear" w:color="auto" w:fill="FFFFFF"/>
        </w:rPr>
        <w:t>总体情况。</w:t>
      </w:r>
      <w:r>
        <w:rPr>
          <w:rFonts w:hint="default" w:ascii="Times New Roman" w:hAnsi="Times New Roman" w:eastAsia="方正仿宋_GBK" w:cs="Times New Roman"/>
          <w:b w:val="0"/>
          <w:bCs/>
          <w:color w:val="auto"/>
          <w:sz w:val="32"/>
          <w:szCs w:val="32"/>
          <w:shd w:val="clear" w:color="auto" w:fill="FFFFFF"/>
        </w:rPr>
        <w:t>2023年度收入总计88.65万元，支出总计</w:t>
      </w:r>
      <w:r>
        <w:rPr>
          <w:rFonts w:hint="default" w:ascii="Times New Roman" w:hAnsi="Times New Roman" w:eastAsia="方正仿宋_GBK" w:cs="Times New Roman"/>
          <w:b w:val="0"/>
          <w:bCs/>
          <w:color w:val="auto"/>
          <w:sz w:val="32"/>
          <w:szCs w:val="32"/>
        </w:rPr>
        <w:t>88.65</w:t>
      </w:r>
      <w:r>
        <w:rPr>
          <w:rFonts w:hint="default" w:ascii="Times New Roman" w:hAnsi="Times New Roman" w:eastAsia="方正仿宋_GBK" w:cs="Times New Roman"/>
          <w:b w:val="0"/>
          <w:bCs/>
          <w:color w:val="auto"/>
          <w:sz w:val="32"/>
          <w:szCs w:val="32"/>
          <w:shd w:val="clear" w:color="auto" w:fill="FFFFFF"/>
        </w:rPr>
        <w:t>万元。收支较上年决算数减少14.99万元，下降14.46%，主要原因是</w:t>
      </w:r>
      <w:r>
        <w:rPr>
          <w:rFonts w:hint="default" w:ascii="Times New Roman" w:hAnsi="Times New Roman" w:eastAsia="方正仿宋_GBK" w:cs="Times New Roman"/>
          <w:b w:val="0"/>
          <w:bCs/>
          <w:color w:val="auto"/>
          <w:sz w:val="32"/>
          <w:szCs w:val="32"/>
          <w:shd w:val="clear" w:color="auto" w:fill="FFFFFF"/>
          <w:lang w:val="en-US" w:eastAsia="zh-CN"/>
        </w:rPr>
        <w:t>本年度人员减少，工资福利等收支减少</w:t>
      </w:r>
      <w:r>
        <w:rPr>
          <w:rFonts w:hint="default" w:ascii="Times New Roman" w:hAnsi="Times New Roman" w:eastAsia="方正仿宋_GBK" w:cs="Times New Roman"/>
          <w:b w:val="0"/>
          <w:bCs/>
          <w:color w:val="auto"/>
          <w:sz w:val="32"/>
          <w:szCs w:val="32"/>
          <w:shd w:val="clear" w:color="auto" w:fill="FFFFFF"/>
        </w:rPr>
        <w:t>。</w:t>
      </w:r>
    </w:p>
    <w:p w14:paraId="1F74E7B8">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2"/>
          <w:rFonts w:hint="default" w:ascii="Times New Roman" w:hAnsi="Times New Roman" w:eastAsia="方正仿宋_GBK" w:cs="Times New Roman"/>
          <w:b w:val="0"/>
          <w:bCs/>
          <w:color w:val="auto"/>
          <w:sz w:val="32"/>
          <w:szCs w:val="32"/>
          <w:shd w:val="clear" w:color="auto" w:fill="FFFFFF"/>
        </w:rPr>
        <w:t>2.</w:t>
      </w:r>
      <w:r>
        <w:rPr>
          <w:rStyle w:val="12"/>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2"/>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2023年度收入合计88.65万元，较上年决算数减少14.99万元，下降14.46%，主要原因是</w:t>
      </w:r>
      <w:r>
        <w:rPr>
          <w:rFonts w:hint="default" w:ascii="Times New Roman" w:hAnsi="Times New Roman" w:eastAsia="方正仿宋_GBK" w:cs="Times New Roman"/>
          <w:b w:val="0"/>
          <w:bCs/>
          <w:color w:val="auto"/>
          <w:sz w:val="32"/>
          <w:szCs w:val="32"/>
          <w:shd w:val="clear" w:color="auto" w:fill="FFFFFF"/>
          <w:lang w:val="en-US" w:eastAsia="zh-CN"/>
        </w:rPr>
        <w:t>人员减少，工资福利等减少</w:t>
      </w:r>
      <w:r>
        <w:rPr>
          <w:rFonts w:hint="default" w:ascii="Times New Roman" w:hAnsi="Times New Roman" w:eastAsia="方正仿宋_GBK" w:cs="Times New Roman"/>
          <w:b w:val="0"/>
          <w:bCs/>
          <w:color w:val="auto"/>
          <w:sz w:val="32"/>
          <w:szCs w:val="32"/>
          <w:shd w:val="clear" w:color="auto" w:fill="FFFFFF"/>
        </w:rPr>
        <w:t>。其中：财政拨款收入</w:t>
      </w:r>
      <w:r>
        <w:rPr>
          <w:rFonts w:hint="default" w:ascii="Times New Roman" w:hAnsi="Times New Roman" w:eastAsia="方正仿宋_GBK" w:cs="Times New Roman"/>
          <w:b w:val="0"/>
          <w:bCs/>
          <w:color w:val="auto"/>
          <w:sz w:val="32"/>
          <w:szCs w:val="32"/>
        </w:rPr>
        <w:t>88.65</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%；事业收入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万元，占0.00%；其他收入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万元，占0.00%。此外，使用非财政拨款结余和专用结余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万元，年初结转和结余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1B3BA51E">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2"/>
          <w:rFonts w:hint="default" w:ascii="Times New Roman" w:hAnsi="Times New Roman" w:eastAsia="方正仿宋_GBK" w:cs="Times New Roman"/>
          <w:b w:val="0"/>
          <w:bCs/>
          <w:color w:val="auto"/>
          <w:sz w:val="32"/>
          <w:szCs w:val="32"/>
          <w:shd w:val="clear" w:color="auto" w:fill="FFFFFF"/>
        </w:rPr>
        <w:t>3.</w:t>
      </w:r>
      <w:r>
        <w:rPr>
          <w:rStyle w:val="12"/>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2"/>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2023年度支出合计</w:t>
      </w:r>
      <w:r>
        <w:rPr>
          <w:rFonts w:hint="default" w:ascii="Times New Roman" w:hAnsi="Times New Roman" w:eastAsia="方正仿宋_GBK" w:cs="Times New Roman"/>
          <w:b w:val="0"/>
          <w:bCs/>
          <w:color w:val="auto"/>
          <w:sz w:val="32"/>
          <w:szCs w:val="32"/>
        </w:rPr>
        <w:t>88.65</w:t>
      </w:r>
      <w:r>
        <w:rPr>
          <w:rFonts w:hint="default" w:ascii="Times New Roman" w:hAnsi="Times New Roman" w:eastAsia="方正仿宋_GBK" w:cs="Times New Roman"/>
          <w:b w:val="0"/>
          <w:bCs/>
          <w:color w:val="auto"/>
          <w:sz w:val="32"/>
          <w:szCs w:val="32"/>
          <w:shd w:val="clear" w:color="auto" w:fill="FFFFFF"/>
        </w:rPr>
        <w:t>万元，较上年决算数减少14.99万元，下降14.46%，主要原因是</w:t>
      </w:r>
      <w:r>
        <w:rPr>
          <w:rFonts w:hint="default" w:ascii="Times New Roman" w:hAnsi="Times New Roman" w:eastAsia="方正仿宋_GBK" w:cs="Times New Roman"/>
          <w:b w:val="0"/>
          <w:bCs/>
          <w:color w:val="auto"/>
          <w:sz w:val="32"/>
          <w:szCs w:val="32"/>
          <w:shd w:val="clear" w:color="auto" w:fill="FFFFFF"/>
          <w:lang w:val="en-US" w:eastAsia="zh-CN"/>
        </w:rPr>
        <w:t>人员减少，工资福利等基本支出减少</w:t>
      </w:r>
      <w:r>
        <w:rPr>
          <w:rFonts w:hint="default" w:ascii="Times New Roman" w:hAnsi="Times New Roman" w:eastAsia="方正仿宋_GBK" w:cs="Times New Roman"/>
          <w:b w:val="0"/>
          <w:bCs/>
          <w:color w:val="auto"/>
          <w:sz w:val="32"/>
          <w:szCs w:val="32"/>
          <w:shd w:val="clear" w:color="auto" w:fill="FFFFFF"/>
        </w:rPr>
        <w:t>。其中：基本支出</w:t>
      </w:r>
      <w:r>
        <w:rPr>
          <w:rFonts w:hint="default" w:ascii="Times New Roman" w:hAnsi="Times New Roman" w:eastAsia="方正仿宋_GBK" w:cs="Times New Roman"/>
          <w:b w:val="0"/>
          <w:bCs/>
          <w:color w:val="auto"/>
          <w:sz w:val="32"/>
          <w:szCs w:val="32"/>
        </w:rPr>
        <w:t>88.65</w:t>
      </w:r>
      <w:r>
        <w:rPr>
          <w:rFonts w:hint="default" w:ascii="Times New Roman" w:hAnsi="Times New Roman" w:eastAsia="方正仿宋_GBK" w:cs="Times New Roman"/>
          <w:b w:val="0"/>
          <w:bCs/>
          <w:color w:val="auto"/>
          <w:sz w:val="32"/>
          <w:szCs w:val="32"/>
          <w:shd w:val="clear" w:color="auto" w:fill="FFFFFF"/>
        </w:rPr>
        <w:t>万元，占100.00%；项目支出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万元，占0.00%。此外，结余分配</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43661CF4">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2"/>
          <w:rFonts w:hint="default" w:ascii="Times New Roman" w:hAnsi="Times New Roman" w:eastAsia="方正仿宋_GBK" w:cs="Times New Roman"/>
          <w:b w:val="0"/>
          <w:bCs/>
          <w:color w:val="auto"/>
          <w:sz w:val="32"/>
          <w:szCs w:val="32"/>
          <w:shd w:val="clear" w:color="auto" w:fill="FFFFFF"/>
        </w:rPr>
        <w:t>4.</w:t>
      </w:r>
      <w:r>
        <w:rPr>
          <w:rStyle w:val="12"/>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2"/>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2023年度年末结转和结余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14:paraId="3A9D4D5D">
      <w:pPr>
        <w:keepNext w:val="0"/>
        <w:keepLines w:val="0"/>
        <w:pageBreakBefore w:val="0"/>
        <w:widowControl/>
        <w:suppressLineNumbers w:val="0"/>
        <w:kinsoku/>
        <w:wordWrap/>
        <w:overflowPunct/>
        <w:topLinePunct w:val="0"/>
        <w:autoSpaceDE w:val="0"/>
        <w:autoSpaceDN/>
        <w:bidi w:val="0"/>
        <w:adjustRightInd/>
        <w:snapToGrid/>
        <w:spacing w:line="560" w:lineRule="exact"/>
        <w:ind w:leftChars="200" w:right="0" w:rightChars="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（二）财政拨款收入支出决算总体情况说明</w:t>
      </w:r>
      <w:r>
        <w:rPr>
          <w:rFonts w:hint="eastAsia" w:ascii="Times New Roman" w:hAnsi="Times New Roman" w:eastAsia="方正楷体_GBK" w:cs="Times New Roman"/>
          <w:color w:val="auto"/>
          <w:kern w:val="0"/>
          <w:sz w:val="32"/>
          <w:szCs w:val="32"/>
          <w:lang w:eastAsia="zh-CN"/>
        </w:rPr>
        <w:t>。</w:t>
      </w:r>
    </w:p>
    <w:p w14:paraId="52BE0AEA">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2023年度财政拨款收、支总计88.65万元。与2022年相比，财政拨款收、支总计各减少14.99万元，下降14.46%。主要原因是</w:t>
      </w:r>
      <w:r>
        <w:rPr>
          <w:rFonts w:hint="default" w:ascii="Times New Roman" w:hAnsi="Times New Roman" w:eastAsia="方正仿宋_GBK" w:cs="Times New Roman"/>
          <w:b w:val="0"/>
          <w:bCs/>
          <w:color w:val="auto"/>
          <w:sz w:val="32"/>
          <w:szCs w:val="32"/>
          <w:shd w:val="clear" w:color="auto" w:fill="FFFFFF"/>
          <w:lang w:val="en-US" w:eastAsia="zh-CN"/>
        </w:rPr>
        <w:t>人员减少，工资福利减少。</w:t>
      </w:r>
    </w:p>
    <w:p w14:paraId="259F6ADF">
      <w:pPr>
        <w:keepNext w:val="0"/>
        <w:keepLines w:val="0"/>
        <w:pageBreakBefore w:val="0"/>
        <w:widowControl/>
        <w:suppressLineNumbers w:val="0"/>
        <w:kinsoku/>
        <w:wordWrap/>
        <w:overflowPunct/>
        <w:topLinePunct w:val="0"/>
        <w:autoSpaceDE w:val="0"/>
        <w:autoSpaceDN/>
        <w:bidi w:val="0"/>
        <w:adjustRightInd/>
        <w:snapToGrid/>
        <w:spacing w:line="560" w:lineRule="exact"/>
        <w:ind w:leftChars="200" w:right="0" w:rightChars="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（三）一般公共预算财政拨款收入支出决算情况说明</w:t>
      </w:r>
      <w:r>
        <w:rPr>
          <w:rFonts w:hint="eastAsia" w:ascii="Times New Roman" w:hAnsi="Times New Roman" w:eastAsia="方正楷体_GBK" w:cs="Times New Roman"/>
          <w:color w:val="auto"/>
          <w:kern w:val="0"/>
          <w:sz w:val="32"/>
          <w:szCs w:val="32"/>
          <w:lang w:eastAsia="zh-CN"/>
        </w:rPr>
        <w:t>。</w:t>
      </w:r>
    </w:p>
    <w:p w14:paraId="6759B6B8">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2"/>
          <w:rFonts w:hint="default" w:ascii="Times New Roman" w:hAnsi="Times New Roman" w:eastAsia="方正仿宋_GBK" w:cs="Times New Roman"/>
          <w:b w:val="0"/>
          <w:bCs/>
          <w:color w:val="auto"/>
          <w:sz w:val="32"/>
          <w:szCs w:val="32"/>
          <w:shd w:val="clear" w:color="auto" w:fill="FFFFFF"/>
        </w:rPr>
        <w:t>1.</w:t>
      </w:r>
      <w:r>
        <w:rPr>
          <w:rStyle w:val="12"/>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2"/>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2023年度一般公共预算财政拨款收入</w:t>
      </w:r>
      <w:r>
        <w:rPr>
          <w:rFonts w:hint="default" w:ascii="Times New Roman" w:hAnsi="Times New Roman" w:eastAsia="方正仿宋_GBK" w:cs="Times New Roman"/>
          <w:b w:val="0"/>
          <w:bCs/>
          <w:color w:val="auto"/>
          <w:sz w:val="32"/>
          <w:szCs w:val="32"/>
        </w:rPr>
        <w:t>88.65</w:t>
      </w:r>
      <w:r>
        <w:rPr>
          <w:rFonts w:hint="default" w:ascii="Times New Roman" w:hAnsi="Times New Roman" w:eastAsia="方正仿宋_GBK" w:cs="Times New Roman"/>
          <w:b w:val="0"/>
          <w:bCs/>
          <w:color w:val="auto"/>
          <w:sz w:val="32"/>
          <w:szCs w:val="32"/>
          <w:shd w:val="clear" w:color="auto" w:fill="FFFFFF"/>
        </w:rPr>
        <w:t>万元，较上年决算数减少14.99万元，下降14.46%。主要原因是</w:t>
      </w:r>
      <w:r>
        <w:rPr>
          <w:rFonts w:hint="default" w:ascii="Times New Roman" w:hAnsi="Times New Roman" w:eastAsia="方正仿宋_GBK" w:cs="Times New Roman"/>
          <w:b w:val="0"/>
          <w:bCs/>
          <w:color w:val="auto"/>
          <w:sz w:val="32"/>
          <w:szCs w:val="32"/>
          <w:shd w:val="clear" w:color="auto" w:fill="FFFFFF"/>
          <w:lang w:val="en-US" w:eastAsia="zh-CN"/>
        </w:rPr>
        <w:t>人员减少，工资福利等减少</w:t>
      </w:r>
      <w:r>
        <w:rPr>
          <w:rFonts w:hint="default" w:ascii="Times New Roman" w:hAnsi="Times New Roman" w:eastAsia="方正仿宋_GBK" w:cs="Times New Roman"/>
          <w:b w:val="0"/>
          <w:bCs/>
          <w:color w:val="auto"/>
          <w:sz w:val="32"/>
          <w:szCs w:val="32"/>
          <w:shd w:val="clear" w:color="auto" w:fill="FFFFFF"/>
        </w:rPr>
        <w:t>。较年初预算数减少15.75万元，下降15.09%。主要原因是</w:t>
      </w:r>
      <w:r>
        <w:rPr>
          <w:rFonts w:hint="default" w:ascii="Times New Roman" w:hAnsi="Times New Roman" w:eastAsia="方正仿宋_GBK" w:cs="Times New Roman"/>
          <w:b w:val="0"/>
          <w:bCs/>
          <w:color w:val="auto"/>
          <w:sz w:val="32"/>
          <w:szCs w:val="32"/>
          <w:shd w:val="clear" w:color="auto" w:fill="FFFFFF"/>
          <w:lang w:val="en-US" w:eastAsia="zh-CN"/>
        </w:rPr>
        <w:t>本年度向其他单位调出2人，人员减少，工资福利等基本支出减少</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7CC46ECD">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2"/>
          <w:rFonts w:hint="default" w:ascii="Times New Roman" w:hAnsi="Times New Roman" w:eastAsia="方正仿宋_GBK" w:cs="Times New Roman"/>
          <w:b w:val="0"/>
          <w:bCs/>
          <w:color w:val="auto"/>
          <w:sz w:val="32"/>
          <w:szCs w:val="32"/>
          <w:shd w:val="clear" w:color="auto" w:fill="FFFFFF"/>
        </w:rPr>
        <w:t>2.</w:t>
      </w:r>
      <w:r>
        <w:rPr>
          <w:rStyle w:val="12"/>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2"/>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2023年度一般公共预算财政拨款支出</w:t>
      </w:r>
      <w:r>
        <w:rPr>
          <w:rFonts w:hint="default" w:ascii="Times New Roman" w:hAnsi="Times New Roman" w:eastAsia="方正仿宋_GBK" w:cs="Times New Roman"/>
          <w:b w:val="0"/>
          <w:bCs/>
          <w:color w:val="auto"/>
          <w:sz w:val="32"/>
          <w:szCs w:val="32"/>
        </w:rPr>
        <w:t>88.65</w:t>
      </w:r>
      <w:r>
        <w:rPr>
          <w:rFonts w:hint="default" w:ascii="Times New Roman" w:hAnsi="Times New Roman" w:eastAsia="方正仿宋_GBK" w:cs="Times New Roman"/>
          <w:b w:val="0"/>
          <w:bCs/>
          <w:color w:val="auto"/>
          <w:sz w:val="32"/>
          <w:szCs w:val="32"/>
          <w:shd w:val="clear" w:color="auto" w:fill="FFFFFF"/>
        </w:rPr>
        <w:t>万元，较上年决算数减少14.99万元，下降14.46%。主要原因是</w:t>
      </w:r>
      <w:r>
        <w:rPr>
          <w:rFonts w:hint="default" w:ascii="Times New Roman" w:hAnsi="Times New Roman" w:eastAsia="方正仿宋_GBK" w:cs="Times New Roman"/>
          <w:b w:val="0"/>
          <w:bCs/>
          <w:color w:val="auto"/>
          <w:sz w:val="32"/>
          <w:szCs w:val="32"/>
          <w:shd w:val="clear" w:color="auto" w:fill="FFFFFF"/>
          <w:lang w:val="en-US" w:eastAsia="zh-CN"/>
        </w:rPr>
        <w:t>人员减少，工资福利等基本支出减少</w:t>
      </w:r>
      <w:r>
        <w:rPr>
          <w:rFonts w:hint="default" w:ascii="Times New Roman" w:hAnsi="Times New Roman" w:eastAsia="方正仿宋_GBK" w:cs="Times New Roman"/>
          <w:b w:val="0"/>
          <w:bCs/>
          <w:color w:val="auto"/>
          <w:sz w:val="32"/>
          <w:szCs w:val="32"/>
          <w:shd w:val="clear" w:color="auto" w:fill="FFFFFF"/>
        </w:rPr>
        <w:t>。较年初预算数减少15.75万元，下降15.09%。主要原因是</w:t>
      </w:r>
      <w:r>
        <w:rPr>
          <w:rFonts w:hint="default" w:ascii="Times New Roman" w:hAnsi="Times New Roman" w:eastAsia="方正仿宋_GBK" w:cs="Times New Roman"/>
          <w:b w:val="0"/>
          <w:bCs/>
          <w:color w:val="auto"/>
          <w:sz w:val="32"/>
          <w:szCs w:val="32"/>
          <w:shd w:val="clear" w:color="auto" w:fill="FFFFFF"/>
          <w:lang w:val="en-US" w:eastAsia="zh-CN"/>
        </w:rPr>
        <w:t>本年度向其他单位调出2人，人员减少，工资福利等基本支出减少</w:t>
      </w:r>
      <w:r>
        <w:rPr>
          <w:rFonts w:hint="default" w:ascii="Times New Roman" w:hAnsi="Times New Roman" w:eastAsia="方正仿宋_GBK" w:cs="Times New Roman"/>
          <w:b w:val="0"/>
          <w:bCs/>
          <w:color w:val="auto"/>
          <w:sz w:val="32"/>
          <w:szCs w:val="32"/>
          <w:shd w:val="clear" w:color="auto" w:fill="FFFFFF"/>
        </w:rPr>
        <w:t>。</w:t>
      </w:r>
    </w:p>
    <w:p w14:paraId="5DCC6970">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2"/>
          <w:rFonts w:hint="default" w:ascii="Times New Roman" w:hAnsi="Times New Roman" w:eastAsia="方正仿宋_GBK" w:cs="Times New Roman"/>
          <w:b w:val="0"/>
          <w:bCs/>
          <w:color w:val="auto"/>
          <w:sz w:val="32"/>
          <w:szCs w:val="32"/>
          <w:shd w:val="clear" w:color="auto" w:fill="FFFFFF"/>
        </w:rPr>
        <w:t>3.</w:t>
      </w:r>
      <w:r>
        <w:rPr>
          <w:rStyle w:val="12"/>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2"/>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2023年度年末一般公共预算财政拨款结转和结余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14:paraId="06AECC1F">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cyan"/>
          <w:shd w:val="clear" w:color="auto" w:fill="FFFFFF"/>
        </w:rPr>
      </w:pPr>
      <w:r>
        <w:rPr>
          <w:rStyle w:val="12"/>
          <w:rFonts w:hint="default" w:ascii="Times New Roman" w:hAnsi="Times New Roman" w:eastAsia="方正仿宋_GBK" w:cs="Times New Roman"/>
          <w:b w:val="0"/>
          <w:bCs/>
          <w:color w:val="auto"/>
          <w:sz w:val="32"/>
          <w:szCs w:val="32"/>
          <w:shd w:val="clear" w:color="auto" w:fill="FFFFFF"/>
        </w:rPr>
        <w:t xml:space="preserve"> 4.</w:t>
      </w:r>
      <w:r>
        <w:rPr>
          <w:rStyle w:val="12"/>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12"/>
          <w:rFonts w:hint="default" w:ascii="Times New Roman" w:hAnsi="Times New Roman" w:eastAsia="方正仿宋_GBK" w:cs="Times New Roman"/>
          <w:b w:val="0"/>
          <w:bCs/>
          <w:color w:val="auto"/>
          <w:sz w:val="32"/>
          <w:szCs w:val="32"/>
          <w:shd w:val="clear" w:color="auto" w:fill="FFFFFF"/>
        </w:rPr>
        <w:t>比较情况。</w:t>
      </w:r>
      <w:r>
        <w:rPr>
          <w:rFonts w:hint="default" w:ascii="Times New Roman" w:hAnsi="Times New Roman" w:eastAsia="方正仿宋_GBK" w:cs="Times New Roman"/>
          <w:b w:val="0"/>
          <w:bCs/>
          <w:color w:val="auto"/>
          <w:sz w:val="32"/>
          <w:szCs w:val="32"/>
          <w:shd w:val="clear" w:color="auto" w:fill="FFFFFF"/>
        </w:rPr>
        <w:t>本单位2023年度一般公共预算财政拨款支出主要用于以下几个方面：</w:t>
      </w:r>
    </w:p>
    <w:p w14:paraId="37A6CC8D">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1</w:t>
      </w:r>
      <w:r>
        <w:rPr>
          <w:rFonts w:hint="default" w:ascii="Times New Roman" w:hAnsi="Times New Roman" w:eastAsia="方正仿宋_GBK" w:cs="Times New Roman"/>
          <w:b w:val="0"/>
          <w:bCs/>
          <w:color w:val="auto"/>
          <w:sz w:val="32"/>
          <w:szCs w:val="32"/>
          <w:shd w:val="clear" w:color="auto" w:fill="FFFFFF"/>
        </w:rPr>
        <w:t>）文化旅游体育与传媒支出</w:t>
      </w:r>
      <w:r>
        <w:rPr>
          <w:rFonts w:hint="default" w:ascii="Times New Roman" w:hAnsi="Times New Roman" w:eastAsia="方正仿宋_GBK" w:cs="Times New Roman"/>
          <w:b w:val="0"/>
          <w:bCs/>
          <w:color w:val="auto"/>
          <w:sz w:val="32"/>
          <w:szCs w:val="32"/>
        </w:rPr>
        <w:t>70.30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79.31</w:t>
      </w:r>
      <w:r>
        <w:rPr>
          <w:rFonts w:hint="default" w:ascii="Times New Roman" w:hAnsi="Times New Roman" w:eastAsia="方正仿宋_GBK" w:cs="Times New Roman"/>
          <w:b w:val="0"/>
          <w:bCs/>
          <w:color w:val="auto"/>
          <w:sz w:val="32"/>
          <w:szCs w:val="32"/>
          <w:shd w:val="clear" w:color="auto" w:fill="FFFFFF"/>
        </w:rPr>
        <w:t>%，较年初预算数减少11.73万元，下降14.30%，主要原因是</w:t>
      </w:r>
      <w:r>
        <w:rPr>
          <w:rFonts w:hint="default" w:ascii="Times New Roman" w:hAnsi="Times New Roman" w:eastAsia="方正仿宋_GBK" w:cs="Times New Roman"/>
          <w:b w:val="0"/>
          <w:bCs/>
          <w:color w:val="auto"/>
          <w:sz w:val="32"/>
          <w:szCs w:val="32"/>
          <w:shd w:val="clear" w:color="auto" w:fill="FFFFFF"/>
          <w:lang w:val="en-US" w:eastAsia="zh-CN"/>
        </w:rPr>
        <w:t>人员减少，职工工资福利等基本支出减少</w:t>
      </w:r>
      <w:r>
        <w:rPr>
          <w:rFonts w:hint="default" w:ascii="Times New Roman" w:hAnsi="Times New Roman" w:eastAsia="方正仿宋_GBK" w:cs="Times New Roman"/>
          <w:b w:val="0"/>
          <w:bCs/>
          <w:color w:val="auto"/>
          <w:sz w:val="32"/>
          <w:szCs w:val="32"/>
          <w:shd w:val="clear" w:color="auto" w:fill="FFFFFF"/>
        </w:rPr>
        <w:t>。</w:t>
      </w:r>
    </w:p>
    <w:p w14:paraId="69A4A578">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10.66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12.03</w:t>
      </w:r>
      <w:r>
        <w:rPr>
          <w:rFonts w:hint="default" w:ascii="Times New Roman" w:hAnsi="Times New Roman" w:eastAsia="方正仿宋_GBK" w:cs="Times New Roman"/>
          <w:color w:val="auto"/>
          <w:sz w:val="32"/>
          <w:szCs w:val="32"/>
          <w:shd w:val="clear" w:color="auto" w:fill="FFFFFF"/>
        </w:rPr>
        <w:t>%，较年初预算数减少2.96万元，下降21.73%，主要原因是</w:t>
      </w:r>
      <w:r>
        <w:rPr>
          <w:rFonts w:hint="default" w:ascii="Times New Roman" w:hAnsi="Times New Roman" w:eastAsia="方正仿宋_GBK" w:cs="Times New Roman"/>
          <w:b w:val="0"/>
          <w:bCs/>
          <w:color w:val="auto"/>
          <w:sz w:val="32"/>
          <w:szCs w:val="32"/>
          <w:shd w:val="clear" w:color="auto" w:fill="FFFFFF"/>
          <w:lang w:val="en-US" w:eastAsia="zh-CN"/>
        </w:rPr>
        <w:t>人员减少，职工社会保障缴费减少</w:t>
      </w:r>
      <w:r>
        <w:rPr>
          <w:rFonts w:hint="default" w:ascii="Times New Roman" w:hAnsi="Times New Roman" w:eastAsia="方正仿宋_GBK" w:cs="Times New Roman"/>
          <w:color w:val="auto"/>
          <w:sz w:val="32"/>
          <w:szCs w:val="32"/>
          <w:shd w:val="clear" w:color="auto" w:fill="FFFFFF"/>
        </w:rPr>
        <w:t>。</w:t>
      </w:r>
    </w:p>
    <w:p w14:paraId="4A942F29">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3.35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3.78</w:t>
      </w:r>
      <w:r>
        <w:rPr>
          <w:rFonts w:hint="default" w:ascii="Times New Roman" w:hAnsi="Times New Roman" w:eastAsia="方正仿宋_GBK" w:cs="Times New Roman"/>
          <w:color w:val="auto"/>
          <w:sz w:val="32"/>
          <w:szCs w:val="32"/>
          <w:shd w:val="clear" w:color="auto" w:fill="FFFFFF"/>
        </w:rPr>
        <w:t>%，较年初预算数减少1.06万元，下降24.04%，主要原因是</w:t>
      </w:r>
      <w:r>
        <w:rPr>
          <w:rFonts w:hint="default" w:ascii="Times New Roman" w:hAnsi="Times New Roman" w:eastAsia="方正仿宋_GBK" w:cs="Times New Roman"/>
          <w:b w:val="0"/>
          <w:bCs/>
          <w:color w:val="auto"/>
          <w:sz w:val="32"/>
          <w:szCs w:val="32"/>
          <w:shd w:val="clear" w:color="auto" w:fill="FFFFFF"/>
          <w:lang w:val="en-US" w:eastAsia="zh-CN"/>
        </w:rPr>
        <w:t>人员减少，职工医疗保障缴费减少</w:t>
      </w:r>
      <w:r>
        <w:rPr>
          <w:rFonts w:hint="default" w:ascii="Times New Roman" w:hAnsi="Times New Roman" w:eastAsia="方正仿宋_GBK" w:cs="Times New Roman"/>
          <w:color w:val="auto"/>
          <w:sz w:val="32"/>
          <w:szCs w:val="32"/>
          <w:shd w:val="clear" w:color="auto" w:fill="FFFFFF"/>
        </w:rPr>
        <w:t>。</w:t>
      </w:r>
    </w:p>
    <w:p w14:paraId="3560A62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住房保障支出4.33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4.89</w:t>
      </w:r>
      <w:r>
        <w:rPr>
          <w:rFonts w:hint="default" w:ascii="Times New Roman" w:hAnsi="Times New Roman" w:eastAsia="方正仿宋_GBK" w:cs="Times New Roman"/>
          <w:color w:val="auto"/>
          <w:sz w:val="32"/>
          <w:szCs w:val="32"/>
          <w:shd w:val="clear" w:color="auto" w:fill="FFFFFF"/>
        </w:rPr>
        <w:t>%，较年初预算数无增减，主要原因是</w:t>
      </w:r>
      <w:r>
        <w:rPr>
          <w:rFonts w:hint="default" w:ascii="Times New Roman" w:hAnsi="Times New Roman" w:eastAsia="方正仿宋_GBK" w:cs="Times New Roman"/>
          <w:b w:val="0"/>
          <w:bCs/>
          <w:color w:val="auto"/>
          <w:sz w:val="32"/>
          <w:szCs w:val="32"/>
          <w:shd w:val="clear" w:color="auto" w:fill="FFFFFF"/>
          <w:lang w:val="en-US" w:eastAsia="zh-CN"/>
        </w:rPr>
        <w:t>人员减少，职工住房公积金缴费减少</w:t>
      </w:r>
      <w:r>
        <w:rPr>
          <w:rFonts w:hint="default" w:ascii="Times New Roman" w:hAnsi="Times New Roman" w:eastAsia="方正仿宋_GBK" w:cs="Times New Roman"/>
          <w:color w:val="auto"/>
          <w:sz w:val="32"/>
          <w:szCs w:val="32"/>
          <w:shd w:val="clear" w:color="auto" w:fill="FFFFFF"/>
        </w:rPr>
        <w:t>。</w:t>
      </w:r>
    </w:p>
    <w:p w14:paraId="64D47E09">
      <w:pPr>
        <w:keepNext w:val="0"/>
        <w:keepLines w:val="0"/>
        <w:pageBreakBefore w:val="0"/>
        <w:widowControl/>
        <w:suppressLineNumbers w:val="0"/>
        <w:kinsoku/>
        <w:wordWrap/>
        <w:overflowPunct/>
        <w:topLinePunct w:val="0"/>
        <w:autoSpaceDE w:val="0"/>
        <w:autoSpaceDN/>
        <w:bidi w:val="0"/>
        <w:adjustRightInd/>
        <w:snapToGrid/>
        <w:spacing w:line="560" w:lineRule="exact"/>
        <w:ind w:leftChars="200" w:right="0" w:rightChars="0"/>
        <w:jc w:val="both"/>
        <w:textAlignment w:val="auto"/>
        <w:rPr>
          <w:rFonts w:hint="eastAsia"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rPr>
        <w:t>（四）一般公共预算财政拨款基本支出决算情况说明</w:t>
      </w:r>
      <w:r>
        <w:rPr>
          <w:rFonts w:hint="eastAsia" w:ascii="Times New Roman" w:hAnsi="Times New Roman" w:eastAsia="方正楷体_GBK" w:cs="Times New Roman"/>
          <w:color w:val="auto"/>
          <w:kern w:val="0"/>
          <w:sz w:val="32"/>
          <w:szCs w:val="32"/>
          <w:lang w:eastAsia="zh-CN"/>
        </w:rPr>
        <w:t>。</w:t>
      </w:r>
    </w:p>
    <w:p w14:paraId="49FF6872">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2023年度一般公共财政拨款基本支出</w:t>
      </w:r>
      <w:r>
        <w:rPr>
          <w:rFonts w:hint="default" w:ascii="Times New Roman" w:hAnsi="Times New Roman" w:eastAsia="方正仿宋_GBK" w:cs="Times New Roman"/>
          <w:color w:val="auto"/>
          <w:sz w:val="32"/>
          <w:szCs w:val="32"/>
        </w:rPr>
        <w:t>88.65</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73.48</w:t>
      </w:r>
      <w:r>
        <w:rPr>
          <w:rFonts w:hint="default" w:ascii="Times New Roman" w:hAnsi="Times New Roman" w:eastAsia="方正仿宋_GBK" w:cs="Times New Roman"/>
          <w:color w:val="auto"/>
          <w:sz w:val="32"/>
          <w:szCs w:val="32"/>
          <w:shd w:val="clear" w:color="auto" w:fill="FFFFFF"/>
        </w:rPr>
        <w:t>万元，较上年决算数减少9.55万元，下降11.50%，主要原因是</w:t>
      </w:r>
      <w:r>
        <w:rPr>
          <w:rFonts w:hint="default" w:ascii="Times New Roman" w:hAnsi="Times New Roman" w:eastAsia="方正仿宋_GBK" w:cs="Times New Roman"/>
          <w:b w:val="0"/>
          <w:bCs/>
          <w:color w:val="auto"/>
          <w:sz w:val="32"/>
          <w:szCs w:val="32"/>
          <w:shd w:val="clear" w:color="auto" w:fill="FFFFFF"/>
          <w:lang w:val="en-US" w:eastAsia="zh-CN"/>
        </w:rPr>
        <w:t>人员减少，工资福利等减少</w:t>
      </w:r>
      <w:r>
        <w:rPr>
          <w:rFonts w:hint="default" w:ascii="Times New Roman" w:hAnsi="Times New Roman" w:eastAsia="方正仿宋_GBK" w:cs="Times New Roman"/>
          <w:color w:val="auto"/>
          <w:sz w:val="32"/>
          <w:szCs w:val="32"/>
          <w:shd w:val="clear" w:color="auto" w:fill="FFFFFF"/>
        </w:rPr>
        <w:t>。人员经费用途主要包括基本工资、津贴补贴、绩效工资、社会保障缴费、住房公积金。公用经费</w:t>
      </w:r>
      <w:r>
        <w:rPr>
          <w:rFonts w:hint="default" w:ascii="Times New Roman" w:hAnsi="Times New Roman" w:eastAsia="方正仿宋_GBK" w:cs="Times New Roman"/>
          <w:color w:val="auto"/>
          <w:sz w:val="32"/>
          <w:szCs w:val="32"/>
        </w:rPr>
        <w:t>15.17</w:t>
      </w:r>
      <w:r>
        <w:rPr>
          <w:rFonts w:hint="default" w:ascii="Times New Roman" w:hAnsi="Times New Roman" w:eastAsia="方正仿宋_GBK" w:cs="Times New Roman"/>
          <w:color w:val="auto"/>
          <w:sz w:val="32"/>
          <w:szCs w:val="32"/>
          <w:shd w:val="clear" w:color="auto" w:fill="FFFFFF"/>
        </w:rPr>
        <w:t>万元，较上年决算数减少5.44万元，下降26.39%，主要原因是</w:t>
      </w:r>
      <w:r>
        <w:rPr>
          <w:rFonts w:hint="default" w:ascii="Times New Roman" w:hAnsi="Times New Roman" w:eastAsia="方正仿宋_GBK" w:cs="Times New Roman"/>
          <w:color w:val="auto"/>
          <w:sz w:val="32"/>
          <w:szCs w:val="32"/>
          <w:shd w:val="clear" w:color="auto" w:fill="FFFFFF"/>
          <w:lang w:val="en-US" w:eastAsia="zh-CN"/>
        </w:rPr>
        <w:t>厉行节约，减少公用经费支出</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b w:val="0"/>
          <w:color w:val="auto"/>
          <w:kern w:val="0"/>
          <w:sz w:val="32"/>
          <w:szCs w:val="32"/>
          <w:shd w:val="clear" w:fill="FFFFFF"/>
        </w:rPr>
        <w:t>办公费、</w:t>
      </w:r>
      <w:r>
        <w:rPr>
          <w:rFonts w:hint="default" w:ascii="Times New Roman" w:hAnsi="Times New Roman" w:eastAsia="方正仿宋_GBK" w:cs="Times New Roman"/>
          <w:b w:val="0"/>
          <w:color w:val="auto"/>
          <w:kern w:val="0"/>
          <w:sz w:val="32"/>
          <w:szCs w:val="32"/>
          <w:shd w:val="clear" w:fill="FFFFFF"/>
          <w:lang w:val="en-US" w:eastAsia="zh-CN"/>
        </w:rPr>
        <w:t>水费、</w:t>
      </w:r>
      <w:r>
        <w:rPr>
          <w:rFonts w:hint="default" w:ascii="Times New Roman" w:hAnsi="Times New Roman" w:eastAsia="方正仿宋_GBK" w:cs="Times New Roman"/>
          <w:b w:val="0"/>
          <w:color w:val="auto"/>
          <w:kern w:val="0"/>
          <w:sz w:val="32"/>
          <w:szCs w:val="32"/>
          <w:shd w:val="clear" w:fill="FFFFFF"/>
        </w:rPr>
        <w:t>电费、</w:t>
      </w:r>
      <w:r>
        <w:rPr>
          <w:rFonts w:hint="default" w:ascii="Times New Roman" w:hAnsi="Times New Roman" w:eastAsia="方正仿宋_GBK" w:cs="Times New Roman"/>
          <w:b w:val="0"/>
          <w:color w:val="auto"/>
          <w:kern w:val="0"/>
          <w:sz w:val="32"/>
          <w:szCs w:val="32"/>
          <w:shd w:val="clear" w:fill="FFFFFF"/>
          <w:lang w:val="en-US" w:eastAsia="zh-CN"/>
        </w:rPr>
        <w:t>培训费</w:t>
      </w:r>
      <w:r>
        <w:rPr>
          <w:rFonts w:hint="default" w:ascii="Times New Roman" w:hAnsi="Times New Roman" w:eastAsia="方正仿宋_GBK" w:cs="Times New Roman"/>
          <w:b w:val="0"/>
          <w:color w:val="auto"/>
          <w:kern w:val="0"/>
          <w:sz w:val="32"/>
          <w:szCs w:val="32"/>
          <w:shd w:val="clear" w:fill="FFFFFF"/>
        </w:rPr>
        <w:t>、</w:t>
      </w:r>
      <w:r>
        <w:rPr>
          <w:rFonts w:hint="default" w:ascii="Times New Roman" w:hAnsi="Times New Roman" w:eastAsia="方正仿宋_GBK" w:cs="Times New Roman"/>
          <w:b w:val="0"/>
          <w:color w:val="auto"/>
          <w:kern w:val="0"/>
          <w:sz w:val="32"/>
          <w:szCs w:val="32"/>
          <w:shd w:val="clear" w:fill="FFFFFF"/>
          <w:lang w:val="en-US" w:eastAsia="zh-CN"/>
        </w:rPr>
        <w:t>差旅费</w:t>
      </w:r>
      <w:r>
        <w:rPr>
          <w:rFonts w:hint="default" w:ascii="Times New Roman" w:hAnsi="Times New Roman" w:eastAsia="方正仿宋_GBK" w:cs="Times New Roman"/>
          <w:b w:val="0"/>
          <w:color w:val="auto"/>
          <w:kern w:val="0"/>
          <w:sz w:val="32"/>
          <w:szCs w:val="32"/>
          <w:shd w:val="clear" w:fill="FFFFFF"/>
        </w:rPr>
        <w:t>和其他商品和服务支出</w:t>
      </w:r>
      <w:r>
        <w:rPr>
          <w:rFonts w:hint="default" w:ascii="Times New Roman" w:hAnsi="Times New Roman" w:eastAsia="方正仿宋_GBK" w:cs="Times New Roman"/>
          <w:color w:val="auto"/>
          <w:sz w:val="32"/>
          <w:szCs w:val="32"/>
          <w:shd w:val="clear" w:color="auto" w:fill="FFFFFF"/>
        </w:rPr>
        <w:t>。</w:t>
      </w:r>
    </w:p>
    <w:p w14:paraId="607BD243">
      <w:pPr>
        <w:pStyle w:val="13"/>
        <w:keepNext w:val="0"/>
        <w:keepLines w:val="0"/>
        <w:pageBreakBefore w:val="0"/>
        <w:widowControl/>
        <w:numPr>
          <w:ilvl w:val="0"/>
          <w:numId w:val="0"/>
        </w:numPr>
        <w:kinsoku/>
        <w:wordWrap/>
        <w:overflowPunct/>
        <w:topLinePunct w:val="0"/>
        <w:autoSpaceDE w:val="0"/>
        <w:autoSpaceDN/>
        <w:bidi w:val="0"/>
        <w:adjustRightInd/>
        <w:snapToGrid/>
        <w:spacing w:afterAutospacing="0" w:line="560" w:lineRule="exact"/>
        <w:ind w:firstLine="640" w:firstLineChars="200"/>
        <w:textAlignment w:val="auto"/>
        <w:rPr>
          <w:rStyle w:val="12"/>
          <w:rFonts w:hint="default" w:ascii="Times New Roman" w:hAnsi="Times New Roman" w:eastAsia="方正楷体_GBK" w:cs="Times New Roman"/>
          <w:b w:val="0"/>
          <w:bCs w:val="0"/>
          <w:color w:val="auto"/>
          <w:sz w:val="32"/>
          <w:szCs w:val="32"/>
          <w:shd w:val="clear" w:color="auto" w:fill="FFFFFF"/>
          <w:lang w:val="en-US" w:eastAsia="zh-CN" w:bidi="ar-SA"/>
        </w:rPr>
      </w:pPr>
      <w:r>
        <w:rPr>
          <w:rStyle w:val="12"/>
          <w:rFonts w:hint="default" w:ascii="Times New Roman" w:hAnsi="Times New Roman" w:eastAsia="方正楷体_GBK" w:cs="Times New Roman"/>
          <w:b w:val="0"/>
          <w:bCs w:val="0"/>
          <w:color w:val="auto"/>
          <w:sz w:val="32"/>
          <w:szCs w:val="32"/>
          <w:shd w:val="clear" w:color="auto" w:fill="FFFFFF"/>
          <w:lang w:val="en-US" w:eastAsia="zh-CN" w:bidi="ar-SA"/>
        </w:rPr>
        <w:t>（五）</w:t>
      </w:r>
      <w:r>
        <w:rPr>
          <w:rStyle w:val="12"/>
          <w:rFonts w:hint="eastAsia" w:ascii="Times New Roman" w:hAnsi="Times New Roman" w:eastAsia="方正楷体_GBK" w:cs="Times New Roman"/>
          <w:b w:val="0"/>
          <w:bCs w:val="0"/>
          <w:color w:val="auto"/>
          <w:sz w:val="32"/>
          <w:szCs w:val="32"/>
          <w:shd w:val="clear" w:color="auto" w:fill="FFFFFF"/>
          <w:lang w:val="en-US" w:eastAsia="zh-CN" w:bidi="ar-SA"/>
        </w:rPr>
        <w:t>政府性</w:t>
      </w:r>
      <w:bookmarkStart w:id="0" w:name="_GoBack"/>
      <w:bookmarkEnd w:id="0"/>
      <w:r>
        <w:rPr>
          <w:rStyle w:val="12"/>
          <w:rFonts w:hint="default" w:ascii="Times New Roman" w:hAnsi="Times New Roman" w:eastAsia="方正楷体_GBK" w:cs="Times New Roman"/>
          <w:b w:val="0"/>
          <w:bCs w:val="0"/>
          <w:color w:val="auto"/>
          <w:sz w:val="32"/>
          <w:szCs w:val="32"/>
          <w:shd w:val="clear" w:color="auto" w:fill="FFFFFF"/>
          <w:lang w:val="en-US" w:eastAsia="zh-CN" w:bidi="ar-SA"/>
        </w:rPr>
        <w:t>基金预算收支决算情况说明</w:t>
      </w:r>
      <w:r>
        <w:rPr>
          <w:rStyle w:val="12"/>
          <w:rFonts w:hint="eastAsia" w:ascii="Times New Roman" w:hAnsi="Times New Roman" w:eastAsia="方正楷体_GBK" w:cs="Times New Roman"/>
          <w:b w:val="0"/>
          <w:bCs w:val="0"/>
          <w:color w:val="auto"/>
          <w:sz w:val="32"/>
          <w:szCs w:val="32"/>
          <w:shd w:val="clear" w:color="auto" w:fill="FFFFFF"/>
          <w:lang w:val="en-US" w:eastAsia="zh-CN" w:bidi="ar-SA"/>
        </w:rPr>
        <w:t>。</w:t>
      </w:r>
    </w:p>
    <w:p w14:paraId="33C447F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本单位2023年度无政府性基金预算财政拨款收支。</w:t>
      </w:r>
    </w:p>
    <w:p w14:paraId="2ED0A5EF">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楷体_GBK" w:cs="Times New Roman"/>
          <w:b w:val="0"/>
          <w:bCs w:val="0"/>
          <w:color w:val="auto"/>
          <w:sz w:val="32"/>
          <w:szCs w:val="32"/>
          <w:shd w:val="clear" w:color="auto" w:fill="FFFFFF"/>
          <w:lang w:val="en-US" w:eastAsia="zh-CN" w:bidi="ar-SA"/>
        </w:rPr>
      </w:pPr>
      <w:r>
        <w:rPr>
          <w:rStyle w:val="12"/>
          <w:rFonts w:hint="default" w:ascii="Times New Roman" w:hAnsi="Times New Roman" w:eastAsia="方正楷体_GBK" w:cs="Times New Roman"/>
          <w:b w:val="0"/>
          <w:bCs w:val="0"/>
          <w:color w:val="auto"/>
          <w:sz w:val="32"/>
          <w:szCs w:val="32"/>
          <w:shd w:val="clear" w:color="auto" w:fill="FFFFFF"/>
          <w:lang w:val="en-US" w:eastAsia="zh-CN" w:bidi="ar-SA"/>
        </w:rPr>
        <w:t>（六）国有资本经营预算财政拨款支出决算情况说明</w:t>
      </w:r>
      <w:r>
        <w:rPr>
          <w:rStyle w:val="12"/>
          <w:rFonts w:hint="eastAsia" w:ascii="Times New Roman" w:hAnsi="Times New Roman" w:eastAsia="方正楷体_GBK" w:cs="Times New Roman"/>
          <w:b w:val="0"/>
          <w:bCs w:val="0"/>
          <w:color w:val="auto"/>
          <w:sz w:val="32"/>
          <w:szCs w:val="32"/>
          <w:shd w:val="clear" w:color="auto" w:fill="FFFFFF"/>
          <w:lang w:val="en-US" w:eastAsia="zh-CN" w:bidi="ar-SA"/>
        </w:rPr>
        <w:t>。</w:t>
      </w:r>
    </w:p>
    <w:p w14:paraId="29CA3C29">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本单位2023年度无国有资本经营预算财政拨款支出。</w:t>
      </w:r>
    </w:p>
    <w:p w14:paraId="54F056F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color w:val="auto"/>
          <w:sz w:val="32"/>
          <w:szCs w:val="32"/>
          <w:shd w:val="clear" w:color="auto" w:fill="FFFFFF"/>
        </w:rPr>
      </w:pPr>
      <w:r>
        <w:rPr>
          <w:rStyle w:val="12"/>
          <w:rFonts w:hint="default" w:ascii="Times New Roman" w:hAnsi="Times New Roman" w:eastAsia="方正黑体_GBK" w:cs="Times New Roman"/>
          <w:b w:val="0"/>
          <w:bCs/>
          <w:color w:val="auto"/>
          <w:sz w:val="32"/>
          <w:szCs w:val="32"/>
          <w:shd w:val="clear" w:color="auto" w:fill="FFFFFF"/>
        </w:rPr>
        <w:t>三、“三公”经费情况说明</w:t>
      </w:r>
    </w:p>
    <w:p w14:paraId="7C08CC4A">
      <w:pPr>
        <w:keepNext w:val="0"/>
        <w:keepLines w:val="0"/>
        <w:pageBreakBefore w:val="0"/>
        <w:widowControl/>
        <w:suppressLineNumbers w:val="0"/>
        <w:kinsoku/>
        <w:wordWrap/>
        <w:overflowPunct/>
        <w:topLinePunct w:val="0"/>
        <w:autoSpaceDE w:val="0"/>
        <w:autoSpaceDN/>
        <w:bidi w:val="0"/>
        <w:adjustRightInd/>
        <w:snapToGri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（一）“三公”经费支出总体情况说明</w:t>
      </w:r>
      <w:r>
        <w:rPr>
          <w:rFonts w:hint="eastAsia" w:ascii="Times New Roman" w:hAnsi="Times New Roman" w:eastAsia="方正楷体_GBK" w:cs="Times New Roman"/>
          <w:color w:val="auto"/>
          <w:kern w:val="0"/>
          <w:sz w:val="32"/>
          <w:szCs w:val="32"/>
          <w:lang w:val="en-US" w:eastAsia="zh-CN"/>
        </w:rPr>
        <w:t>。</w:t>
      </w:r>
    </w:p>
    <w:p w14:paraId="4744E674">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2023年度“三公”经费支出共计</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本单位2023年度无“三公”经费预算</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本单位2023年度无“三公”经费支出</w:t>
      </w:r>
      <w:r>
        <w:rPr>
          <w:rFonts w:hint="default" w:ascii="Times New Roman" w:hAnsi="Times New Roman" w:eastAsia="方正仿宋_GBK" w:cs="Times New Roman"/>
          <w:color w:val="auto"/>
          <w:sz w:val="32"/>
          <w:szCs w:val="32"/>
          <w:shd w:val="clear" w:color="auto" w:fill="FFFFFF"/>
        </w:rPr>
        <w:t>。</w:t>
      </w:r>
    </w:p>
    <w:p w14:paraId="5913AB07">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（二）“三公”经费分项支出情况</w:t>
      </w:r>
      <w:r>
        <w:rPr>
          <w:rFonts w:hint="eastAsia" w:ascii="Times New Roman" w:hAnsi="Times New Roman" w:eastAsia="方正楷体_GBK" w:cs="Times New Roman"/>
          <w:color w:val="auto"/>
          <w:kern w:val="0"/>
          <w:sz w:val="32"/>
          <w:szCs w:val="32"/>
          <w:lang w:val="en-US" w:eastAsia="zh-CN"/>
        </w:rPr>
        <w:t>。</w:t>
      </w:r>
    </w:p>
    <w:p w14:paraId="29774857">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本单位2023年度无</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本单位无</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rPr>
        <w:t>。</w:t>
      </w:r>
    </w:p>
    <w:p w14:paraId="66B1AEF3">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shd w:val="clear" w:fill="FFFFFF"/>
        </w:rPr>
        <w:t>本单位202</w:t>
      </w:r>
      <w:r>
        <w:rPr>
          <w:rFonts w:hint="default" w:ascii="Times New Roman" w:hAnsi="Times New Roman" w:eastAsia="方正仿宋_GBK" w:cs="Times New Roman"/>
          <w:b w:val="0"/>
          <w:color w:val="auto"/>
          <w:kern w:val="0"/>
          <w:sz w:val="32"/>
          <w:szCs w:val="32"/>
          <w:shd w:val="clear" w:fill="FFFFFF"/>
          <w:lang w:val="en-US" w:eastAsia="zh-CN"/>
        </w:rPr>
        <w:t>3</w:t>
      </w:r>
      <w:r>
        <w:rPr>
          <w:rFonts w:hint="default" w:ascii="Times New Roman" w:hAnsi="Times New Roman" w:eastAsia="方正仿宋_GBK" w:cs="Times New Roman"/>
          <w:b w:val="0"/>
          <w:color w:val="auto"/>
          <w:kern w:val="0"/>
          <w:sz w:val="32"/>
          <w:szCs w:val="32"/>
          <w:shd w:val="clear" w:fill="FFFFFF"/>
        </w:rPr>
        <w:t>年度未发生公务车购置费用</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b w:val="0"/>
          <w:color w:val="auto"/>
          <w:kern w:val="0"/>
          <w:sz w:val="32"/>
          <w:szCs w:val="32"/>
          <w:shd w:val="clear" w:fill="FFFFFF"/>
        </w:rPr>
        <w:t>本单位</w:t>
      </w:r>
      <w:r>
        <w:rPr>
          <w:rFonts w:hint="default" w:ascii="Times New Roman" w:hAnsi="Times New Roman" w:eastAsia="方正仿宋_GBK" w:cs="Times New Roman"/>
          <w:b w:val="0"/>
          <w:color w:val="auto"/>
          <w:kern w:val="0"/>
          <w:sz w:val="32"/>
          <w:szCs w:val="32"/>
          <w:shd w:val="clear" w:fill="FFFFFF"/>
          <w:lang w:val="en-US" w:eastAsia="zh-CN"/>
        </w:rPr>
        <w:t>无</w:t>
      </w:r>
      <w:r>
        <w:rPr>
          <w:rFonts w:hint="default" w:ascii="Times New Roman" w:hAnsi="Times New Roman" w:eastAsia="方正仿宋_GBK" w:cs="Times New Roman"/>
          <w:b w:val="0"/>
          <w:color w:val="auto"/>
          <w:kern w:val="0"/>
          <w:sz w:val="32"/>
          <w:szCs w:val="32"/>
          <w:shd w:val="clear" w:fill="FFFFFF"/>
        </w:rPr>
        <w:t>公务车购置费用</w:t>
      </w:r>
      <w:r>
        <w:rPr>
          <w:rFonts w:hint="default" w:ascii="Times New Roman" w:hAnsi="Times New Roman" w:eastAsia="方正仿宋_GBK" w:cs="Times New Roman"/>
          <w:color w:val="auto"/>
          <w:sz w:val="32"/>
          <w:szCs w:val="32"/>
          <w:shd w:val="clear" w:color="auto" w:fill="FFFFFF"/>
        </w:rPr>
        <w:t>。</w:t>
      </w:r>
    </w:p>
    <w:p w14:paraId="60C21D87">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shd w:val="clear" w:fill="FFFFFF"/>
        </w:rPr>
        <w:t>本单位202</w:t>
      </w:r>
      <w:r>
        <w:rPr>
          <w:rFonts w:hint="default" w:ascii="Times New Roman" w:hAnsi="Times New Roman" w:eastAsia="方正仿宋_GBK" w:cs="Times New Roman"/>
          <w:b w:val="0"/>
          <w:color w:val="auto"/>
          <w:kern w:val="0"/>
          <w:sz w:val="32"/>
          <w:szCs w:val="32"/>
          <w:shd w:val="clear" w:fill="FFFFFF"/>
          <w:lang w:val="en-US" w:eastAsia="zh-CN"/>
        </w:rPr>
        <w:t>3</w:t>
      </w:r>
      <w:r>
        <w:rPr>
          <w:rFonts w:hint="default" w:ascii="Times New Roman" w:hAnsi="Times New Roman" w:eastAsia="方正仿宋_GBK" w:cs="Times New Roman"/>
          <w:b w:val="0"/>
          <w:color w:val="auto"/>
          <w:kern w:val="0"/>
          <w:sz w:val="32"/>
          <w:szCs w:val="32"/>
          <w:shd w:val="clear" w:fill="FFFFFF"/>
        </w:rPr>
        <w:t>年度未发生</w:t>
      </w:r>
      <w:r>
        <w:rPr>
          <w:rFonts w:hint="default" w:ascii="Times New Roman" w:hAnsi="Times New Roman" w:eastAsia="方正仿宋_GBK" w:cs="Times New Roman"/>
          <w:color w:val="auto"/>
          <w:sz w:val="32"/>
          <w:szCs w:val="32"/>
          <w:shd w:val="clear" w:color="auto" w:fill="FFFFFF"/>
        </w:rPr>
        <w:t>公务车运行维护费。较上年支出数无增减，主要原因是</w:t>
      </w:r>
      <w:r>
        <w:rPr>
          <w:rFonts w:hint="default" w:ascii="Times New Roman" w:hAnsi="Times New Roman" w:eastAsia="方正仿宋_GBK" w:cs="Times New Roman"/>
          <w:b w:val="0"/>
          <w:color w:val="auto"/>
          <w:kern w:val="0"/>
          <w:sz w:val="32"/>
          <w:szCs w:val="32"/>
          <w:shd w:val="clear" w:fill="FFFFFF"/>
        </w:rPr>
        <w:t>本单位</w:t>
      </w:r>
      <w:r>
        <w:rPr>
          <w:rFonts w:hint="default" w:ascii="Times New Roman" w:hAnsi="Times New Roman" w:eastAsia="方正仿宋_GBK" w:cs="Times New Roman"/>
          <w:b w:val="0"/>
          <w:color w:val="auto"/>
          <w:kern w:val="0"/>
          <w:sz w:val="32"/>
          <w:szCs w:val="32"/>
          <w:shd w:val="clear" w:fill="FFFFFF"/>
          <w:lang w:val="en-US" w:eastAsia="zh-CN"/>
        </w:rPr>
        <w:t>无</w:t>
      </w:r>
      <w:r>
        <w:rPr>
          <w:rFonts w:hint="default" w:ascii="Times New Roman" w:hAnsi="Times New Roman" w:eastAsia="方正仿宋_GBK" w:cs="Times New Roman"/>
          <w:color w:val="auto"/>
          <w:sz w:val="32"/>
          <w:szCs w:val="32"/>
          <w:shd w:val="clear" w:color="auto" w:fill="FFFFFF"/>
        </w:rPr>
        <w:t>公务车运行维护费。</w:t>
      </w:r>
    </w:p>
    <w:p w14:paraId="6FC48AA2">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shd w:val="clear" w:fill="FFFFFF"/>
        </w:rPr>
        <w:t>本单位202</w:t>
      </w:r>
      <w:r>
        <w:rPr>
          <w:rFonts w:hint="default" w:ascii="Times New Roman" w:hAnsi="Times New Roman" w:eastAsia="方正仿宋_GBK" w:cs="Times New Roman"/>
          <w:b w:val="0"/>
          <w:color w:val="auto"/>
          <w:kern w:val="0"/>
          <w:sz w:val="32"/>
          <w:szCs w:val="32"/>
          <w:shd w:val="clear" w:fill="FFFFFF"/>
          <w:lang w:val="en-US" w:eastAsia="zh-CN"/>
        </w:rPr>
        <w:t>3</w:t>
      </w:r>
      <w:r>
        <w:rPr>
          <w:rFonts w:hint="default" w:ascii="Times New Roman" w:hAnsi="Times New Roman" w:eastAsia="方正仿宋_GBK" w:cs="Times New Roman"/>
          <w:b w:val="0"/>
          <w:color w:val="auto"/>
          <w:kern w:val="0"/>
          <w:sz w:val="32"/>
          <w:szCs w:val="32"/>
          <w:shd w:val="clear" w:fill="FFFFFF"/>
        </w:rPr>
        <w:t>年度未发生</w:t>
      </w:r>
      <w:r>
        <w:rPr>
          <w:rFonts w:hint="default" w:ascii="Times New Roman" w:hAnsi="Times New Roman" w:eastAsia="方正仿宋_GBK" w:cs="Times New Roman"/>
          <w:color w:val="auto"/>
          <w:sz w:val="32"/>
          <w:szCs w:val="32"/>
          <w:shd w:val="clear" w:color="auto" w:fill="FFFFFF"/>
        </w:rPr>
        <w:t>公务接待费。较上年支出数无增减，主要原因是</w:t>
      </w:r>
      <w:r>
        <w:rPr>
          <w:rFonts w:hint="default" w:ascii="Times New Roman" w:hAnsi="Times New Roman" w:eastAsia="方正仿宋_GBK" w:cs="Times New Roman"/>
          <w:b w:val="0"/>
          <w:color w:val="auto"/>
          <w:kern w:val="0"/>
          <w:sz w:val="32"/>
          <w:szCs w:val="32"/>
          <w:shd w:val="clear" w:fill="FFFFFF"/>
        </w:rPr>
        <w:t>本单位</w:t>
      </w:r>
      <w:r>
        <w:rPr>
          <w:rFonts w:hint="default" w:ascii="Times New Roman" w:hAnsi="Times New Roman" w:eastAsia="方正仿宋_GBK" w:cs="Times New Roman"/>
          <w:b w:val="0"/>
          <w:color w:val="auto"/>
          <w:kern w:val="0"/>
          <w:sz w:val="32"/>
          <w:szCs w:val="32"/>
          <w:shd w:val="clear" w:fill="FFFFFF"/>
          <w:lang w:val="en-US" w:eastAsia="zh-CN"/>
        </w:rPr>
        <w:t>无</w:t>
      </w:r>
      <w:r>
        <w:rPr>
          <w:rFonts w:hint="default" w:ascii="Times New Roman" w:hAnsi="Times New Roman" w:eastAsia="方正仿宋_GBK" w:cs="Times New Roman"/>
          <w:color w:val="auto"/>
          <w:sz w:val="32"/>
          <w:szCs w:val="32"/>
          <w:shd w:val="clear" w:color="auto" w:fill="FFFFFF"/>
        </w:rPr>
        <w:t>公务接待费。</w:t>
      </w:r>
    </w:p>
    <w:p w14:paraId="704A1A64">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（三）“三公”经费实物量情况</w:t>
      </w:r>
      <w:r>
        <w:rPr>
          <w:rFonts w:hint="eastAsia" w:ascii="Times New Roman" w:hAnsi="Times New Roman" w:eastAsia="方正楷体_GBK" w:cs="Times New Roman"/>
          <w:color w:val="auto"/>
          <w:kern w:val="0"/>
          <w:sz w:val="32"/>
          <w:szCs w:val="32"/>
          <w:lang w:val="en-US" w:eastAsia="zh-CN"/>
        </w:rPr>
        <w:t>。</w:t>
      </w:r>
    </w:p>
    <w:p w14:paraId="7F0FD727">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人。2023年本单位人均接待费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w:t>
      </w:r>
    </w:p>
    <w:p w14:paraId="3C4A042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color w:val="auto"/>
          <w:sz w:val="32"/>
          <w:szCs w:val="32"/>
          <w:shd w:val="clear" w:color="auto" w:fill="FFFFFF"/>
        </w:rPr>
      </w:pPr>
      <w:r>
        <w:rPr>
          <w:rStyle w:val="12"/>
          <w:rFonts w:hint="default" w:ascii="Times New Roman" w:hAnsi="Times New Roman" w:eastAsia="方正黑体_GBK" w:cs="Times New Roman"/>
          <w:b w:val="0"/>
          <w:bCs/>
          <w:color w:val="auto"/>
          <w:sz w:val="32"/>
          <w:szCs w:val="32"/>
          <w:shd w:val="clear" w:color="auto" w:fill="FFFFFF"/>
        </w:rPr>
        <w:t>四、其他需要说明的事项</w:t>
      </w:r>
    </w:p>
    <w:p w14:paraId="0F76ED19">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楷体_GBK" w:cs="Times New Roman"/>
          <w:color w:val="auto"/>
          <w:kern w:val="0"/>
          <w:sz w:val="32"/>
          <w:szCs w:val="32"/>
          <w:lang w:val="en-US" w:eastAsia="zh-CN" w:bidi="ar-SA"/>
        </w:rPr>
      </w:pPr>
      <w:r>
        <w:rPr>
          <w:rFonts w:hint="default" w:ascii="Times New Roman" w:hAnsi="Times New Roman" w:eastAsia="方正楷体_GBK" w:cs="Times New Roman"/>
          <w:color w:val="auto"/>
          <w:kern w:val="0"/>
          <w:sz w:val="32"/>
          <w:szCs w:val="32"/>
          <w:lang w:val="en-US" w:eastAsia="zh-CN" w:bidi="ar-SA"/>
        </w:rPr>
        <w:t>（一）财政拨款会议费和培训费情况说明</w:t>
      </w:r>
      <w:r>
        <w:rPr>
          <w:rFonts w:hint="eastAsia" w:ascii="Times New Roman" w:hAnsi="Times New Roman" w:eastAsia="方正楷体_GBK" w:cs="Times New Roman"/>
          <w:color w:val="auto"/>
          <w:kern w:val="0"/>
          <w:sz w:val="32"/>
          <w:szCs w:val="32"/>
          <w:lang w:val="en-US" w:eastAsia="zh-CN" w:bidi="ar-SA"/>
        </w:rPr>
        <w:t>。</w:t>
      </w:r>
    </w:p>
    <w:p w14:paraId="0FDE7C31">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万元，较上年决算数无增减，主要原因是</w:t>
      </w:r>
      <w:r>
        <w:rPr>
          <w:rFonts w:hint="default" w:ascii="Times New Roman" w:hAnsi="Times New Roman" w:eastAsia="方正仿宋_GBK" w:cs="Times New Roman"/>
          <w:color w:val="auto"/>
          <w:sz w:val="32"/>
          <w:szCs w:val="32"/>
          <w:shd w:val="clear" w:color="auto" w:fill="FFFFFF"/>
          <w:lang w:val="en-US" w:eastAsia="zh-CN"/>
        </w:rPr>
        <w:t>本单位2023年度未开展相关会议</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0.54</w:t>
      </w:r>
      <w:r>
        <w:rPr>
          <w:rFonts w:hint="default" w:ascii="Times New Roman" w:hAnsi="Times New Roman" w:eastAsia="方正仿宋_GBK" w:cs="Times New Roman"/>
          <w:color w:val="auto"/>
          <w:sz w:val="32"/>
          <w:szCs w:val="32"/>
          <w:shd w:val="clear" w:color="auto" w:fill="FFFFFF"/>
        </w:rPr>
        <w:t>万元，较上年决算数增加0.54万元，增长100.00%，主要原因是</w:t>
      </w:r>
      <w:r>
        <w:rPr>
          <w:rFonts w:hint="default" w:ascii="Times New Roman" w:hAnsi="Times New Roman" w:eastAsia="方正仿宋_GBK" w:cs="Times New Roman"/>
          <w:b w:val="0"/>
          <w:bCs/>
          <w:color w:val="auto"/>
          <w:sz w:val="32"/>
          <w:szCs w:val="32"/>
          <w:shd w:val="clear" w:color="auto" w:fill="FFFFFF"/>
          <w:lang w:val="en-US" w:eastAsia="zh-CN"/>
        </w:rPr>
        <w:t>本单位2023年度</w:t>
      </w:r>
      <w:r>
        <w:rPr>
          <w:rFonts w:hint="default" w:ascii="Times New Roman" w:hAnsi="Times New Roman" w:eastAsia="方正仿宋_GBK" w:cs="Times New Roman"/>
          <w:b w:val="0"/>
          <w:bCs/>
          <w:color w:val="auto"/>
          <w:kern w:val="0"/>
          <w:sz w:val="32"/>
          <w:szCs w:val="32"/>
          <w:shd w:val="clear" w:fill="FFFFFF"/>
        </w:rPr>
        <w:t>新增职工教育经费</w:t>
      </w:r>
      <w:r>
        <w:rPr>
          <w:rFonts w:hint="default" w:ascii="Times New Roman" w:hAnsi="Times New Roman" w:eastAsia="方正仿宋_GBK" w:cs="Times New Roman"/>
          <w:b w:val="0"/>
          <w:bCs/>
          <w:color w:val="auto"/>
          <w:kern w:val="0"/>
          <w:sz w:val="32"/>
          <w:szCs w:val="32"/>
          <w:shd w:val="clear" w:fill="FFFFFF"/>
          <w:lang w:val="en-US" w:eastAsia="zh-CN"/>
        </w:rPr>
        <w:t>支出</w:t>
      </w:r>
      <w:r>
        <w:rPr>
          <w:rFonts w:hint="default" w:ascii="Times New Roman" w:hAnsi="Times New Roman" w:eastAsia="方正仿宋_GBK" w:cs="Times New Roman"/>
          <w:color w:val="auto"/>
          <w:sz w:val="32"/>
          <w:szCs w:val="32"/>
          <w:shd w:val="clear" w:color="auto" w:fill="FFFFFF"/>
        </w:rPr>
        <w:t>。</w:t>
      </w:r>
    </w:p>
    <w:p w14:paraId="73A58856">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Times New Roman" w:hAnsi="Times New Roman" w:eastAsia="方正楷体_GBK" w:cs="Times New Roman"/>
          <w:color w:val="auto"/>
          <w:kern w:val="0"/>
          <w:sz w:val="32"/>
          <w:szCs w:val="32"/>
          <w:lang w:val="en-US" w:eastAsia="zh-CN" w:bidi="ar-SA"/>
        </w:rPr>
      </w:pPr>
      <w:r>
        <w:rPr>
          <w:rFonts w:hint="default" w:ascii="Times New Roman" w:hAnsi="Times New Roman" w:eastAsia="方正楷体_GBK" w:cs="Times New Roman"/>
          <w:color w:val="auto"/>
          <w:kern w:val="0"/>
          <w:sz w:val="32"/>
          <w:szCs w:val="32"/>
          <w:lang w:val="en-US" w:eastAsia="zh-CN" w:bidi="ar-SA"/>
        </w:rPr>
        <w:t>（二）机关运行经费情况说明</w:t>
      </w:r>
      <w:r>
        <w:rPr>
          <w:rFonts w:hint="eastAsia" w:ascii="Times New Roman" w:hAnsi="Times New Roman" w:eastAsia="方正楷体_GBK" w:cs="Times New Roman"/>
          <w:color w:val="auto"/>
          <w:kern w:val="0"/>
          <w:sz w:val="32"/>
          <w:szCs w:val="32"/>
          <w:lang w:val="en-US" w:eastAsia="zh-CN" w:bidi="ar-SA"/>
        </w:rPr>
        <w:t>。</w:t>
      </w:r>
    </w:p>
    <w:p w14:paraId="15D3686D">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按照部门决算列报口径，我单位不在机关运行经费统计范围之内</w:t>
      </w:r>
      <w:r>
        <w:rPr>
          <w:rFonts w:hint="default" w:ascii="Times New Roman" w:hAnsi="Times New Roman" w:eastAsia="方正仿宋_GBK" w:cs="Times New Roman"/>
          <w:color w:val="auto"/>
          <w:sz w:val="32"/>
          <w:szCs w:val="32"/>
          <w:lang w:eastAsia="zh-CN"/>
        </w:rPr>
        <w:t>。</w:t>
      </w:r>
    </w:p>
    <w:p w14:paraId="100053AE">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Times New Roman" w:hAnsi="Times New Roman" w:eastAsia="方正楷体_GBK" w:cs="Times New Roman"/>
          <w:color w:val="auto"/>
          <w:kern w:val="0"/>
          <w:sz w:val="32"/>
          <w:szCs w:val="32"/>
          <w:lang w:val="en-US" w:eastAsia="zh-CN" w:bidi="ar-SA"/>
        </w:rPr>
      </w:pPr>
      <w:r>
        <w:rPr>
          <w:rFonts w:hint="default" w:ascii="Times New Roman" w:hAnsi="Times New Roman" w:eastAsia="方正楷体_GBK" w:cs="Times New Roman"/>
          <w:color w:val="auto"/>
          <w:kern w:val="0"/>
          <w:sz w:val="32"/>
          <w:szCs w:val="32"/>
          <w:lang w:val="en-US" w:eastAsia="zh-CN" w:bidi="ar-SA"/>
        </w:rPr>
        <w:t>（三）国有资产占用情况说明</w:t>
      </w:r>
      <w:r>
        <w:rPr>
          <w:rFonts w:hint="eastAsia" w:ascii="Times New Roman" w:hAnsi="Times New Roman" w:eastAsia="方正楷体_GBK" w:cs="Times New Roman"/>
          <w:color w:val="auto"/>
          <w:kern w:val="0"/>
          <w:sz w:val="32"/>
          <w:szCs w:val="32"/>
          <w:lang w:val="en-US" w:eastAsia="zh-CN" w:bidi="ar-SA"/>
        </w:rPr>
        <w:t>。</w:t>
      </w:r>
    </w:p>
    <w:p w14:paraId="6AA73EC1">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截至2023年12月31日，本单位共有车辆</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3EEF3AD9">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Times New Roman" w:hAnsi="Times New Roman" w:eastAsia="方正楷体_GBK" w:cs="Times New Roman"/>
          <w:color w:val="auto"/>
          <w:kern w:val="0"/>
          <w:sz w:val="32"/>
          <w:szCs w:val="32"/>
          <w:lang w:val="en-US" w:eastAsia="zh-CN" w:bidi="ar-SA"/>
        </w:rPr>
      </w:pPr>
      <w:r>
        <w:rPr>
          <w:rFonts w:hint="default" w:ascii="Times New Roman" w:hAnsi="Times New Roman" w:eastAsia="方正楷体_GBK" w:cs="Times New Roman"/>
          <w:color w:val="auto"/>
          <w:kern w:val="0"/>
          <w:sz w:val="32"/>
          <w:szCs w:val="32"/>
          <w:lang w:val="en-US" w:eastAsia="zh-CN" w:bidi="ar-SA"/>
        </w:rPr>
        <w:t>（四）政府采购支出情况说明</w:t>
      </w:r>
      <w:r>
        <w:rPr>
          <w:rFonts w:hint="eastAsia" w:ascii="Times New Roman" w:hAnsi="Times New Roman" w:eastAsia="方正楷体_GBK" w:cs="Times New Roman"/>
          <w:color w:val="auto"/>
          <w:kern w:val="0"/>
          <w:sz w:val="32"/>
          <w:szCs w:val="32"/>
          <w:lang w:val="en-US" w:eastAsia="zh-CN" w:bidi="ar-SA"/>
        </w:rPr>
        <w:t>。</w:t>
      </w:r>
    </w:p>
    <w:p w14:paraId="09AC4D07">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 2023年度我单位未发生政府采购事项，无相关经费支出。</w:t>
      </w:r>
    </w:p>
    <w:p w14:paraId="6CD2A29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color w:val="auto"/>
          <w:sz w:val="32"/>
          <w:szCs w:val="32"/>
          <w:shd w:val="clear" w:color="auto" w:fill="FFFFFF"/>
        </w:rPr>
      </w:pPr>
      <w:r>
        <w:rPr>
          <w:rStyle w:val="12"/>
          <w:rFonts w:hint="default" w:ascii="Times New Roman" w:hAnsi="Times New Roman" w:eastAsia="方正黑体_GBK" w:cs="Times New Roman"/>
          <w:b w:val="0"/>
          <w:bCs/>
          <w:color w:val="auto"/>
          <w:sz w:val="32"/>
          <w:szCs w:val="32"/>
          <w:shd w:val="clear" w:color="auto" w:fill="FFFFFF"/>
          <w:lang w:val="en-US" w:eastAsia="zh-CN"/>
        </w:rPr>
        <w:t>五、</w:t>
      </w:r>
      <w:r>
        <w:rPr>
          <w:rStyle w:val="12"/>
          <w:rFonts w:hint="default" w:ascii="Times New Roman" w:hAnsi="Times New Roman" w:eastAsia="方正黑体_GBK" w:cs="Times New Roman"/>
          <w:b w:val="0"/>
          <w:bCs/>
          <w:color w:val="auto"/>
          <w:sz w:val="32"/>
          <w:szCs w:val="32"/>
          <w:shd w:val="clear" w:color="auto" w:fill="FFFFFF"/>
        </w:rPr>
        <w:t>预算绩效管理情况说明</w:t>
      </w:r>
    </w:p>
    <w:p w14:paraId="55736CD6">
      <w:pPr>
        <w:pStyle w:val="13"/>
        <w:keepNext w:val="0"/>
        <w:keepLines w:val="0"/>
        <w:pageBreakBefore w:val="0"/>
        <w:widowControl/>
        <w:numPr>
          <w:ilvl w:val="0"/>
          <w:numId w:val="0"/>
        </w:numPr>
        <w:kinsoku/>
        <w:wordWrap/>
        <w:overflowPunct/>
        <w:topLinePunct w:val="0"/>
        <w:autoSpaceDE w:val="0"/>
        <w:autoSpaceDN/>
        <w:bidi w:val="0"/>
        <w:adjustRightInd/>
        <w:snapToGrid/>
        <w:spacing w:afterAutospacing="0" w:line="560" w:lineRule="exact"/>
        <w:ind w:firstLine="640" w:firstLineChars="200"/>
        <w:textAlignment w:val="auto"/>
        <w:rPr>
          <w:rStyle w:val="12"/>
          <w:rFonts w:hint="default" w:ascii="Times New Roman" w:hAnsi="Times New Roman" w:eastAsia="方正楷体_GBK" w:cs="Times New Roman"/>
          <w:b w:val="0"/>
          <w:bCs/>
          <w:color w:val="auto"/>
          <w:sz w:val="32"/>
          <w:szCs w:val="32"/>
          <w:shd w:val="clear" w:color="auto" w:fill="FFFFFF"/>
          <w:lang w:val="en-US" w:eastAsia="zh-CN" w:bidi="ar-SA"/>
        </w:rPr>
      </w:pPr>
      <w:r>
        <w:rPr>
          <w:rStyle w:val="12"/>
          <w:rFonts w:hint="default" w:ascii="Times New Roman" w:hAnsi="Times New Roman" w:eastAsia="方正楷体_GBK" w:cs="Times New Roman"/>
          <w:b w:val="0"/>
          <w:bCs/>
          <w:color w:val="auto"/>
          <w:sz w:val="32"/>
          <w:szCs w:val="32"/>
          <w:shd w:val="clear" w:color="auto" w:fill="FFFFFF"/>
          <w:lang w:val="en-US" w:eastAsia="zh-CN" w:bidi="ar-SA"/>
        </w:rPr>
        <w:t>（一）单位自评情况</w:t>
      </w:r>
      <w:r>
        <w:rPr>
          <w:rStyle w:val="12"/>
          <w:rFonts w:hint="eastAsia" w:ascii="Times New Roman" w:hAnsi="Times New Roman" w:eastAsia="方正楷体_GBK" w:cs="Times New Roman"/>
          <w:b w:val="0"/>
          <w:bCs/>
          <w:color w:val="auto"/>
          <w:sz w:val="32"/>
          <w:szCs w:val="32"/>
          <w:shd w:val="clear" w:color="auto" w:fill="FFFFFF"/>
          <w:lang w:val="en-US" w:eastAsia="zh-CN" w:bidi="ar-SA"/>
        </w:rPr>
        <w:t>。</w:t>
      </w:r>
    </w:p>
    <w:p w14:paraId="30BF40AA">
      <w:pPr>
        <w:pStyle w:val="13"/>
        <w:keepNext w:val="0"/>
        <w:keepLines w:val="0"/>
        <w:pageBreakBefore w:val="0"/>
        <w:widowControl/>
        <w:kinsoku/>
        <w:wordWrap/>
        <w:overflowPunct/>
        <w:topLinePunct w:val="0"/>
        <w:autoSpaceDE w:val="0"/>
        <w:autoSpaceDN/>
        <w:bidi w:val="0"/>
        <w:adjustRightInd/>
        <w:snapToGrid/>
        <w:spacing w:afterAutospacing="0" w:line="560" w:lineRule="exact"/>
        <w:ind w:firstLine="643"/>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本单位2023年度无项目支出，未开展绩效自评。</w:t>
      </w:r>
    </w:p>
    <w:p w14:paraId="668DB3FC">
      <w:pPr>
        <w:pStyle w:val="13"/>
        <w:keepNext w:val="0"/>
        <w:keepLines w:val="0"/>
        <w:pageBreakBefore w:val="0"/>
        <w:widowControl/>
        <w:numPr>
          <w:ilvl w:val="0"/>
          <w:numId w:val="0"/>
        </w:numPr>
        <w:kinsoku/>
        <w:wordWrap/>
        <w:overflowPunct/>
        <w:topLinePunct w:val="0"/>
        <w:autoSpaceDE w:val="0"/>
        <w:autoSpaceDN/>
        <w:bidi w:val="0"/>
        <w:adjustRightInd/>
        <w:snapToGrid/>
        <w:spacing w:afterAutospacing="0" w:line="560" w:lineRule="exact"/>
        <w:ind w:firstLine="640" w:firstLineChars="200"/>
        <w:textAlignment w:val="auto"/>
        <w:rPr>
          <w:rStyle w:val="12"/>
          <w:rFonts w:hint="eastAsia" w:ascii="Times New Roman" w:hAnsi="Times New Roman" w:eastAsia="方正楷体_GBK" w:cs="Times New Roman"/>
          <w:b w:val="0"/>
          <w:bCs/>
          <w:color w:val="auto"/>
          <w:sz w:val="32"/>
          <w:szCs w:val="32"/>
          <w:shd w:val="clear" w:color="auto" w:fill="FFFFFF"/>
          <w:lang w:val="en-US" w:eastAsia="zh-CN" w:bidi="ar-SA"/>
        </w:rPr>
      </w:pPr>
      <w:r>
        <w:rPr>
          <w:rStyle w:val="12"/>
          <w:rFonts w:hint="default" w:ascii="Times New Roman" w:hAnsi="Times New Roman" w:eastAsia="方正楷体_GBK" w:cs="Times New Roman"/>
          <w:b w:val="0"/>
          <w:bCs/>
          <w:color w:val="auto"/>
          <w:sz w:val="32"/>
          <w:szCs w:val="32"/>
          <w:shd w:val="clear" w:color="auto" w:fill="FFFFFF"/>
          <w:lang w:val="en-US" w:eastAsia="zh-CN" w:bidi="ar-SA"/>
        </w:rPr>
        <w:t>（二）单位绩效评价情况</w:t>
      </w:r>
      <w:r>
        <w:rPr>
          <w:rStyle w:val="12"/>
          <w:rFonts w:hint="eastAsia" w:ascii="Times New Roman" w:hAnsi="Times New Roman" w:eastAsia="方正楷体_GBK" w:cs="Times New Roman"/>
          <w:b w:val="0"/>
          <w:bCs/>
          <w:color w:val="auto"/>
          <w:sz w:val="32"/>
          <w:szCs w:val="32"/>
          <w:shd w:val="clear" w:color="auto" w:fill="FFFFFF"/>
          <w:lang w:val="en-US" w:eastAsia="zh-CN" w:bidi="ar-SA"/>
        </w:rPr>
        <w:t>。</w:t>
      </w:r>
    </w:p>
    <w:p w14:paraId="6459BE29">
      <w:pPr>
        <w:pStyle w:val="13"/>
        <w:keepNext w:val="0"/>
        <w:keepLines w:val="0"/>
        <w:pageBreakBefore w:val="0"/>
        <w:widowControl/>
        <w:kinsoku/>
        <w:wordWrap/>
        <w:overflowPunct/>
        <w:topLinePunct w:val="0"/>
        <w:autoSpaceDE w:val="0"/>
        <w:autoSpaceDN/>
        <w:bidi w:val="0"/>
        <w:adjustRightInd/>
        <w:snapToGrid/>
        <w:spacing w:afterAutospacing="0" w:line="560" w:lineRule="exact"/>
        <w:ind w:firstLine="643"/>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我单位未组织开展绩效评价。</w:t>
      </w:r>
    </w:p>
    <w:p w14:paraId="0909FD75">
      <w:pPr>
        <w:pStyle w:val="13"/>
        <w:keepNext w:val="0"/>
        <w:keepLines w:val="0"/>
        <w:pageBreakBefore w:val="0"/>
        <w:widowControl/>
        <w:numPr>
          <w:ilvl w:val="0"/>
          <w:numId w:val="0"/>
        </w:numPr>
        <w:kinsoku/>
        <w:wordWrap/>
        <w:overflowPunct/>
        <w:topLinePunct w:val="0"/>
        <w:autoSpaceDE w:val="0"/>
        <w:autoSpaceDN/>
        <w:bidi w:val="0"/>
        <w:adjustRightInd/>
        <w:snapToGrid/>
        <w:spacing w:afterAutospacing="0" w:line="560" w:lineRule="exact"/>
        <w:ind w:firstLine="640" w:firstLineChars="200"/>
        <w:textAlignment w:val="auto"/>
        <w:rPr>
          <w:rStyle w:val="12"/>
          <w:rFonts w:hint="default" w:ascii="Times New Roman" w:hAnsi="Times New Roman" w:eastAsia="方正楷体_GBK" w:cs="Times New Roman"/>
          <w:b w:val="0"/>
          <w:bCs w:val="0"/>
          <w:color w:val="auto"/>
          <w:sz w:val="32"/>
          <w:szCs w:val="32"/>
          <w:shd w:val="clear" w:color="auto" w:fill="FFFFFF"/>
          <w:lang w:val="en-US" w:eastAsia="zh-CN" w:bidi="ar-SA"/>
        </w:rPr>
      </w:pPr>
      <w:r>
        <w:rPr>
          <w:rStyle w:val="12"/>
          <w:rFonts w:hint="default" w:ascii="Times New Roman" w:hAnsi="Times New Roman" w:eastAsia="方正楷体_GBK" w:cs="Times New Roman"/>
          <w:b w:val="0"/>
          <w:bCs/>
          <w:color w:val="auto"/>
          <w:sz w:val="32"/>
          <w:szCs w:val="32"/>
          <w:shd w:val="clear" w:color="auto" w:fill="FFFFFF"/>
          <w:lang w:val="en-US" w:eastAsia="zh-CN" w:bidi="ar-SA"/>
        </w:rPr>
        <w:t>（三）财政绩效评价情况</w:t>
      </w:r>
      <w:r>
        <w:rPr>
          <w:rStyle w:val="12"/>
          <w:rFonts w:hint="eastAsia" w:ascii="Times New Roman" w:hAnsi="Times New Roman" w:eastAsia="方正楷体_GBK" w:cs="Times New Roman"/>
          <w:b w:val="0"/>
          <w:bCs/>
          <w:color w:val="auto"/>
          <w:sz w:val="32"/>
          <w:szCs w:val="32"/>
          <w:shd w:val="clear" w:color="auto" w:fill="FFFFFF"/>
          <w:lang w:val="en-US" w:eastAsia="zh-CN" w:bidi="ar-SA"/>
        </w:rPr>
        <w:t>。</w:t>
      </w:r>
    </w:p>
    <w:p w14:paraId="7AD4CA76">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pPr>
      <w:r>
        <w:rPr>
          <w:rFonts w:hint="default" w:ascii="Times New Roman" w:hAnsi="Times New Roman" w:eastAsia="方正仿宋_GBK" w:cs="Times New Roman"/>
          <w:color w:val="auto"/>
          <w:sz w:val="32"/>
          <w:szCs w:val="32"/>
          <w:highlight w:val="none"/>
          <w:shd w:val="clear" w:color="auto" w:fill="FFFFFF"/>
          <w:lang w:val="en-US" w:eastAsia="zh-CN" w:bidi="ar-SA"/>
        </w:rPr>
        <w:t>市财政局未委托第三方对我单位开展绩效评价。</w:t>
      </w:r>
    </w:p>
    <w:p w14:paraId="05C1657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color w:val="auto"/>
          <w:sz w:val="32"/>
          <w:szCs w:val="32"/>
          <w:shd w:val="clear" w:color="auto" w:fill="FFFFFF"/>
        </w:rPr>
      </w:pPr>
      <w:r>
        <w:rPr>
          <w:rStyle w:val="12"/>
          <w:rFonts w:hint="default" w:ascii="Times New Roman" w:hAnsi="Times New Roman" w:eastAsia="方正黑体_GBK" w:cs="Times New Roman"/>
          <w:b w:val="0"/>
          <w:bCs/>
          <w:color w:val="auto"/>
          <w:sz w:val="32"/>
          <w:szCs w:val="32"/>
          <w:shd w:val="clear" w:color="auto" w:fill="FFFFFF"/>
        </w:rPr>
        <w:t>  六、专业名词解释</w:t>
      </w:r>
    </w:p>
    <w:p w14:paraId="328AE47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14:paraId="1FEAEBCE">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14:paraId="1B5F32F9">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指事业单位在专业业务活动及其辅助活动之外开展非独立核算经营活动取得的现金流入。</w:t>
      </w:r>
    </w:p>
    <w:p w14:paraId="56245F34">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lang w:val="en-US" w:eastAsia="zh-CN" w:bidi="ar-SA"/>
        </w:rPr>
        <w:t>（四）其他收入：</w:t>
      </w:r>
      <w:r>
        <w:rPr>
          <w:rFonts w:hint="default" w:ascii="Times New Roman" w:hAnsi="Times New Roman" w:eastAsia="方正仿宋_GBK" w:cs="Times New Roman"/>
          <w:color w:val="auto"/>
          <w:sz w:val="32"/>
          <w:szCs w:val="32"/>
          <w:shd w:val="clear" w:color="auto" w:fill="FFFFFF"/>
          <w:lang w:val="en-US" w:eastAsia="zh-CN"/>
        </w:rPr>
        <w:t>指单位取得的除“财政拨款收入”、“事</w:t>
      </w:r>
      <w:r>
        <w:rPr>
          <w:rFonts w:hint="default" w:ascii="Times New Roman" w:hAnsi="Times New Roman" w:eastAsia="方正仿宋_GBK" w:cs="Times New Roman"/>
          <w:color w:val="auto"/>
          <w:sz w:val="32"/>
          <w:szCs w:val="32"/>
          <w:shd w:val="clear" w:color="auto" w:fill="FFFFFF"/>
        </w:rPr>
        <w:t>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622E07F">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A6CE9A1">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07C27E6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3D403777">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215A39BC">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DC09B6A">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3B659B33">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3465AB0A">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0799C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780851">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186C886E">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54D59FAC">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仿宋_GBK" w:cs="Times New Roman"/>
          <w:b w:val="0"/>
          <w:bCs/>
          <w:color w:val="auto"/>
          <w:sz w:val="32"/>
          <w:szCs w:val="32"/>
          <w:shd w:val="clear" w:color="auto" w:fill="FFFFFF"/>
        </w:rPr>
      </w:pPr>
      <w:r>
        <w:rPr>
          <w:rStyle w:val="12"/>
          <w:rFonts w:hint="default" w:ascii="Times New Roman" w:hAnsi="Times New Roman" w:eastAsia="方正楷体_GBK" w:cs="Times New Roman"/>
          <w:b w:val="0"/>
          <w:bCs/>
          <w:color w:val="auto"/>
          <w:sz w:val="32"/>
          <w:szCs w:val="32"/>
          <w:shd w:val="clear" w:color="auto" w:fill="FFFFFF"/>
        </w:rPr>
        <w:t>（十六）对个人和家庭的补助（支出经济分类科目类级）：</w:t>
      </w:r>
      <w:r>
        <w:rPr>
          <w:rStyle w:val="12"/>
          <w:rFonts w:hint="default" w:ascii="Times New Roman" w:hAnsi="Times New Roman" w:eastAsia="方正仿宋_GBK" w:cs="Times New Roman"/>
          <w:b w:val="0"/>
          <w:bCs/>
          <w:color w:val="auto"/>
          <w:sz w:val="32"/>
          <w:szCs w:val="32"/>
          <w:shd w:val="clear" w:color="auto" w:fill="FFFFFF"/>
        </w:rPr>
        <w:t>反映用于对个人和家庭的补助支出。</w:t>
      </w:r>
    </w:p>
    <w:p w14:paraId="1F611CF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楷体_GBK" w:cs="Times New Roman"/>
          <w:b w:val="0"/>
          <w:bCs/>
          <w:color w:val="auto"/>
          <w:sz w:val="32"/>
          <w:szCs w:val="32"/>
          <w:shd w:val="clear" w:color="auto" w:fill="FFFFFF"/>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77B1D4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黑体_GBK" w:cs="Times New Roman"/>
          <w:b w:val="0"/>
          <w:bCs/>
          <w:color w:val="auto"/>
          <w:sz w:val="32"/>
          <w:szCs w:val="32"/>
          <w:shd w:val="clear" w:color="auto" w:fill="FFFFFF"/>
        </w:rPr>
      </w:pPr>
      <w:r>
        <w:rPr>
          <w:rStyle w:val="12"/>
          <w:rFonts w:hint="default" w:ascii="Times New Roman" w:hAnsi="Times New Roman" w:eastAsia="方正黑体_GBK" w:cs="Times New Roman"/>
          <w:b w:val="0"/>
          <w:bCs/>
          <w:color w:val="auto"/>
          <w:sz w:val="32"/>
          <w:szCs w:val="32"/>
          <w:shd w:val="clear" w:color="auto" w:fill="FFFFFF"/>
        </w:rPr>
        <w:t> 七、决算公开联系方式及信息反馈渠道</w:t>
      </w:r>
    </w:p>
    <w:p w14:paraId="36B42018">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w:t>
      </w:r>
    </w:p>
    <w:p w14:paraId="5F136ABD">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许发琼   023-46357757</w:t>
      </w:r>
    </w:p>
    <w:p w14:paraId="0C43DE9C">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960" w:leftChars="0" w:hanging="960" w:hangingChars="3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p>
    <w:p w14:paraId="4BDAA1C2">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1598" w:leftChars="266" w:hanging="960" w:hangingChars="3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附件：重庆市荣昌区人民政府广顺街道社区文化服务中心2023年度</w:t>
      </w:r>
      <w:r>
        <w:rPr>
          <w:rFonts w:hint="eastAsia" w:ascii="Times New Roman" w:hAnsi="Times New Roman" w:eastAsia="方正仿宋_GBK" w:cs="Times New Roman"/>
          <w:color w:val="auto"/>
          <w:sz w:val="32"/>
          <w:szCs w:val="32"/>
          <w:shd w:val="clear" w:color="auto" w:fill="FFFFFF"/>
          <w:lang w:val="en-US" w:eastAsia="zh-CN" w:bidi="ar-SA"/>
        </w:rPr>
        <w:t>单位</w:t>
      </w:r>
      <w:r>
        <w:rPr>
          <w:rFonts w:hint="default" w:ascii="Times New Roman" w:hAnsi="Times New Roman" w:eastAsia="方正仿宋_GBK" w:cs="Times New Roman"/>
          <w:color w:val="auto"/>
          <w:sz w:val="32"/>
          <w:szCs w:val="32"/>
          <w:shd w:val="clear" w:color="auto" w:fill="FFFFFF"/>
          <w:lang w:val="en-US" w:eastAsia="zh-CN" w:bidi="ar-SA"/>
        </w:rPr>
        <w:t>决算公开报表（公开01—09表）</w:t>
      </w:r>
    </w:p>
    <w:p w14:paraId="21CF077F">
      <w:pPr>
        <w:pStyle w:val="13"/>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0" w:firstLineChars="0"/>
        <w:textAlignment w:val="auto"/>
        <w:rPr>
          <w:rStyle w:val="12"/>
          <w:rFonts w:hint="default" w:ascii="Times New Roman" w:hAnsi="Times New Roman" w:eastAsia="方正仿宋_GBK" w:cs="Times New Roman"/>
          <w:color w:val="auto"/>
          <w:sz w:val="32"/>
          <w:szCs w:val="32"/>
          <w:shd w:val="clear" w:color="auto" w:fill="FFFF00"/>
        </w:rPr>
        <w:sectPr>
          <w:footerReference r:id="rId3" w:type="default"/>
          <w:pgSz w:w="11915" w:h="16840"/>
          <w:pgMar w:top="2098" w:right="1474" w:bottom="1984" w:left="1587" w:header="851" w:footer="1474" w:gutter="0"/>
          <w:pgNumType w:fmt="decimal"/>
          <w:cols w:space="720" w:num="1"/>
          <w:docGrid w:type="lines" w:linePitch="312" w:charSpace="0"/>
        </w:sectPr>
      </w:pPr>
    </w:p>
    <w:p w14:paraId="7B476D3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14:paraId="76AE0531">
      <w:pPr>
        <w:pStyle w:val="8"/>
        <w:rPr>
          <w:rFonts w:hint="eastAsia"/>
          <w:lang w:val="en-US" w:eastAsia="zh-CN"/>
        </w:rPr>
      </w:pPr>
    </w:p>
    <w:p w14:paraId="7300F27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atLeas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重庆市荣昌区人民政府广顺街道办事处</w:t>
      </w:r>
      <w:r>
        <w:rPr>
          <w:rFonts w:hint="eastAsia" w:ascii="方正小标宋_GBK" w:hAnsi="方正小标宋_GBK" w:eastAsia="方正小标宋_GBK" w:cs="方正小标宋_GBK"/>
          <w:color w:val="auto"/>
          <w:sz w:val="44"/>
          <w:szCs w:val="44"/>
          <w:lang w:val="en-US" w:eastAsia="zh-CN"/>
        </w:rPr>
        <w:t>社区文化服务中心</w:t>
      </w: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3</w:t>
      </w:r>
      <w:r>
        <w:rPr>
          <w:rFonts w:hint="eastAsia" w:ascii="方正小标宋_GBK" w:hAnsi="方正小标宋_GBK" w:eastAsia="方正小标宋_GBK" w:cs="方正小标宋_GBK"/>
          <w:color w:val="auto"/>
          <w:sz w:val="44"/>
          <w:szCs w:val="44"/>
        </w:rPr>
        <w:t>年度单位决算公开报表（公开01—09表）</w:t>
      </w:r>
    </w:p>
    <w:p w14:paraId="23E73F5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val="en-US" w:eastAsia="zh-CN"/>
        </w:rPr>
      </w:pPr>
    </w:p>
    <w:tbl>
      <w:tblPr>
        <w:tblStyle w:val="9"/>
        <w:tblW w:w="8876" w:type="dxa"/>
        <w:tblInd w:w="0" w:type="dxa"/>
        <w:shd w:val="clear" w:color="auto" w:fill="auto"/>
        <w:tblLayout w:type="fixed"/>
        <w:tblCellMar>
          <w:top w:w="0" w:type="dxa"/>
          <w:left w:w="0" w:type="dxa"/>
          <w:bottom w:w="0" w:type="dxa"/>
          <w:right w:w="0" w:type="dxa"/>
        </w:tblCellMar>
      </w:tblPr>
      <w:tblGrid>
        <w:gridCol w:w="3215"/>
        <w:gridCol w:w="1241"/>
        <w:gridCol w:w="2850"/>
        <w:gridCol w:w="1570"/>
      </w:tblGrid>
      <w:tr w14:paraId="00207783">
        <w:tblPrEx>
          <w:shd w:val="clear" w:color="auto" w:fill="auto"/>
          <w:tblCellMar>
            <w:top w:w="0" w:type="dxa"/>
            <w:left w:w="0" w:type="dxa"/>
            <w:bottom w:w="0" w:type="dxa"/>
            <w:right w:w="0" w:type="dxa"/>
          </w:tblCellMar>
        </w:tblPrEx>
        <w:trPr>
          <w:trHeight w:val="90" w:hRule="atLeast"/>
        </w:trPr>
        <w:tc>
          <w:tcPr>
            <w:tcW w:w="8876" w:type="dxa"/>
            <w:gridSpan w:val="4"/>
            <w:tcBorders>
              <w:top w:val="nil"/>
              <w:left w:val="nil"/>
              <w:bottom w:val="nil"/>
              <w:right w:val="nil"/>
            </w:tcBorders>
            <w:shd w:val="clear" w:color="auto" w:fill="auto"/>
            <w:noWrap/>
            <w:tcMar>
              <w:top w:w="15" w:type="dxa"/>
              <w:left w:w="15" w:type="dxa"/>
              <w:right w:w="15" w:type="dxa"/>
            </w:tcMar>
            <w:vAlign w:val="bottom"/>
          </w:tcPr>
          <w:p w14:paraId="09B0C411">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收入支出决算总表</w:t>
            </w:r>
          </w:p>
        </w:tc>
      </w:tr>
      <w:tr w14:paraId="5F61421A">
        <w:tblPrEx>
          <w:tblCellMar>
            <w:top w:w="0" w:type="dxa"/>
            <w:left w:w="0" w:type="dxa"/>
            <w:bottom w:w="0" w:type="dxa"/>
            <w:right w:w="0" w:type="dxa"/>
          </w:tblCellMar>
        </w:tblPrEx>
        <w:trPr>
          <w:trHeight w:val="232" w:hRule="atLeast"/>
        </w:trPr>
        <w:tc>
          <w:tcPr>
            <w:tcW w:w="3215" w:type="dxa"/>
            <w:tcBorders>
              <w:top w:val="nil"/>
              <w:left w:val="nil"/>
              <w:bottom w:val="nil"/>
              <w:right w:val="nil"/>
            </w:tcBorders>
            <w:shd w:val="clear" w:color="auto" w:fill="auto"/>
            <w:noWrap/>
            <w:tcMar>
              <w:top w:w="15" w:type="dxa"/>
              <w:left w:w="15" w:type="dxa"/>
              <w:right w:w="15" w:type="dxa"/>
            </w:tcMar>
            <w:vAlign w:val="bottom"/>
          </w:tcPr>
          <w:p w14:paraId="13B4489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nil"/>
              <w:right w:val="nil"/>
            </w:tcBorders>
            <w:shd w:val="clear" w:color="auto" w:fill="auto"/>
            <w:noWrap/>
            <w:tcMar>
              <w:top w:w="15" w:type="dxa"/>
              <w:left w:w="15" w:type="dxa"/>
              <w:right w:w="15" w:type="dxa"/>
            </w:tcMar>
            <w:vAlign w:val="bottom"/>
          </w:tcPr>
          <w:p w14:paraId="6CAB67A3">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nil"/>
              <w:right w:val="nil"/>
            </w:tcBorders>
            <w:shd w:val="clear" w:color="auto" w:fill="auto"/>
            <w:noWrap/>
            <w:tcMar>
              <w:top w:w="15" w:type="dxa"/>
              <w:left w:w="15" w:type="dxa"/>
              <w:right w:w="15" w:type="dxa"/>
            </w:tcMar>
            <w:vAlign w:val="bottom"/>
          </w:tcPr>
          <w:p w14:paraId="7E4E178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570" w:type="dxa"/>
            <w:tcBorders>
              <w:top w:val="nil"/>
              <w:left w:val="nil"/>
              <w:bottom w:val="nil"/>
              <w:right w:val="nil"/>
            </w:tcBorders>
            <w:shd w:val="clear" w:color="auto" w:fill="auto"/>
            <w:noWrap/>
            <w:tcMar>
              <w:top w:w="15" w:type="dxa"/>
              <w:left w:w="15" w:type="dxa"/>
              <w:right w:w="15" w:type="dxa"/>
            </w:tcMar>
            <w:vAlign w:val="bottom"/>
          </w:tcPr>
          <w:p w14:paraId="744454D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公开01表</w:t>
            </w:r>
          </w:p>
        </w:tc>
      </w:tr>
      <w:tr w14:paraId="34851C64">
        <w:tblPrEx>
          <w:tblCellMar>
            <w:top w:w="0" w:type="dxa"/>
            <w:left w:w="0" w:type="dxa"/>
            <w:bottom w:w="0" w:type="dxa"/>
            <w:right w:w="0" w:type="dxa"/>
          </w:tblCellMar>
        </w:tblPrEx>
        <w:trPr>
          <w:trHeight w:val="232" w:hRule="atLeast"/>
        </w:trPr>
        <w:tc>
          <w:tcPr>
            <w:tcW w:w="7306" w:type="dxa"/>
            <w:gridSpan w:val="3"/>
            <w:tcBorders>
              <w:top w:val="nil"/>
              <w:left w:val="nil"/>
              <w:bottom w:val="nil"/>
              <w:right w:val="nil"/>
            </w:tcBorders>
            <w:shd w:val="clear" w:color="auto" w:fill="auto"/>
            <w:noWrap/>
            <w:tcMar>
              <w:top w:w="15" w:type="dxa"/>
              <w:left w:w="15" w:type="dxa"/>
              <w:right w:w="15" w:type="dxa"/>
            </w:tcMar>
            <w:vAlign w:val="bottom"/>
          </w:tcPr>
          <w:p w14:paraId="04B2349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2"/>
                <w:szCs w:val="22"/>
              </w:rPr>
            </w:pPr>
            <w:r>
              <w:rPr>
                <w:rFonts w:hint="default" w:ascii="Times New Roman" w:hAnsi="Times New Roman" w:cs="Times New Roman"/>
                <w:color w:val="auto"/>
                <w:sz w:val="20"/>
                <w:szCs w:val="20"/>
              </w:rPr>
              <w:t>公开单位：</w:t>
            </w:r>
            <w:r>
              <w:rPr>
                <w:rFonts w:hint="default" w:ascii="Times New Roman" w:hAnsi="Times New Roman" w:cs="Times New Roman"/>
                <w:color w:val="auto"/>
                <w:sz w:val="20"/>
                <w:u w:color="auto"/>
              </w:rPr>
              <w:t>重庆市荣昌区广顺街道社区文化服务中心</w:t>
            </w:r>
          </w:p>
        </w:tc>
        <w:tc>
          <w:tcPr>
            <w:tcW w:w="1570" w:type="dxa"/>
            <w:tcBorders>
              <w:top w:val="nil"/>
              <w:left w:val="nil"/>
              <w:bottom w:val="nil"/>
              <w:right w:val="nil"/>
            </w:tcBorders>
            <w:shd w:val="clear" w:color="auto" w:fill="auto"/>
            <w:noWrap/>
            <w:tcMar>
              <w:top w:w="15" w:type="dxa"/>
              <w:left w:w="15" w:type="dxa"/>
              <w:right w:w="15" w:type="dxa"/>
            </w:tcMar>
            <w:vAlign w:val="bottom"/>
          </w:tcPr>
          <w:p w14:paraId="1DE717F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6A8F42D9">
        <w:tblPrEx>
          <w:tblCellMar>
            <w:top w:w="0" w:type="dxa"/>
            <w:left w:w="0" w:type="dxa"/>
            <w:bottom w:w="0" w:type="dxa"/>
            <w:right w:w="0" w:type="dxa"/>
          </w:tblCellMar>
        </w:tblPrEx>
        <w:trPr>
          <w:trHeight w:val="243" w:hRule="atLeast"/>
        </w:trPr>
        <w:tc>
          <w:tcPr>
            <w:tcW w:w="4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AC1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收入</w:t>
            </w:r>
          </w:p>
        </w:tc>
        <w:tc>
          <w:tcPr>
            <w:tcW w:w="442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9E24B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支出</w:t>
            </w:r>
          </w:p>
        </w:tc>
      </w:tr>
      <w:tr w14:paraId="74D7494B">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CC2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C0D6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5B21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0D05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r>
      <w:tr w14:paraId="08B3DC81">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BC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一、一般公共预算财政拨款收入</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DE6DB">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88.65</w:t>
            </w: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69C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一、一般公共服务支出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7917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1C91B25">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3F5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二、政府性基金预算财政拨款收入</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B108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9C5E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二、外交支出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2554F">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7B97B9E">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CCF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三、国有资本经营预算财政拨款收入</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1466">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395B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三、国防支出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6CBB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6D6E2EF">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BCA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四、上级补助收入</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C97BD">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41AF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四、公共安全支出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3AA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F975F76">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2E7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五、事业收入</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BEFA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A84E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五、教育支出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6E2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44597DA">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D1F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六、经营收入</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030D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6A5B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六、科学技术支出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A384D">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0997D23">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8E5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七、附属单位上缴收入</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09CB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5FBA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七、文化旅游体育与传媒支出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B0EC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70.30</w:t>
            </w:r>
            <w:r>
              <w:rPr>
                <w:rFonts w:hint="default" w:ascii="Times New Roman" w:hAnsi="Times New Roman" w:cs="Times New Roman"/>
                <w:color w:val="auto"/>
                <w:sz w:val="20"/>
                <w:u w:color="auto"/>
              </w:rPr>
              <w:t xml:space="preserve"> </w:t>
            </w:r>
          </w:p>
        </w:tc>
      </w:tr>
      <w:tr w14:paraId="366277F1">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48F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八、其他收入</w:t>
            </w:r>
          </w:p>
        </w:tc>
        <w:tc>
          <w:tcPr>
            <w:tcW w:w="1241" w:type="dxa"/>
            <w:tcBorders>
              <w:top w:val="nil"/>
              <w:left w:val="nil"/>
              <w:bottom w:val="nil"/>
              <w:right w:val="single" w:color="000000" w:sz="4" w:space="0"/>
            </w:tcBorders>
            <w:shd w:val="clear" w:color="auto" w:fill="auto"/>
            <w:noWrap/>
            <w:tcMar>
              <w:top w:w="15" w:type="dxa"/>
              <w:left w:w="15" w:type="dxa"/>
              <w:right w:w="15" w:type="dxa"/>
            </w:tcMar>
            <w:vAlign w:val="center"/>
          </w:tcPr>
          <w:p w14:paraId="2DF2CCAB">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AC84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八、社会保障和就业支出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1858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10.66</w:t>
            </w:r>
            <w:r>
              <w:rPr>
                <w:rFonts w:hint="default" w:ascii="Times New Roman" w:hAnsi="Times New Roman" w:cs="Times New Roman"/>
                <w:color w:val="auto"/>
                <w:sz w:val="20"/>
                <w:u w:color="auto"/>
              </w:rPr>
              <w:t xml:space="preserve"> </w:t>
            </w:r>
          </w:p>
        </w:tc>
      </w:tr>
      <w:tr w14:paraId="74883394">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3FB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6DD1E7">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0F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九、卫生健康支出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98397">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3.35</w:t>
            </w:r>
            <w:r>
              <w:rPr>
                <w:rFonts w:hint="default" w:ascii="Times New Roman" w:hAnsi="Times New Roman" w:cs="Times New Roman"/>
                <w:color w:val="auto"/>
                <w:sz w:val="20"/>
                <w:u w:color="auto"/>
              </w:rPr>
              <w:t xml:space="preserve"> </w:t>
            </w:r>
          </w:p>
        </w:tc>
      </w:tr>
      <w:tr w14:paraId="6EDCC72B">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BD7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ADB1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DD36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十、节能环保支出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DFCB">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FD660DA">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579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71E5B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7379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十一、城乡社区支出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3ED67">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1E7702F">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973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81743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0F37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十二、农林水支出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B5C3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85AFD32">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33D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A66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163E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十三、交通运输支出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8F588">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3EA051C">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1A8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4F60A">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603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十四、资源勘探工业信息等支出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801B2">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70F282B">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0B8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4F0DD">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803A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十五、商业服务业等支出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D1CFD">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967A447">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8A3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9457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9F64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十六、金融支出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2CD40">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9C65D35">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7F9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880D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5BE5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十七、援助其他地区支出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D431A">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3AA3A24">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6AB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B0DA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256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十八、自然资源海洋气象等支出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40A69">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41A5EE2">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C28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ABA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218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十九、住房保障支出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82B5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4.33</w:t>
            </w:r>
            <w:r>
              <w:rPr>
                <w:rFonts w:hint="default" w:ascii="Times New Roman" w:hAnsi="Times New Roman" w:cs="Times New Roman"/>
                <w:color w:val="auto"/>
                <w:sz w:val="20"/>
                <w:u w:color="auto"/>
              </w:rPr>
              <w:t xml:space="preserve"> </w:t>
            </w:r>
          </w:p>
        </w:tc>
      </w:tr>
      <w:tr w14:paraId="2629D257">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85B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3EB35">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1052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二十、粮油物资储备支出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DB3A7">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FFB928A">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1D9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45B12">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0D8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二十一、国有资本经营预算支出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943E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90C67EF">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340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C651C">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FB0F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二十二、灾害防治及应急管理支出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A7EBE">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3E6BA3B">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5B4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AB31C">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286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二十三、其他支出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D616C">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3CD89B6">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50F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2F21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63DA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二十四、债务还本支出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7C99B">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311B490">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A5B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6982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54AD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二十五、债务付息支出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F4784">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0DE4AB5">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61F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1F40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1711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二十六、抗疫特别国债安排的支出</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51F55">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77BD4AE">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A73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本年收入合计</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2D883">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88.65</w:t>
            </w: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1DEE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本年支出合计</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93852">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88.65</w:t>
            </w:r>
            <w:r>
              <w:rPr>
                <w:rFonts w:hint="default" w:ascii="Times New Roman" w:hAnsi="Times New Roman" w:cs="Times New Roman"/>
                <w:color w:val="auto"/>
                <w:sz w:val="20"/>
                <w:u w:color="auto"/>
              </w:rPr>
              <w:t xml:space="preserve"> </w:t>
            </w:r>
          </w:p>
        </w:tc>
      </w:tr>
      <w:tr w14:paraId="7A610D4A">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10D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使用非财政拨款结余和专用结余</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650B">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5A86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结余分配</w:t>
            </w:r>
          </w:p>
        </w:tc>
        <w:tc>
          <w:tcPr>
            <w:tcW w:w="15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61A37">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590BA76">
        <w:tblPrEx>
          <w:tblCellMar>
            <w:top w:w="0" w:type="dxa"/>
            <w:left w:w="0" w:type="dxa"/>
            <w:bottom w:w="0" w:type="dxa"/>
            <w:right w:w="0" w:type="dxa"/>
          </w:tblCellMar>
        </w:tblPrEx>
        <w:trPr>
          <w:trHeight w:val="24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681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年初结转和结余</w:t>
            </w:r>
          </w:p>
        </w:tc>
        <w:tc>
          <w:tcPr>
            <w:tcW w:w="12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85FC5">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C6FF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年末结转和结余</w:t>
            </w:r>
          </w:p>
        </w:tc>
        <w:tc>
          <w:tcPr>
            <w:tcW w:w="157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F83F106">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FD222E4">
        <w:tblPrEx>
          <w:tblCellMar>
            <w:top w:w="0" w:type="dxa"/>
            <w:left w:w="0" w:type="dxa"/>
            <w:bottom w:w="0" w:type="dxa"/>
            <w:right w:w="0" w:type="dxa"/>
          </w:tblCellMar>
        </w:tblPrEx>
        <w:trPr>
          <w:trHeight w:val="253" w:hRule="atLeast"/>
        </w:trPr>
        <w:tc>
          <w:tcPr>
            <w:tcW w:w="32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CDF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总计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F21D">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88.65</w:t>
            </w:r>
            <w:r>
              <w:rPr>
                <w:rFonts w:hint="default" w:ascii="Times New Roman" w:hAnsi="Times New Roman" w:cs="Times New Roman"/>
                <w:color w:val="auto"/>
                <w:sz w:val="20"/>
                <w:u w:color="auto"/>
              </w:rPr>
              <w:t xml:space="preserve"> </w:t>
            </w:r>
          </w:p>
        </w:tc>
        <w:tc>
          <w:tcPr>
            <w:tcW w:w="2850"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A3F720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总计</w:t>
            </w:r>
          </w:p>
        </w:tc>
        <w:tc>
          <w:tcPr>
            <w:tcW w:w="1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E9E49">
            <w:pPr>
              <w:keepNext w:val="0"/>
              <w:keepLines w:val="0"/>
              <w:pageBreakBefore w:val="0"/>
              <w:widowControl/>
              <w:kinsoku/>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88.65</w:t>
            </w:r>
            <w:r>
              <w:rPr>
                <w:rFonts w:hint="default" w:ascii="Times New Roman" w:hAnsi="Times New Roman" w:cs="Times New Roman"/>
                <w:color w:val="auto"/>
                <w:sz w:val="20"/>
                <w:u w:color="auto"/>
              </w:rPr>
              <w:t xml:space="preserve"> </w:t>
            </w:r>
          </w:p>
        </w:tc>
      </w:tr>
    </w:tbl>
    <w:p w14:paraId="6DE9528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备注：1.本表反映单位本年度的总收支和年末结转结余情况。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1501A68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66B1CC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1961FD2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59C298E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3B11B7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6637F5A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50615A0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247B828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3EE5449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018A0A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125283C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3089D26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236C49C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5B384BD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6A7A4E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p w14:paraId="0BEFE53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bl>
      <w:tblPr>
        <w:tblStyle w:val="9"/>
        <w:tblW w:w="8876" w:type="dxa"/>
        <w:tblInd w:w="0" w:type="dxa"/>
        <w:shd w:val="clear" w:color="auto" w:fill="auto"/>
        <w:tblLayout w:type="fixed"/>
        <w:tblCellMar>
          <w:top w:w="0" w:type="dxa"/>
          <w:left w:w="0" w:type="dxa"/>
          <w:bottom w:w="0" w:type="dxa"/>
          <w:right w:w="0" w:type="dxa"/>
        </w:tblCellMar>
      </w:tblPr>
      <w:tblGrid>
        <w:gridCol w:w="982"/>
        <w:gridCol w:w="2560"/>
        <w:gridCol w:w="832"/>
        <w:gridCol w:w="859"/>
        <w:gridCol w:w="669"/>
        <w:gridCol w:w="530"/>
        <w:gridCol w:w="697"/>
        <w:gridCol w:w="613"/>
        <w:gridCol w:w="669"/>
        <w:gridCol w:w="465"/>
      </w:tblGrid>
      <w:tr w14:paraId="14674845">
        <w:tblPrEx>
          <w:shd w:val="clear" w:color="auto" w:fill="auto"/>
          <w:tblCellMar>
            <w:top w:w="0" w:type="dxa"/>
            <w:left w:w="0" w:type="dxa"/>
            <w:bottom w:w="0" w:type="dxa"/>
            <w:right w:w="0" w:type="dxa"/>
          </w:tblCellMar>
        </w:tblPrEx>
        <w:trPr>
          <w:trHeight w:val="641" w:hRule="atLeast"/>
        </w:trPr>
        <w:tc>
          <w:tcPr>
            <w:tcW w:w="8876" w:type="dxa"/>
            <w:gridSpan w:val="10"/>
            <w:tcBorders>
              <w:top w:val="nil"/>
              <w:left w:val="nil"/>
              <w:bottom w:val="nil"/>
              <w:right w:val="nil"/>
            </w:tcBorders>
            <w:shd w:val="clear" w:color="auto" w:fill="auto"/>
            <w:noWrap/>
            <w:tcMar>
              <w:top w:w="15" w:type="dxa"/>
              <w:left w:w="15" w:type="dxa"/>
              <w:right w:w="15" w:type="dxa"/>
            </w:tcMar>
            <w:vAlign w:val="bottom"/>
          </w:tcPr>
          <w:p w14:paraId="53DD2A6D">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收入决算表</w:t>
            </w:r>
          </w:p>
        </w:tc>
      </w:tr>
      <w:tr w14:paraId="0AE4A683">
        <w:tblPrEx>
          <w:shd w:val="clear" w:color="auto" w:fill="auto"/>
          <w:tblCellMar>
            <w:top w:w="0" w:type="dxa"/>
            <w:left w:w="0" w:type="dxa"/>
            <w:bottom w:w="0" w:type="dxa"/>
            <w:right w:w="0" w:type="dxa"/>
          </w:tblCellMar>
        </w:tblPrEx>
        <w:trPr>
          <w:trHeight w:val="328" w:hRule="atLeast"/>
        </w:trPr>
        <w:tc>
          <w:tcPr>
            <w:tcW w:w="6432" w:type="dxa"/>
            <w:gridSpan w:val="6"/>
            <w:vMerge w:val="restart"/>
            <w:tcBorders>
              <w:top w:val="nil"/>
              <w:left w:val="nil"/>
              <w:right w:val="nil"/>
            </w:tcBorders>
            <w:shd w:val="clear" w:color="auto" w:fill="auto"/>
            <w:noWrap/>
            <w:tcMar>
              <w:top w:w="15" w:type="dxa"/>
              <w:left w:w="15" w:type="dxa"/>
              <w:right w:w="15" w:type="dxa"/>
            </w:tcMar>
            <w:vAlign w:val="bottom"/>
          </w:tcPr>
          <w:p w14:paraId="2E9CB40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公开单位：</w:t>
            </w:r>
            <w:r>
              <w:rPr>
                <w:rFonts w:hint="default" w:ascii="Times New Roman" w:hAnsi="Times New Roman" w:cs="Times New Roman"/>
                <w:color w:val="auto"/>
                <w:sz w:val="20"/>
                <w:u w:color="auto"/>
              </w:rPr>
              <w:t>重庆市荣昌区广顺街道社区文化服务中心</w:t>
            </w:r>
          </w:p>
        </w:tc>
        <w:tc>
          <w:tcPr>
            <w:tcW w:w="697" w:type="dxa"/>
            <w:tcBorders>
              <w:top w:val="nil"/>
              <w:left w:val="nil"/>
              <w:bottom w:val="nil"/>
              <w:right w:val="nil"/>
            </w:tcBorders>
            <w:shd w:val="clear" w:color="auto" w:fill="auto"/>
            <w:noWrap/>
            <w:tcMar>
              <w:top w:w="15" w:type="dxa"/>
              <w:left w:w="15" w:type="dxa"/>
              <w:right w:w="15" w:type="dxa"/>
            </w:tcMar>
            <w:vAlign w:val="bottom"/>
          </w:tcPr>
          <w:p w14:paraId="642C701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747" w:type="dxa"/>
            <w:gridSpan w:val="3"/>
            <w:tcBorders>
              <w:top w:val="nil"/>
              <w:left w:val="nil"/>
              <w:bottom w:val="nil"/>
              <w:right w:val="nil"/>
            </w:tcBorders>
            <w:shd w:val="clear" w:color="auto" w:fill="auto"/>
            <w:noWrap/>
            <w:tcMar>
              <w:top w:w="15" w:type="dxa"/>
              <w:left w:w="15" w:type="dxa"/>
              <w:right w:w="15" w:type="dxa"/>
            </w:tcMar>
            <w:vAlign w:val="bottom"/>
          </w:tcPr>
          <w:p w14:paraId="59FFDEFF">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公开02表</w:t>
            </w:r>
          </w:p>
        </w:tc>
      </w:tr>
      <w:tr w14:paraId="7B6A31FB">
        <w:tblPrEx>
          <w:shd w:val="clear" w:color="auto" w:fill="auto"/>
          <w:tblCellMar>
            <w:top w:w="0" w:type="dxa"/>
            <w:left w:w="0" w:type="dxa"/>
            <w:bottom w:w="0" w:type="dxa"/>
            <w:right w:w="0" w:type="dxa"/>
          </w:tblCellMar>
        </w:tblPrEx>
        <w:trPr>
          <w:trHeight w:val="328" w:hRule="atLeast"/>
        </w:trPr>
        <w:tc>
          <w:tcPr>
            <w:tcW w:w="6432" w:type="dxa"/>
            <w:gridSpan w:val="6"/>
            <w:vMerge w:val="continue"/>
            <w:tcBorders>
              <w:left w:val="nil"/>
              <w:bottom w:val="nil"/>
              <w:right w:val="nil"/>
            </w:tcBorders>
            <w:shd w:val="clear" w:color="auto" w:fill="auto"/>
            <w:noWrap/>
            <w:tcMar>
              <w:top w:w="15" w:type="dxa"/>
              <w:left w:w="15" w:type="dxa"/>
              <w:right w:w="15" w:type="dxa"/>
            </w:tcMar>
            <w:vAlign w:val="bottom"/>
          </w:tcPr>
          <w:p w14:paraId="5A6B255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697" w:type="dxa"/>
            <w:tcBorders>
              <w:top w:val="nil"/>
              <w:left w:val="nil"/>
              <w:bottom w:val="nil"/>
              <w:right w:val="nil"/>
            </w:tcBorders>
            <w:shd w:val="clear" w:color="auto" w:fill="auto"/>
            <w:noWrap/>
            <w:tcMar>
              <w:top w:w="15" w:type="dxa"/>
              <w:left w:w="15" w:type="dxa"/>
              <w:right w:w="15" w:type="dxa"/>
            </w:tcMar>
            <w:vAlign w:val="bottom"/>
          </w:tcPr>
          <w:p w14:paraId="01419B8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747" w:type="dxa"/>
            <w:gridSpan w:val="3"/>
            <w:tcBorders>
              <w:top w:val="nil"/>
              <w:left w:val="nil"/>
              <w:bottom w:val="nil"/>
              <w:right w:val="nil"/>
            </w:tcBorders>
            <w:shd w:val="clear" w:color="auto" w:fill="auto"/>
            <w:noWrap/>
            <w:tcMar>
              <w:top w:w="15" w:type="dxa"/>
              <w:left w:w="15" w:type="dxa"/>
              <w:right w:w="15" w:type="dxa"/>
            </w:tcMar>
            <w:vAlign w:val="bottom"/>
          </w:tcPr>
          <w:p w14:paraId="664DD197">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16354C1D">
        <w:tblPrEx>
          <w:shd w:val="clear" w:color="auto" w:fill="auto"/>
          <w:tblCellMar>
            <w:top w:w="0" w:type="dxa"/>
            <w:left w:w="0" w:type="dxa"/>
            <w:bottom w:w="0" w:type="dxa"/>
            <w:right w:w="0" w:type="dxa"/>
          </w:tblCellMar>
        </w:tblPrEx>
        <w:trPr>
          <w:trHeight w:val="431" w:hRule="atLeast"/>
        </w:trPr>
        <w:tc>
          <w:tcPr>
            <w:tcW w:w="354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84C66F9">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3ED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本年收入合计</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E024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财政拨款收入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AEC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上级补助收入</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8B4841">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事业收入</w:t>
            </w:r>
          </w:p>
        </w:tc>
        <w:tc>
          <w:tcPr>
            <w:tcW w:w="6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C89206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经营收入</w:t>
            </w:r>
          </w:p>
        </w:tc>
        <w:tc>
          <w:tcPr>
            <w:tcW w:w="66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53F041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附属单位上缴收入</w:t>
            </w:r>
          </w:p>
        </w:tc>
        <w:tc>
          <w:tcPr>
            <w:tcW w:w="46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1DB7A22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其他收入</w:t>
            </w:r>
          </w:p>
        </w:tc>
      </w:tr>
      <w:tr w14:paraId="61D6BB41">
        <w:tblPrEx>
          <w:shd w:val="clear" w:color="auto" w:fill="auto"/>
          <w:tblCellMar>
            <w:top w:w="0" w:type="dxa"/>
            <w:left w:w="0" w:type="dxa"/>
            <w:bottom w:w="0" w:type="dxa"/>
            <w:right w:w="0" w:type="dxa"/>
          </w:tblCellMar>
        </w:tblPrEx>
        <w:trPr>
          <w:trHeight w:val="334"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6A6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2560" w:type="dxa"/>
            <w:tcBorders>
              <w:top w:val="nil"/>
              <w:left w:val="nil"/>
              <w:bottom w:val="single" w:color="000000" w:sz="4" w:space="0"/>
              <w:right w:val="nil"/>
            </w:tcBorders>
            <w:shd w:val="clear" w:color="auto" w:fill="auto"/>
            <w:noWrap/>
            <w:tcMar>
              <w:top w:w="15" w:type="dxa"/>
              <w:left w:w="15" w:type="dxa"/>
              <w:right w:w="15" w:type="dxa"/>
            </w:tcMar>
            <w:vAlign w:val="center"/>
          </w:tcPr>
          <w:p w14:paraId="0A0671D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B9C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E094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98D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5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F9A65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小计</w:t>
            </w:r>
          </w:p>
        </w:tc>
        <w:tc>
          <w:tcPr>
            <w:tcW w:w="6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F528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其中：教育收费</w:t>
            </w:r>
          </w:p>
        </w:tc>
        <w:tc>
          <w:tcPr>
            <w:tcW w:w="6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2323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6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242A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46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22BD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29EF5B39">
        <w:tblPrEx>
          <w:shd w:val="clear" w:color="auto" w:fill="auto"/>
          <w:tblCellMar>
            <w:top w:w="0" w:type="dxa"/>
            <w:left w:w="0" w:type="dxa"/>
            <w:bottom w:w="0" w:type="dxa"/>
            <w:right w:w="0" w:type="dxa"/>
          </w:tblCellMar>
        </w:tblPrEx>
        <w:trPr>
          <w:trHeight w:val="338" w:hRule="atLeast"/>
        </w:trPr>
        <w:tc>
          <w:tcPr>
            <w:tcW w:w="35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5DC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8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E732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88.65</w:t>
            </w:r>
            <w:r>
              <w:rPr>
                <w:rFonts w:hint="default" w:ascii="Times New Roman" w:hAnsi="Times New Roman" w:cs="Times New Roman"/>
                <w:b/>
                <w:color w:val="auto"/>
                <w:sz w:val="20"/>
                <w:u w:color="auto"/>
              </w:rPr>
              <w:t xml:space="preserve"> </w:t>
            </w:r>
          </w:p>
        </w:tc>
        <w:tc>
          <w:tcPr>
            <w:tcW w:w="8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136E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88.65</w:t>
            </w:r>
            <w:r>
              <w:rPr>
                <w:rFonts w:hint="default" w:ascii="Times New Roman" w:hAnsi="Times New Roman" w:cs="Times New Roman"/>
                <w:b/>
                <w:color w:val="auto"/>
                <w:sz w:val="20"/>
                <w:u w:color="auto"/>
              </w:rPr>
              <w:t xml:space="preserve"> </w:t>
            </w:r>
          </w:p>
        </w:tc>
        <w:tc>
          <w:tcPr>
            <w:tcW w:w="6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FE7B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530"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0F1A6A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6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FF00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6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7DAC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6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5ECE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A1A3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r w14:paraId="01D3FCA4">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579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207</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E9D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文化旅游体育与传媒支出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85B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00F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B93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E62A26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A58C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6F30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2B9A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BBC0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CB49600">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833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20701</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9186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文化和旅游</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7FC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0C0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EB3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634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FAB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30E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98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2BD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A22E52A">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676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2070109</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16E9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群众文化</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121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70.30</w:t>
            </w:r>
            <w:r>
              <w:rPr>
                <w:rFonts w:hint="default" w:ascii="Times New Roman" w:hAnsi="Times New Roman" w:cs="Times New Roman"/>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EA5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70.30</w:t>
            </w: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98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10C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664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435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E36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919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04AB6E2">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D5D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6559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5EF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346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2E8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83D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512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C17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8B5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627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1D8C491">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5E1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955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20B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1A5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572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70F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50B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78B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0D4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768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8063A63">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DEB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8102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07D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4.07</w:t>
            </w:r>
            <w:r>
              <w:rPr>
                <w:rFonts w:hint="default" w:ascii="Times New Roman" w:hAnsi="Times New Roman" w:cs="Times New Roman"/>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5AC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4.07</w:t>
            </w: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C2D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725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E6F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EAF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D95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598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EEF748F">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E3F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1B2C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4AE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3.54</w:t>
            </w:r>
            <w:r>
              <w:rPr>
                <w:rFonts w:hint="default" w:ascii="Times New Roman" w:hAnsi="Times New Roman" w:cs="Times New Roman"/>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512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3.54</w:t>
            </w: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FEF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01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25F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78E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A18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CB1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E4951B6">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623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6557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428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2F6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191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FA9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FB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950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C5E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0C1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E14617C">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AD1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A982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49E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F38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7A9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F34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4CC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B5B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9D7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F9A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F85E18A">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FC1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4C23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A7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30C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7B0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15E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FE1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A6C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1F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916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B845B26">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3F6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42DE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B25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2.16</w:t>
            </w:r>
            <w:r>
              <w:rPr>
                <w:rFonts w:hint="default" w:ascii="Times New Roman" w:hAnsi="Times New Roman" w:cs="Times New Roman"/>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535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2.16</w:t>
            </w: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F04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53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A8C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D00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B4E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B66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567E571">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546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F384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D39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1.18</w:t>
            </w:r>
            <w:r>
              <w:rPr>
                <w:rFonts w:hint="default" w:ascii="Times New Roman" w:hAnsi="Times New Roman" w:cs="Times New Roman"/>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666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1.18</w:t>
            </w: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E73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D70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207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5D8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9F5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4E1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396E16D">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CD7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BD6A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A3A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AA6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883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5E0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C42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27F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9EC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066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83435DE">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446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0472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C6E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549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9F0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21E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9A9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8D2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AF6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900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5FDE5A6">
        <w:tblPrEx>
          <w:shd w:val="clear" w:color="auto" w:fill="auto"/>
          <w:tblCellMar>
            <w:top w:w="0" w:type="dxa"/>
            <w:left w:w="0" w:type="dxa"/>
            <w:bottom w:w="0" w:type="dxa"/>
            <w:right w:w="0" w:type="dxa"/>
          </w:tblCellMar>
        </w:tblPrEx>
        <w:trPr>
          <w:trHeight w:val="348" w:hRule="atLeast"/>
        </w:trPr>
        <w:tc>
          <w:tcPr>
            <w:tcW w:w="9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909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2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8016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717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4.33</w:t>
            </w:r>
            <w:r>
              <w:rPr>
                <w:rFonts w:hint="default" w:ascii="Times New Roman" w:hAnsi="Times New Roman" w:cs="Times New Roman"/>
                <w:color w:val="auto"/>
                <w:sz w:val="20"/>
                <w:u w:color="auto"/>
              </w:rPr>
              <w:t xml:space="preserve">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22E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4.33</w:t>
            </w: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BF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D9D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C4B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3E0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09D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65A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bl>
    <w:p w14:paraId="641772E9">
      <w:pPr>
        <w:keepNext w:val="0"/>
        <w:keepLines w:val="0"/>
        <w:pageBreakBefore w:val="0"/>
        <w:widowControl/>
        <w:kinsoku/>
        <w:overflowPunct/>
        <w:topLinePunct w:val="0"/>
        <w:autoSpaceDE/>
        <w:autoSpaceDN/>
        <w:bidi w:val="0"/>
        <w:adjustRightInd/>
        <w:snapToGrid/>
        <w:spacing w:line="360" w:lineRule="exact"/>
        <w:ind w:left="600" w:hanging="600" w:hangingChars="30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备注：1.本表反映单位本年度取得的各项收入情况。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2671E06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br w:type="page"/>
      </w:r>
    </w:p>
    <w:tbl>
      <w:tblPr>
        <w:tblStyle w:val="9"/>
        <w:tblW w:w="8876" w:type="dxa"/>
        <w:tblInd w:w="0" w:type="dxa"/>
        <w:shd w:val="clear" w:color="auto" w:fill="auto"/>
        <w:tblLayout w:type="fixed"/>
        <w:tblCellMar>
          <w:top w:w="0" w:type="dxa"/>
          <w:left w:w="0" w:type="dxa"/>
          <w:bottom w:w="0" w:type="dxa"/>
          <w:right w:w="0" w:type="dxa"/>
        </w:tblCellMar>
      </w:tblPr>
      <w:tblGrid>
        <w:gridCol w:w="1041"/>
        <w:gridCol w:w="2979"/>
        <w:gridCol w:w="859"/>
        <w:gridCol w:w="927"/>
        <w:gridCol w:w="764"/>
        <w:gridCol w:w="804"/>
        <w:gridCol w:w="628"/>
        <w:gridCol w:w="874"/>
      </w:tblGrid>
      <w:tr w14:paraId="00E88788">
        <w:tblPrEx>
          <w:shd w:val="clear" w:color="auto" w:fill="auto"/>
          <w:tblCellMar>
            <w:top w:w="0" w:type="dxa"/>
            <w:left w:w="0" w:type="dxa"/>
            <w:bottom w:w="0" w:type="dxa"/>
            <w:right w:w="0" w:type="dxa"/>
          </w:tblCellMar>
        </w:tblPrEx>
        <w:trPr>
          <w:trHeight w:val="654" w:hRule="atLeast"/>
        </w:trPr>
        <w:tc>
          <w:tcPr>
            <w:tcW w:w="8876" w:type="dxa"/>
            <w:gridSpan w:val="8"/>
            <w:tcBorders>
              <w:top w:val="nil"/>
              <w:left w:val="nil"/>
              <w:bottom w:val="nil"/>
              <w:right w:val="nil"/>
            </w:tcBorders>
            <w:shd w:val="clear" w:color="auto" w:fill="auto"/>
            <w:noWrap/>
            <w:tcMar>
              <w:top w:w="15" w:type="dxa"/>
              <w:left w:w="15" w:type="dxa"/>
              <w:right w:w="15" w:type="dxa"/>
            </w:tcMar>
            <w:vAlign w:val="bottom"/>
          </w:tcPr>
          <w:p w14:paraId="6BC4D607">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支出决算表</w:t>
            </w:r>
          </w:p>
        </w:tc>
      </w:tr>
      <w:tr w14:paraId="1A262E51">
        <w:tblPrEx>
          <w:tblCellMar>
            <w:top w:w="0" w:type="dxa"/>
            <w:left w:w="0" w:type="dxa"/>
            <w:bottom w:w="0" w:type="dxa"/>
            <w:right w:w="0" w:type="dxa"/>
          </w:tblCellMar>
        </w:tblPrEx>
        <w:trPr>
          <w:trHeight w:val="342" w:hRule="atLeast"/>
        </w:trPr>
        <w:tc>
          <w:tcPr>
            <w:tcW w:w="6570" w:type="dxa"/>
            <w:gridSpan w:val="5"/>
            <w:vMerge w:val="restart"/>
            <w:tcBorders>
              <w:top w:val="nil"/>
              <w:left w:val="nil"/>
              <w:right w:val="nil"/>
            </w:tcBorders>
            <w:shd w:val="clear" w:color="auto" w:fill="auto"/>
            <w:noWrap/>
            <w:tcMar>
              <w:top w:w="15" w:type="dxa"/>
              <w:left w:w="15" w:type="dxa"/>
              <w:right w:w="15" w:type="dxa"/>
            </w:tcMar>
            <w:vAlign w:val="bottom"/>
          </w:tcPr>
          <w:p w14:paraId="44DC2B5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 xml:space="preserve">重庆市荣昌区广顺街道社区文化服务中心 </w:t>
            </w:r>
          </w:p>
        </w:tc>
        <w:tc>
          <w:tcPr>
            <w:tcW w:w="804" w:type="dxa"/>
            <w:tcBorders>
              <w:top w:val="nil"/>
              <w:left w:val="nil"/>
              <w:bottom w:val="nil"/>
              <w:right w:val="nil"/>
            </w:tcBorders>
            <w:shd w:val="clear" w:color="auto" w:fill="auto"/>
            <w:noWrap/>
            <w:tcMar>
              <w:top w:w="15" w:type="dxa"/>
              <w:left w:w="15" w:type="dxa"/>
              <w:right w:w="15" w:type="dxa"/>
            </w:tcMar>
            <w:vAlign w:val="bottom"/>
          </w:tcPr>
          <w:p w14:paraId="0B438B6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502" w:type="dxa"/>
            <w:gridSpan w:val="2"/>
            <w:tcBorders>
              <w:top w:val="nil"/>
              <w:left w:val="nil"/>
              <w:bottom w:val="nil"/>
              <w:right w:val="nil"/>
            </w:tcBorders>
            <w:shd w:val="clear" w:color="auto" w:fill="auto"/>
            <w:noWrap/>
            <w:tcMar>
              <w:top w:w="15" w:type="dxa"/>
              <w:left w:w="15" w:type="dxa"/>
              <w:right w:w="15" w:type="dxa"/>
            </w:tcMar>
            <w:vAlign w:val="bottom"/>
          </w:tcPr>
          <w:p w14:paraId="7A9832F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公开03表</w:t>
            </w:r>
          </w:p>
        </w:tc>
      </w:tr>
      <w:tr w14:paraId="1001AC30">
        <w:tblPrEx>
          <w:tblCellMar>
            <w:top w:w="0" w:type="dxa"/>
            <w:left w:w="0" w:type="dxa"/>
            <w:bottom w:w="0" w:type="dxa"/>
            <w:right w:w="0" w:type="dxa"/>
          </w:tblCellMar>
        </w:tblPrEx>
        <w:trPr>
          <w:trHeight w:val="342" w:hRule="atLeast"/>
        </w:trPr>
        <w:tc>
          <w:tcPr>
            <w:tcW w:w="6570" w:type="dxa"/>
            <w:gridSpan w:val="5"/>
            <w:vMerge w:val="continue"/>
            <w:tcBorders>
              <w:left w:val="nil"/>
              <w:bottom w:val="nil"/>
              <w:right w:val="nil"/>
            </w:tcBorders>
            <w:shd w:val="clear" w:color="auto" w:fill="auto"/>
            <w:noWrap/>
            <w:tcMar>
              <w:top w:w="15" w:type="dxa"/>
              <w:left w:w="15" w:type="dxa"/>
              <w:right w:w="15" w:type="dxa"/>
            </w:tcMar>
            <w:vAlign w:val="bottom"/>
          </w:tcPr>
          <w:p w14:paraId="5190376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804" w:type="dxa"/>
            <w:tcBorders>
              <w:top w:val="nil"/>
              <w:left w:val="nil"/>
              <w:bottom w:val="nil"/>
              <w:right w:val="nil"/>
            </w:tcBorders>
            <w:shd w:val="clear" w:color="auto" w:fill="auto"/>
            <w:noWrap/>
            <w:tcMar>
              <w:top w:w="15" w:type="dxa"/>
              <w:left w:w="15" w:type="dxa"/>
              <w:right w:w="15" w:type="dxa"/>
            </w:tcMar>
            <w:vAlign w:val="bottom"/>
          </w:tcPr>
          <w:p w14:paraId="53EB960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502" w:type="dxa"/>
            <w:gridSpan w:val="2"/>
            <w:tcBorders>
              <w:top w:val="nil"/>
              <w:left w:val="nil"/>
              <w:bottom w:val="nil"/>
              <w:right w:val="nil"/>
            </w:tcBorders>
            <w:shd w:val="clear" w:color="auto" w:fill="auto"/>
            <w:noWrap/>
            <w:tcMar>
              <w:top w:w="15" w:type="dxa"/>
              <w:left w:w="15" w:type="dxa"/>
              <w:right w:w="15" w:type="dxa"/>
            </w:tcMar>
            <w:vAlign w:val="bottom"/>
          </w:tcPr>
          <w:p w14:paraId="692D0163">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27036B06">
        <w:tblPrEx>
          <w:tblCellMar>
            <w:top w:w="0" w:type="dxa"/>
            <w:left w:w="0" w:type="dxa"/>
            <w:bottom w:w="0" w:type="dxa"/>
            <w:right w:w="0" w:type="dxa"/>
          </w:tblCellMar>
        </w:tblPrEx>
        <w:trPr>
          <w:trHeight w:val="362" w:hRule="atLeast"/>
        </w:trPr>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16F77C">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C513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本年支出合计</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3262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1BB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087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上缴上级支出</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CFC2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经营支出</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30F0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对附属单位补助支出</w:t>
            </w:r>
          </w:p>
        </w:tc>
      </w:tr>
      <w:tr w14:paraId="65D0ADBD">
        <w:tblPrEx>
          <w:tblCellMar>
            <w:top w:w="0" w:type="dxa"/>
            <w:left w:w="0" w:type="dxa"/>
            <w:bottom w:w="0" w:type="dxa"/>
            <w:right w:w="0" w:type="dxa"/>
          </w:tblCellMar>
        </w:tblPrEx>
        <w:trPr>
          <w:trHeight w:val="338" w:hRule="atLeast"/>
        </w:trPr>
        <w:tc>
          <w:tcPr>
            <w:tcW w:w="104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590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297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043B8F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B11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1BCB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135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E85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5E5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F3BE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16500640">
        <w:tblPrEx>
          <w:tblCellMar>
            <w:top w:w="0" w:type="dxa"/>
            <w:left w:w="0" w:type="dxa"/>
            <w:bottom w:w="0" w:type="dxa"/>
            <w:right w:w="0" w:type="dxa"/>
          </w:tblCellMar>
        </w:tblPrEx>
        <w:trPr>
          <w:trHeight w:val="338" w:hRule="atLeast"/>
        </w:trPr>
        <w:tc>
          <w:tcPr>
            <w:tcW w:w="1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71C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97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C144C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B833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936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F0E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E4E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1A40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7F4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50B5D65B">
        <w:tblPrEx>
          <w:tblCellMar>
            <w:top w:w="0" w:type="dxa"/>
            <w:left w:w="0" w:type="dxa"/>
            <w:bottom w:w="0" w:type="dxa"/>
            <w:right w:w="0" w:type="dxa"/>
          </w:tblCellMar>
        </w:tblPrEx>
        <w:trPr>
          <w:trHeight w:val="338" w:hRule="atLeast"/>
        </w:trPr>
        <w:tc>
          <w:tcPr>
            <w:tcW w:w="1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9B4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97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15FCE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73B1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F59F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BF8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C3F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22F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137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68DDC67D">
        <w:tblPrEx>
          <w:tblCellMar>
            <w:top w:w="0" w:type="dxa"/>
            <w:left w:w="0" w:type="dxa"/>
            <w:bottom w:w="0" w:type="dxa"/>
            <w:right w:w="0" w:type="dxa"/>
          </w:tblCellMar>
        </w:tblPrEx>
        <w:trPr>
          <w:trHeight w:val="338" w:hRule="atLeast"/>
        </w:trPr>
        <w:tc>
          <w:tcPr>
            <w:tcW w:w="10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5A7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97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8D4C4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BC6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9F3E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872C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0B8B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5613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477B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3C981FC9">
        <w:tblPrEx>
          <w:tblCellMar>
            <w:top w:w="0" w:type="dxa"/>
            <w:left w:w="0" w:type="dxa"/>
            <w:bottom w:w="0" w:type="dxa"/>
            <w:right w:w="0" w:type="dxa"/>
          </w:tblCellMar>
        </w:tblPrEx>
        <w:trPr>
          <w:trHeight w:val="362" w:hRule="atLeast"/>
        </w:trPr>
        <w:tc>
          <w:tcPr>
            <w:tcW w:w="4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097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8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AAC8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88.65</w:t>
            </w:r>
            <w:r>
              <w:rPr>
                <w:rFonts w:hint="default" w:ascii="Times New Roman" w:hAnsi="Times New Roman" w:cs="Times New Roman"/>
                <w:b/>
                <w:color w:val="auto"/>
                <w:sz w:val="20"/>
                <w:u w:color="auto"/>
              </w:rPr>
              <w:t xml:space="preserve"> </w:t>
            </w: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D317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88.65</w:t>
            </w:r>
            <w:r>
              <w:rPr>
                <w:rFonts w:hint="default" w:ascii="Times New Roman" w:hAnsi="Times New Roman" w:cs="Times New Roman"/>
                <w:b/>
                <w:color w:val="auto"/>
                <w:sz w:val="20"/>
                <w:u w:color="auto"/>
              </w:rPr>
              <w:t xml:space="preserve"> </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F9E0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8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1BC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6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35E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8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3310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r w14:paraId="1BF5047B">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E7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207</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173D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文化旅游体育与传媒支出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689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A88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D62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F38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CAB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35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98B2272">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6C5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20701</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9892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文化和旅游</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966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FBB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9DC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FF7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F92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9BD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13DE22D">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7E8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2070109</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354C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群众文化</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BE4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70.30</w:t>
            </w:r>
            <w:r>
              <w:rPr>
                <w:rFonts w:hint="default" w:ascii="Times New Roman" w:hAnsi="Times New Roman" w:cs="Times New Roman"/>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656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70.30</w:t>
            </w:r>
            <w:r>
              <w:rPr>
                <w:rFonts w:hint="default" w:ascii="Times New Roman" w:hAnsi="Times New Roman" w:cs="Times New Roman"/>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FE3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F1B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821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1A9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2A311C9">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2F0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2E5E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C8A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96B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0AF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753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0F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58A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B252732">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768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1A7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64AA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5E3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EF0C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6CD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AA9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7E6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B14C66D">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3FE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E058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EB7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4.07</w:t>
            </w:r>
            <w:r>
              <w:rPr>
                <w:rFonts w:hint="default" w:ascii="Times New Roman" w:hAnsi="Times New Roman" w:cs="Times New Roman"/>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269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4.07</w:t>
            </w:r>
            <w:r>
              <w:rPr>
                <w:rFonts w:hint="default" w:ascii="Times New Roman" w:hAnsi="Times New Roman" w:cs="Times New Roman"/>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A92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2DA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351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BAA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C0282B2">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D5F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6693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632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3.54</w:t>
            </w:r>
            <w:r>
              <w:rPr>
                <w:rFonts w:hint="default" w:ascii="Times New Roman" w:hAnsi="Times New Roman" w:cs="Times New Roman"/>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B92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3.54</w:t>
            </w:r>
            <w:r>
              <w:rPr>
                <w:rFonts w:hint="default" w:ascii="Times New Roman" w:hAnsi="Times New Roman" w:cs="Times New Roman"/>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C2E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D88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C74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BCB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D5FEF77">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679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07A2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A41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315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2FA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09B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1DE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37D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E894BB9">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CFB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39F0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455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211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7A4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EA4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87B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5EF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CCC309D">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710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8F5A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368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E69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484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5E4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AF6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F17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C1D9EE2">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404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D45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DF8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2.16</w:t>
            </w:r>
            <w:r>
              <w:rPr>
                <w:rFonts w:hint="default" w:ascii="Times New Roman" w:hAnsi="Times New Roman" w:cs="Times New Roman"/>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447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2.16</w:t>
            </w:r>
            <w:r>
              <w:rPr>
                <w:rFonts w:hint="default" w:ascii="Times New Roman" w:hAnsi="Times New Roman" w:cs="Times New Roman"/>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13B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917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36D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A70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8D6B3AE">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B35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6118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344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1.18</w:t>
            </w:r>
            <w:r>
              <w:rPr>
                <w:rFonts w:hint="default" w:ascii="Times New Roman" w:hAnsi="Times New Roman" w:cs="Times New Roman"/>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A40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1.18</w:t>
            </w:r>
            <w:r>
              <w:rPr>
                <w:rFonts w:hint="default" w:ascii="Times New Roman" w:hAnsi="Times New Roman" w:cs="Times New Roman"/>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EB7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8E9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56A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12E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5544962">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F4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DC14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9D6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E19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8B7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C3B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BB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3CD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F0F215E">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1C9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A41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9F1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E98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BC5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6A6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4EB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89C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AEE64C3">
        <w:tblPrEx>
          <w:tblCellMar>
            <w:top w:w="0" w:type="dxa"/>
            <w:left w:w="0" w:type="dxa"/>
            <w:bottom w:w="0" w:type="dxa"/>
            <w:right w:w="0" w:type="dxa"/>
          </w:tblCellMar>
        </w:tblPrEx>
        <w:trPr>
          <w:trHeight w:val="382" w:hRule="atLeast"/>
        </w:trPr>
        <w:tc>
          <w:tcPr>
            <w:tcW w:w="10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197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29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A169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55D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4.33</w:t>
            </w:r>
            <w:r>
              <w:rPr>
                <w:rFonts w:hint="default" w:ascii="Times New Roman" w:hAnsi="Times New Roman" w:cs="Times New Roman"/>
                <w:color w:val="auto"/>
                <w:sz w:val="20"/>
                <w:u w:color="auto"/>
              </w:rPr>
              <w:t xml:space="preserve">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57C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4.33</w:t>
            </w:r>
            <w:r>
              <w:rPr>
                <w:rFonts w:hint="default" w:ascii="Times New Roman" w:hAnsi="Times New Roman" w:cs="Times New Roman"/>
                <w:color w:val="auto"/>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7A7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3B6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46C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931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bl>
    <w:p w14:paraId="78F00EE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备注：1.本表反映单位本年度各项支出情况。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6B8F570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p w14:paraId="56EE3C9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p>
    <w:tbl>
      <w:tblPr>
        <w:tblStyle w:val="9"/>
        <w:tblW w:w="8876" w:type="dxa"/>
        <w:tblInd w:w="0" w:type="dxa"/>
        <w:shd w:val="clear" w:color="auto" w:fill="auto"/>
        <w:tblLayout w:type="fixed"/>
        <w:tblCellMar>
          <w:top w:w="0" w:type="dxa"/>
          <w:left w:w="0" w:type="dxa"/>
          <w:bottom w:w="0" w:type="dxa"/>
          <w:right w:w="0" w:type="dxa"/>
        </w:tblCellMar>
      </w:tblPr>
      <w:tblGrid>
        <w:gridCol w:w="2465"/>
        <w:gridCol w:w="696"/>
        <w:gridCol w:w="2113"/>
        <w:gridCol w:w="765"/>
        <w:gridCol w:w="941"/>
        <w:gridCol w:w="1076"/>
        <w:gridCol w:w="820"/>
      </w:tblGrid>
      <w:tr w14:paraId="1EC3A2BE">
        <w:tblPrEx>
          <w:shd w:val="clear" w:color="auto" w:fill="auto"/>
          <w:tblCellMar>
            <w:top w:w="0" w:type="dxa"/>
            <w:left w:w="0" w:type="dxa"/>
            <w:bottom w:w="0" w:type="dxa"/>
            <w:right w:w="0" w:type="dxa"/>
          </w:tblCellMar>
        </w:tblPrEx>
        <w:trPr>
          <w:trHeight w:val="90" w:hRule="atLeast"/>
        </w:trPr>
        <w:tc>
          <w:tcPr>
            <w:tcW w:w="8876" w:type="dxa"/>
            <w:gridSpan w:val="7"/>
            <w:tcBorders>
              <w:top w:val="nil"/>
              <w:left w:val="nil"/>
              <w:bottom w:val="nil"/>
              <w:right w:val="nil"/>
            </w:tcBorders>
            <w:shd w:val="clear" w:color="auto" w:fill="auto"/>
            <w:noWrap/>
            <w:tcMar>
              <w:top w:w="15" w:type="dxa"/>
              <w:left w:w="15" w:type="dxa"/>
              <w:right w:w="15" w:type="dxa"/>
            </w:tcMar>
            <w:vAlign w:val="bottom"/>
          </w:tcPr>
          <w:p w14:paraId="1B80891F">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财政拨款收入支出决算总表</w:t>
            </w:r>
          </w:p>
        </w:tc>
      </w:tr>
      <w:tr w14:paraId="66786BB7">
        <w:tblPrEx>
          <w:tblCellMar>
            <w:top w:w="0" w:type="dxa"/>
            <w:left w:w="0" w:type="dxa"/>
            <w:bottom w:w="0" w:type="dxa"/>
            <w:right w:w="0" w:type="dxa"/>
          </w:tblCellMar>
        </w:tblPrEx>
        <w:trPr>
          <w:trHeight w:val="90" w:hRule="atLeast"/>
        </w:trPr>
        <w:tc>
          <w:tcPr>
            <w:tcW w:w="6039" w:type="dxa"/>
            <w:gridSpan w:val="4"/>
            <w:vMerge w:val="restart"/>
            <w:tcBorders>
              <w:top w:val="nil"/>
              <w:left w:val="nil"/>
              <w:right w:val="nil"/>
            </w:tcBorders>
            <w:shd w:val="clear" w:color="auto" w:fill="auto"/>
            <w:noWrap/>
            <w:tcMar>
              <w:top w:w="15" w:type="dxa"/>
              <w:left w:w="15" w:type="dxa"/>
              <w:right w:w="15" w:type="dxa"/>
            </w:tcMar>
            <w:vAlign w:val="bottom"/>
          </w:tcPr>
          <w:p w14:paraId="51CACB4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重庆市荣昌区广顺街道社区文化服务中心</w:t>
            </w:r>
          </w:p>
        </w:tc>
        <w:tc>
          <w:tcPr>
            <w:tcW w:w="941" w:type="dxa"/>
            <w:tcBorders>
              <w:top w:val="nil"/>
              <w:left w:val="nil"/>
              <w:bottom w:val="nil"/>
              <w:right w:val="nil"/>
            </w:tcBorders>
            <w:shd w:val="clear" w:color="auto" w:fill="auto"/>
            <w:noWrap/>
            <w:tcMar>
              <w:top w:w="15" w:type="dxa"/>
              <w:left w:w="15" w:type="dxa"/>
              <w:right w:w="15" w:type="dxa"/>
            </w:tcMar>
            <w:vAlign w:val="bottom"/>
          </w:tcPr>
          <w:p w14:paraId="799FAF7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896" w:type="dxa"/>
            <w:gridSpan w:val="2"/>
            <w:tcBorders>
              <w:top w:val="nil"/>
              <w:left w:val="nil"/>
              <w:bottom w:val="nil"/>
              <w:right w:val="nil"/>
            </w:tcBorders>
            <w:shd w:val="clear" w:color="auto" w:fill="auto"/>
            <w:noWrap/>
            <w:tcMar>
              <w:top w:w="15" w:type="dxa"/>
              <w:left w:w="15" w:type="dxa"/>
              <w:right w:w="15" w:type="dxa"/>
            </w:tcMar>
            <w:vAlign w:val="bottom"/>
          </w:tcPr>
          <w:p w14:paraId="1BB92233">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公开04表</w:t>
            </w:r>
          </w:p>
        </w:tc>
      </w:tr>
      <w:tr w14:paraId="04206B8D">
        <w:tblPrEx>
          <w:tblCellMar>
            <w:top w:w="0" w:type="dxa"/>
            <w:left w:w="0" w:type="dxa"/>
            <w:bottom w:w="0" w:type="dxa"/>
            <w:right w:w="0" w:type="dxa"/>
          </w:tblCellMar>
        </w:tblPrEx>
        <w:trPr>
          <w:trHeight w:val="90" w:hRule="atLeast"/>
        </w:trPr>
        <w:tc>
          <w:tcPr>
            <w:tcW w:w="6039" w:type="dxa"/>
            <w:gridSpan w:val="4"/>
            <w:vMerge w:val="continue"/>
            <w:tcBorders>
              <w:left w:val="nil"/>
              <w:bottom w:val="nil"/>
              <w:right w:val="nil"/>
            </w:tcBorders>
            <w:shd w:val="clear" w:color="auto" w:fill="auto"/>
            <w:noWrap/>
            <w:tcMar>
              <w:top w:w="15" w:type="dxa"/>
              <w:left w:w="15" w:type="dxa"/>
              <w:right w:w="15" w:type="dxa"/>
            </w:tcMar>
            <w:vAlign w:val="bottom"/>
          </w:tcPr>
          <w:p w14:paraId="52E8BBD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41" w:type="dxa"/>
            <w:tcBorders>
              <w:top w:val="nil"/>
              <w:left w:val="nil"/>
              <w:bottom w:val="nil"/>
              <w:right w:val="nil"/>
            </w:tcBorders>
            <w:shd w:val="clear" w:color="auto" w:fill="auto"/>
            <w:noWrap/>
            <w:tcMar>
              <w:top w:w="15" w:type="dxa"/>
              <w:left w:w="15" w:type="dxa"/>
              <w:right w:w="15" w:type="dxa"/>
            </w:tcMar>
            <w:vAlign w:val="bottom"/>
          </w:tcPr>
          <w:p w14:paraId="038221A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896" w:type="dxa"/>
            <w:gridSpan w:val="2"/>
            <w:tcBorders>
              <w:top w:val="nil"/>
              <w:left w:val="nil"/>
              <w:bottom w:val="nil"/>
              <w:right w:val="nil"/>
            </w:tcBorders>
            <w:shd w:val="clear" w:color="auto" w:fill="auto"/>
            <w:noWrap/>
            <w:tcMar>
              <w:top w:w="15" w:type="dxa"/>
              <w:left w:w="15" w:type="dxa"/>
              <w:right w:w="15" w:type="dxa"/>
            </w:tcMar>
            <w:vAlign w:val="bottom"/>
          </w:tcPr>
          <w:p w14:paraId="33D2A5B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2B5A6236">
        <w:tblPrEx>
          <w:tblCellMar>
            <w:top w:w="0" w:type="dxa"/>
            <w:left w:w="0" w:type="dxa"/>
            <w:bottom w:w="0" w:type="dxa"/>
            <w:right w:w="0" w:type="dxa"/>
          </w:tblCellMar>
        </w:tblPrEx>
        <w:trPr>
          <w:trHeight w:val="90" w:hRule="atLeast"/>
        </w:trPr>
        <w:tc>
          <w:tcPr>
            <w:tcW w:w="31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0B5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收     入</w:t>
            </w:r>
          </w:p>
        </w:tc>
        <w:tc>
          <w:tcPr>
            <w:tcW w:w="57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340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支     出</w:t>
            </w:r>
          </w:p>
        </w:tc>
      </w:tr>
      <w:tr w14:paraId="4BBD032D">
        <w:tblPrEx>
          <w:tblCellMar>
            <w:top w:w="0" w:type="dxa"/>
            <w:left w:w="0" w:type="dxa"/>
            <w:bottom w:w="0" w:type="dxa"/>
            <w:right w:w="0" w:type="dxa"/>
          </w:tblCellMar>
        </w:tblPrEx>
        <w:trPr>
          <w:trHeight w:val="90" w:hRule="atLeast"/>
        </w:trPr>
        <w:tc>
          <w:tcPr>
            <w:tcW w:w="2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EDE1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项目</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B5D4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决算数</w:t>
            </w:r>
          </w:p>
        </w:tc>
        <w:tc>
          <w:tcPr>
            <w:tcW w:w="21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97F5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功能分类科目</w:t>
            </w:r>
          </w:p>
        </w:tc>
        <w:tc>
          <w:tcPr>
            <w:tcW w:w="360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D404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决算数</w:t>
            </w:r>
          </w:p>
        </w:tc>
      </w:tr>
      <w:tr w14:paraId="70FE27B6">
        <w:tblPrEx>
          <w:tblCellMar>
            <w:top w:w="0" w:type="dxa"/>
            <w:left w:w="0" w:type="dxa"/>
            <w:bottom w:w="0" w:type="dxa"/>
            <w:right w:w="0" w:type="dxa"/>
          </w:tblCellMar>
        </w:tblPrEx>
        <w:trPr>
          <w:trHeight w:val="90" w:hRule="atLeast"/>
        </w:trPr>
        <w:tc>
          <w:tcPr>
            <w:tcW w:w="2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404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47C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21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7B25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57C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小计</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B5F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一般公共预算财政拨款</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40B5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政府性基金预算财政拨款</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70F8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国有资本经营预算财政拨款</w:t>
            </w:r>
          </w:p>
        </w:tc>
      </w:tr>
      <w:tr w14:paraId="372AE5B1">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487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一、一般公共预算财政拨款</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D6F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88.65</w:t>
            </w:r>
            <w:r>
              <w:rPr>
                <w:rFonts w:hint="default" w:ascii="Times New Roman" w:hAnsi="Times New Roman" w:cs="Times New Roman"/>
                <w:color w:val="auto"/>
                <w:sz w:val="18"/>
                <w:u w:color="auto"/>
              </w:rPr>
              <w:t xml:space="preserve">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5F8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一、一般公共服务支出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546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11A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16F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E52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8EB7CB0">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D29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二、政府性基金预算财政拨款</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E4A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7FF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二、外交支出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A2F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609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134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77F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14EC267">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E38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三、国有资本经营预算财政拨款</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44F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3D9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三、国防支出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4FB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AAF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843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3F8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8ADF797">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B22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64F33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49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四、公共安全支出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89D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755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130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B1B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2252371">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7C2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BE695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D21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五、教育支出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B8E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BE8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A8D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8F5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4290B84">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444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EDF6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7F2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六、科学技术支出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041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AE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C2F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D71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D23DBA3">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318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D3DCB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1BF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七、文化旅游体育与传媒支出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340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70.30</w:t>
            </w: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5A8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70.30</w:t>
            </w: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3D5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C0B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CD84E4C">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F17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2A75F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748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八、社会保障和就业支出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4A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10.66</w:t>
            </w: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78C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10.66</w:t>
            </w: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59F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A0A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723E22A">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AADC">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7DB09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331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九、卫生健康支出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D06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3.35</w:t>
            </w: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664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3.35</w:t>
            </w: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17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2FE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2686F13">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D20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2EA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241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十、节能环保支出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839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5B9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8FF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A70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F9AA232">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497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F1B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6EF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十一、城乡社区支出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915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112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A0F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A8B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DD4ABAD">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5F6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703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81E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十二、农林水支出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95C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B03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31C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55D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EC6ED81">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4CD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8CC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471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十三、交通运输支出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344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FDC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DDB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D57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D47E138">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BF0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903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BC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十四、资源勘探工业信息等支出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179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9B4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E85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43D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C240334">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C78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E7B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508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十五、商业服务业等支出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8CC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E1F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37C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1C0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7C3AF74">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D91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8672">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C5F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十六、金融支出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90E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4CC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C8D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B7B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EA7030A">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E72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C27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6AB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十七、援助其他地区支出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B71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1A0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2C8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89A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6F70DCF">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226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4EA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37F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十八、自然资源海洋气象等支出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760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D79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9DF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798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5B05D8C">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1BF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8ED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9C2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十九、住房保障支出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9C1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4.33</w:t>
            </w: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958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4.33</w:t>
            </w: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981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CD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CC71F7A">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9AF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87EA">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8B8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二十、粮油物资储备支出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774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158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244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12D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F4F52A7">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BCB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589E">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56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二十一、国有资本经营预算支出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B75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4C4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C99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DBB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89345D1">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5A2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840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CA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二十二、灾害防治及应急管理支出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67A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EAB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DEB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2A0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B476FC8">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FCE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DAC3">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FFB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二十三、其他支出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89D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734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98F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E8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384D31F">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FA482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26DF">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B07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二十四、债务还本支出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94A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AF9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37D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EF5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3A2B014">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0E3CF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1D7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F51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二十五、债务付息支出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EBA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9DD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E8B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0BB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7B2BD17">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0A6DB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D771">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D54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二十六、抗疫特别国债安排的支出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AAD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844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AAC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BC4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F9D7F77">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5E2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本年收入合计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6E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88.65</w:t>
            </w:r>
            <w:r>
              <w:rPr>
                <w:rFonts w:hint="default" w:ascii="Times New Roman" w:hAnsi="Times New Roman" w:cs="Times New Roman"/>
                <w:color w:val="auto"/>
                <w:sz w:val="18"/>
                <w:u w:color="auto"/>
              </w:rPr>
              <w:t xml:space="preserve">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3F9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本年支出合计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0C6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88.65</w:t>
            </w: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D58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88.65</w:t>
            </w: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132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7EF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0B6D135">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4DE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年初财政拨款结转和结余</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203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C3C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年末财政拨款结转和结余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1BC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C4A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234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26B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2F4DB3C">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0DC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一般公共预算财政拨款</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E1C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415E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F99D0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D24F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DAFA3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20E14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r>
      <w:tr w14:paraId="07476CCF">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563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政府性基金预算财政拨款</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66D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EF8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5AB9">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A933">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E5B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C94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00934621">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8C9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国有资本经营预算财政拨款</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816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359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D68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586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620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7DD6">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5A9B290D">
        <w:tblPrEx>
          <w:tblCellMar>
            <w:top w:w="0" w:type="dxa"/>
            <w:left w:w="0" w:type="dxa"/>
            <w:bottom w:w="0" w:type="dxa"/>
            <w:right w:w="0" w:type="dxa"/>
          </w:tblCellMar>
        </w:tblPrEx>
        <w:trPr>
          <w:trHeight w:val="90" w:hRule="atLeast"/>
        </w:trPr>
        <w:tc>
          <w:tcPr>
            <w:tcW w:w="2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EF3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总计</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2B3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88.65</w:t>
            </w:r>
            <w:r>
              <w:rPr>
                <w:rFonts w:hint="default" w:ascii="Times New Roman" w:hAnsi="Times New Roman" w:cs="Times New Roman"/>
                <w:color w:val="auto"/>
                <w:sz w:val="18"/>
                <w:u w:color="auto"/>
              </w:rPr>
              <w:t xml:space="preserve">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5AF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总计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A2A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88.65</w:t>
            </w:r>
            <w:r>
              <w:rPr>
                <w:rFonts w:hint="default" w:ascii="Times New Roman" w:hAnsi="Times New Roman" w:cs="Times New Roman"/>
                <w:color w:val="auto"/>
                <w:sz w:val="18"/>
                <w:u w:color="auto"/>
              </w:rPr>
              <w:t xml:space="preserve"> </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764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88.65</w:t>
            </w:r>
            <w:r>
              <w:rPr>
                <w:rFonts w:hint="default" w:ascii="Times New Roman" w:hAnsi="Times New Roman" w:cs="Times New Roman"/>
                <w:color w:val="auto"/>
                <w:sz w:val="18"/>
                <w:u w:color="auto"/>
              </w:rPr>
              <w:t xml:space="preserve">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970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AB9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bl>
    <w:p w14:paraId="1229396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1"/>
          <w:szCs w:val="21"/>
        </w:rPr>
        <w:br w:type="page"/>
      </w:r>
    </w:p>
    <w:tbl>
      <w:tblPr>
        <w:tblStyle w:val="9"/>
        <w:tblW w:w="8876" w:type="dxa"/>
        <w:tblInd w:w="0" w:type="dxa"/>
        <w:shd w:val="clear" w:color="auto" w:fill="auto"/>
        <w:tblLayout w:type="fixed"/>
        <w:tblCellMar>
          <w:top w:w="0" w:type="dxa"/>
          <w:left w:w="0" w:type="dxa"/>
          <w:bottom w:w="0" w:type="dxa"/>
          <w:right w:w="0" w:type="dxa"/>
        </w:tblCellMar>
      </w:tblPr>
      <w:tblGrid>
        <w:gridCol w:w="1072"/>
        <w:gridCol w:w="2457"/>
        <w:gridCol w:w="1507"/>
        <w:gridCol w:w="1915"/>
        <w:gridCol w:w="1"/>
        <w:gridCol w:w="1924"/>
      </w:tblGrid>
      <w:tr w14:paraId="0D58185C">
        <w:tblPrEx>
          <w:shd w:val="clear" w:color="auto" w:fill="auto"/>
          <w:tblCellMar>
            <w:top w:w="0" w:type="dxa"/>
            <w:left w:w="0" w:type="dxa"/>
            <w:bottom w:w="0" w:type="dxa"/>
            <w:right w:w="0" w:type="dxa"/>
          </w:tblCellMar>
        </w:tblPrEx>
        <w:trPr>
          <w:trHeight w:val="759" w:hRule="atLeast"/>
        </w:trPr>
        <w:tc>
          <w:tcPr>
            <w:tcW w:w="8876" w:type="dxa"/>
            <w:gridSpan w:val="6"/>
            <w:tcBorders>
              <w:top w:val="nil"/>
              <w:left w:val="nil"/>
              <w:bottom w:val="nil"/>
              <w:right w:val="nil"/>
            </w:tcBorders>
            <w:shd w:val="clear" w:color="auto" w:fill="auto"/>
            <w:noWrap/>
            <w:tcMar>
              <w:top w:w="15" w:type="dxa"/>
              <w:left w:w="15" w:type="dxa"/>
              <w:right w:w="15" w:type="dxa"/>
            </w:tcMar>
            <w:vAlign w:val="bottom"/>
          </w:tcPr>
          <w:p w14:paraId="269D4134">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一般公共预算财政拨款支出决算表</w:t>
            </w:r>
          </w:p>
        </w:tc>
      </w:tr>
      <w:tr w14:paraId="33AE8515">
        <w:tblPrEx>
          <w:tblCellMar>
            <w:top w:w="0" w:type="dxa"/>
            <w:left w:w="0" w:type="dxa"/>
            <w:bottom w:w="0" w:type="dxa"/>
            <w:right w:w="0" w:type="dxa"/>
          </w:tblCellMar>
        </w:tblPrEx>
        <w:trPr>
          <w:trHeight w:val="255" w:hRule="atLeast"/>
        </w:trPr>
        <w:tc>
          <w:tcPr>
            <w:tcW w:w="6952" w:type="dxa"/>
            <w:gridSpan w:val="5"/>
            <w:vMerge w:val="restart"/>
            <w:tcBorders>
              <w:top w:val="nil"/>
              <w:left w:val="nil"/>
              <w:right w:val="nil"/>
            </w:tcBorders>
            <w:shd w:val="clear" w:color="auto" w:fill="auto"/>
            <w:noWrap/>
            <w:tcMar>
              <w:top w:w="15" w:type="dxa"/>
              <w:left w:w="15" w:type="dxa"/>
              <w:right w:w="15" w:type="dxa"/>
            </w:tcMar>
            <w:vAlign w:val="bottom"/>
          </w:tcPr>
          <w:p w14:paraId="5E2A166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重庆市荣昌区广顺街道社区文化服务中心</w:t>
            </w:r>
          </w:p>
        </w:tc>
        <w:tc>
          <w:tcPr>
            <w:tcW w:w="1924" w:type="dxa"/>
            <w:tcBorders>
              <w:top w:val="nil"/>
              <w:left w:val="nil"/>
              <w:bottom w:val="nil"/>
              <w:right w:val="nil"/>
            </w:tcBorders>
            <w:shd w:val="clear" w:color="auto" w:fill="auto"/>
            <w:noWrap/>
            <w:tcMar>
              <w:top w:w="15" w:type="dxa"/>
              <w:left w:w="15" w:type="dxa"/>
              <w:right w:w="15" w:type="dxa"/>
            </w:tcMar>
            <w:vAlign w:val="bottom"/>
          </w:tcPr>
          <w:p w14:paraId="03FA2FB5">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公开05表</w:t>
            </w:r>
          </w:p>
        </w:tc>
      </w:tr>
      <w:tr w14:paraId="33577929">
        <w:tblPrEx>
          <w:tblCellMar>
            <w:top w:w="0" w:type="dxa"/>
            <w:left w:w="0" w:type="dxa"/>
            <w:bottom w:w="0" w:type="dxa"/>
            <w:right w:w="0" w:type="dxa"/>
          </w:tblCellMar>
        </w:tblPrEx>
        <w:trPr>
          <w:trHeight w:val="285" w:hRule="atLeast"/>
        </w:trPr>
        <w:tc>
          <w:tcPr>
            <w:tcW w:w="6952" w:type="dxa"/>
            <w:gridSpan w:val="5"/>
            <w:vMerge w:val="continue"/>
            <w:tcBorders>
              <w:left w:val="nil"/>
              <w:bottom w:val="nil"/>
              <w:right w:val="nil"/>
            </w:tcBorders>
            <w:shd w:val="clear" w:color="auto" w:fill="auto"/>
            <w:noWrap/>
            <w:tcMar>
              <w:top w:w="15" w:type="dxa"/>
              <w:left w:w="15" w:type="dxa"/>
              <w:right w:w="15" w:type="dxa"/>
            </w:tcMar>
            <w:vAlign w:val="bottom"/>
          </w:tcPr>
          <w:p w14:paraId="1F071B5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924" w:type="dxa"/>
            <w:tcBorders>
              <w:top w:val="nil"/>
              <w:left w:val="nil"/>
              <w:bottom w:val="nil"/>
              <w:right w:val="nil"/>
            </w:tcBorders>
            <w:shd w:val="clear" w:color="auto" w:fill="auto"/>
            <w:noWrap/>
            <w:tcMar>
              <w:top w:w="15" w:type="dxa"/>
              <w:left w:w="15" w:type="dxa"/>
              <w:right w:w="15" w:type="dxa"/>
            </w:tcMar>
            <w:vAlign w:val="bottom"/>
          </w:tcPr>
          <w:p w14:paraId="0BC6CFE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35F6BECA">
        <w:tblPrEx>
          <w:tblCellMar>
            <w:top w:w="0" w:type="dxa"/>
            <w:left w:w="0" w:type="dxa"/>
            <w:bottom w:w="0" w:type="dxa"/>
            <w:right w:w="0" w:type="dxa"/>
          </w:tblCellMar>
        </w:tblPrEx>
        <w:trPr>
          <w:trHeight w:val="308" w:hRule="atLeast"/>
        </w:trPr>
        <w:tc>
          <w:tcPr>
            <w:tcW w:w="35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FC5A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5347"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353C9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w:t>
            </w:r>
          </w:p>
        </w:tc>
      </w:tr>
      <w:tr w14:paraId="53B59302">
        <w:tblPrEx>
          <w:tblCellMar>
            <w:top w:w="0" w:type="dxa"/>
            <w:left w:w="0" w:type="dxa"/>
            <w:bottom w:w="0" w:type="dxa"/>
            <w:right w:w="0" w:type="dxa"/>
          </w:tblCellMar>
        </w:tblPrEx>
        <w:trPr>
          <w:trHeight w:val="326" w:hRule="atLeast"/>
        </w:trPr>
        <w:tc>
          <w:tcPr>
            <w:tcW w:w="10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5B99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24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0621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15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B30B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19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BD9E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192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137B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r>
      <w:tr w14:paraId="714ABB4F">
        <w:tblPrEx>
          <w:tblCellMar>
            <w:top w:w="0" w:type="dxa"/>
            <w:left w:w="0" w:type="dxa"/>
            <w:bottom w:w="0" w:type="dxa"/>
            <w:right w:w="0" w:type="dxa"/>
          </w:tblCellMar>
        </w:tblPrEx>
        <w:trPr>
          <w:trHeight w:val="326" w:hRule="atLeast"/>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439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4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4836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0D62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55C9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92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4F12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6C1507C7">
        <w:tblPrEx>
          <w:tblCellMar>
            <w:top w:w="0" w:type="dxa"/>
            <w:left w:w="0" w:type="dxa"/>
            <w:bottom w:w="0" w:type="dxa"/>
            <w:right w:w="0" w:type="dxa"/>
          </w:tblCellMar>
        </w:tblPrEx>
        <w:trPr>
          <w:trHeight w:val="615" w:hRule="atLeast"/>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B831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4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36AB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A32F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9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6573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92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AEFA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1E01B29D">
        <w:tblPrEx>
          <w:tblCellMar>
            <w:top w:w="0" w:type="dxa"/>
            <w:left w:w="0" w:type="dxa"/>
            <w:bottom w:w="0" w:type="dxa"/>
            <w:right w:w="0" w:type="dxa"/>
          </w:tblCellMar>
        </w:tblPrEx>
        <w:trPr>
          <w:trHeight w:val="308" w:hRule="atLeast"/>
        </w:trPr>
        <w:tc>
          <w:tcPr>
            <w:tcW w:w="352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0867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9426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88.65</w:t>
            </w:r>
            <w:r>
              <w:rPr>
                <w:rFonts w:hint="default" w:ascii="Times New Roman" w:hAnsi="Times New Roman" w:cs="Times New Roman"/>
                <w:b/>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29E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bCs/>
                <w:color w:val="auto"/>
                <w:sz w:val="20"/>
                <w:szCs w:val="20"/>
              </w:rPr>
              <w:t>88.65</w:t>
            </w:r>
            <w:r>
              <w:rPr>
                <w:rFonts w:hint="default" w:ascii="Times New Roman" w:hAnsi="Times New Roman" w:cs="Times New Roman"/>
                <w:b/>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2361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r w14:paraId="03ABC4F0">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EC2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207</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8060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文化旅游体育与传媒支出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34E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C434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B034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3423A9F6">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01D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20701</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3731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文化和旅游</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C389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9EB8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70.30</w:t>
            </w:r>
            <w:r>
              <w:rPr>
                <w:rFonts w:hint="default" w:ascii="Times New Roman" w:hAnsi="Times New Roman" w:cs="Times New Roman"/>
                <w:b/>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DD88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2ABFB689">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9CF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2070109</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FF3E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群众文化</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3DCB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70.30</w:t>
            </w:r>
            <w:r>
              <w:rPr>
                <w:rFonts w:hint="default" w:ascii="Times New Roman" w:hAnsi="Times New Roman" w:cs="Times New Roman"/>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C950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70.30</w:t>
            </w:r>
            <w:r>
              <w:rPr>
                <w:rFonts w:hint="default" w:ascii="Times New Roman" w:hAnsi="Times New Roman" w:cs="Times New Roman"/>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8577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4947869C">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039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962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社会保障和就业支出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FA7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F03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470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13D2B29A">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504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20805</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0A2E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行政事业单位养老支出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500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8FA5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10.66</w:t>
            </w:r>
            <w:r>
              <w:rPr>
                <w:rFonts w:hint="default" w:ascii="Times New Roman" w:hAnsi="Times New Roman" w:cs="Times New Roman"/>
                <w:b/>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C68B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0B8DE82B">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783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2080505</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B60A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机关事业单位基本养老保险缴费支出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1E29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4.07</w:t>
            </w:r>
            <w:r>
              <w:rPr>
                <w:rFonts w:hint="default" w:ascii="Times New Roman" w:hAnsi="Times New Roman" w:cs="Times New Roman"/>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77FE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4.07</w:t>
            </w:r>
            <w:r>
              <w:rPr>
                <w:rFonts w:hint="default" w:ascii="Times New Roman" w:hAnsi="Times New Roman" w:cs="Times New Roman"/>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0CA4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072AA5E0">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3E8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2080506</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08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机关事业单位职业年金缴费支出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C594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3.54</w:t>
            </w:r>
            <w:r>
              <w:rPr>
                <w:rFonts w:hint="default" w:ascii="Times New Roman" w:hAnsi="Times New Roman" w:cs="Times New Roman"/>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BB93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3.54</w:t>
            </w:r>
            <w:r>
              <w:rPr>
                <w:rFonts w:hint="default" w:ascii="Times New Roman" w:hAnsi="Times New Roman" w:cs="Times New Roman"/>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2C48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64B696F0">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1F8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2080599</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9419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其他行政事业单位养老支出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E245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188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3.05</w:t>
            </w:r>
            <w:r>
              <w:rPr>
                <w:rFonts w:hint="default" w:ascii="Times New Roman" w:hAnsi="Times New Roman" w:cs="Times New Roman"/>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C2FD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15FB9951">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EE3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D0FB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卫生健康支出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4762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176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0F45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56F9112F">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1EF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21011</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5120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行政事业单位医疗</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838F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C5AD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3.35</w:t>
            </w:r>
            <w:r>
              <w:rPr>
                <w:rFonts w:hint="default" w:ascii="Times New Roman" w:hAnsi="Times New Roman" w:cs="Times New Roman"/>
                <w:b/>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087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1D440B13">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ACF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2101102</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D3E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事业单位医疗</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AB0C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2.16</w:t>
            </w:r>
            <w:r>
              <w:rPr>
                <w:rFonts w:hint="default" w:ascii="Times New Roman" w:hAnsi="Times New Roman" w:cs="Times New Roman"/>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6229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2.16</w:t>
            </w:r>
            <w:r>
              <w:rPr>
                <w:rFonts w:hint="default" w:ascii="Times New Roman" w:hAnsi="Times New Roman" w:cs="Times New Roman"/>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EC95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6E00867F">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009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2101199</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AC9D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其他行政事业单位医疗支出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44A4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1.18</w:t>
            </w:r>
            <w:r>
              <w:rPr>
                <w:rFonts w:hint="default" w:ascii="Times New Roman" w:hAnsi="Times New Roman" w:cs="Times New Roman"/>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C584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1.18</w:t>
            </w:r>
            <w:r>
              <w:rPr>
                <w:rFonts w:hint="default" w:ascii="Times New Roman" w:hAnsi="Times New Roman" w:cs="Times New Roman"/>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FF7A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12981339">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D60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9DFA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住房保障支出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7E4B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30C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310D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7B300FFF">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8EC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22102</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77A3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b/>
                <w:color w:val="auto"/>
                <w:sz w:val="20"/>
                <w:szCs w:val="20"/>
              </w:rPr>
              <w:t>住房改革支出</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C210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1DA5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4.33</w:t>
            </w:r>
            <w:r>
              <w:rPr>
                <w:rFonts w:hint="default" w:ascii="Times New Roman" w:hAnsi="Times New Roman" w:cs="Times New Roman"/>
                <w:b/>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AAA7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r w14:paraId="4B518F22">
        <w:tblPrEx>
          <w:tblCellMar>
            <w:top w:w="0" w:type="dxa"/>
            <w:left w:w="0" w:type="dxa"/>
            <w:bottom w:w="0" w:type="dxa"/>
            <w:right w:w="0" w:type="dxa"/>
          </w:tblCellMar>
        </w:tblPrEx>
        <w:trPr>
          <w:trHeight w:val="308"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673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2210201</w:t>
            </w:r>
          </w:p>
        </w:tc>
        <w:tc>
          <w:tcPr>
            <w:tcW w:w="24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4927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住房公积金</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9CA2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4.33</w:t>
            </w:r>
            <w:r>
              <w:rPr>
                <w:rFonts w:hint="default" w:ascii="Times New Roman" w:hAnsi="Times New Roman" w:cs="Times New Roman"/>
                <w:color w:val="auto"/>
                <w:sz w:val="20"/>
                <w:u w:color="auto"/>
              </w:rPr>
              <w:t xml:space="preserve"> </w:t>
            </w:r>
          </w:p>
        </w:tc>
        <w:tc>
          <w:tcPr>
            <w:tcW w:w="1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FBD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szCs w:val="20"/>
              </w:rPr>
              <w:t>4.33</w:t>
            </w:r>
            <w:r>
              <w:rPr>
                <w:rFonts w:hint="default" w:ascii="Times New Roman" w:hAnsi="Times New Roman" w:cs="Times New Roman"/>
                <w:color w:val="auto"/>
                <w:sz w:val="20"/>
                <w:u w:color="auto"/>
              </w:rPr>
              <w:t xml:space="preserve"> </w:t>
            </w:r>
          </w:p>
        </w:tc>
        <w:tc>
          <w:tcPr>
            <w:tcW w:w="19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436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color w:val="auto"/>
                <w:sz w:val="20"/>
                <w:u w:color="auto"/>
              </w:rPr>
              <w:t xml:space="preserve"> </w:t>
            </w:r>
          </w:p>
        </w:tc>
      </w:tr>
    </w:tbl>
    <w:p w14:paraId="2686DBB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备注：1.本表反映单位本年度一般公共预算财政拨款支出情况。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276CA44A">
      <w:pPr>
        <w:keepNext w:val="0"/>
        <w:keepLines w:val="0"/>
        <w:pageBreakBefore w:val="0"/>
        <w:widowControl/>
        <w:kinsoku/>
        <w:overflowPunct/>
        <w:topLinePunct w:val="0"/>
        <w:autoSpaceDE/>
        <w:autoSpaceDN/>
        <w:bidi w:val="0"/>
        <w:adjustRightInd/>
        <w:snapToGrid/>
        <w:spacing w:line="360" w:lineRule="exact"/>
        <w:ind w:firstLine="630" w:firstLineChars="3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9"/>
        <w:tblW w:w="8876" w:type="dxa"/>
        <w:tblInd w:w="0" w:type="dxa"/>
        <w:shd w:val="clear" w:color="auto" w:fill="auto"/>
        <w:tblLayout w:type="fixed"/>
        <w:tblCellMar>
          <w:top w:w="0" w:type="dxa"/>
          <w:left w:w="0" w:type="dxa"/>
          <w:bottom w:w="0" w:type="dxa"/>
          <w:right w:w="0" w:type="dxa"/>
        </w:tblCellMar>
      </w:tblPr>
      <w:tblGrid>
        <w:gridCol w:w="788"/>
        <w:gridCol w:w="1923"/>
        <w:gridCol w:w="627"/>
        <w:gridCol w:w="818"/>
        <w:gridCol w:w="1227"/>
        <w:gridCol w:w="546"/>
        <w:gridCol w:w="736"/>
        <w:gridCol w:w="1568"/>
        <w:gridCol w:w="643"/>
      </w:tblGrid>
      <w:tr w14:paraId="68136CEC">
        <w:tblPrEx>
          <w:shd w:val="clear" w:color="auto" w:fill="auto"/>
          <w:tblCellMar>
            <w:top w:w="0" w:type="dxa"/>
            <w:left w:w="0" w:type="dxa"/>
            <w:bottom w:w="0" w:type="dxa"/>
            <w:right w:w="0" w:type="dxa"/>
          </w:tblCellMar>
        </w:tblPrEx>
        <w:trPr>
          <w:trHeight w:val="553" w:hRule="atLeast"/>
        </w:trPr>
        <w:tc>
          <w:tcPr>
            <w:tcW w:w="8876" w:type="dxa"/>
            <w:gridSpan w:val="9"/>
            <w:tcBorders>
              <w:top w:val="nil"/>
              <w:left w:val="nil"/>
              <w:bottom w:val="nil"/>
              <w:right w:val="nil"/>
            </w:tcBorders>
            <w:shd w:val="clear" w:color="auto" w:fill="auto"/>
            <w:noWrap/>
            <w:tcMar>
              <w:top w:w="15" w:type="dxa"/>
              <w:left w:w="15" w:type="dxa"/>
              <w:right w:w="15" w:type="dxa"/>
            </w:tcMar>
            <w:vAlign w:val="bottom"/>
          </w:tcPr>
          <w:p w14:paraId="36AA25F1">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一般公共预算财政拨款基本支出决算表</w:t>
            </w:r>
          </w:p>
        </w:tc>
      </w:tr>
      <w:tr w14:paraId="4AA75A8C">
        <w:tblPrEx>
          <w:tblCellMar>
            <w:top w:w="0" w:type="dxa"/>
            <w:left w:w="0" w:type="dxa"/>
            <w:bottom w:w="0" w:type="dxa"/>
            <w:right w:w="0" w:type="dxa"/>
          </w:tblCellMar>
        </w:tblPrEx>
        <w:trPr>
          <w:trHeight w:val="90" w:hRule="atLeast"/>
        </w:trPr>
        <w:tc>
          <w:tcPr>
            <w:tcW w:w="5929" w:type="dxa"/>
            <w:gridSpan w:val="6"/>
            <w:vMerge w:val="restart"/>
            <w:tcBorders>
              <w:top w:val="nil"/>
              <w:left w:val="nil"/>
              <w:right w:val="nil"/>
            </w:tcBorders>
            <w:shd w:val="clear" w:color="auto" w:fill="auto"/>
            <w:noWrap/>
            <w:tcMar>
              <w:top w:w="15" w:type="dxa"/>
              <w:left w:w="15" w:type="dxa"/>
              <w:right w:w="15" w:type="dxa"/>
            </w:tcMar>
            <w:vAlign w:val="bottom"/>
          </w:tcPr>
          <w:p w14:paraId="48F7CC8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重庆市荣昌区广顺街道社区文化服务中心</w:t>
            </w:r>
          </w:p>
        </w:tc>
        <w:tc>
          <w:tcPr>
            <w:tcW w:w="736" w:type="dxa"/>
            <w:tcBorders>
              <w:top w:val="nil"/>
              <w:left w:val="nil"/>
              <w:bottom w:val="nil"/>
              <w:right w:val="nil"/>
            </w:tcBorders>
            <w:shd w:val="clear" w:color="auto" w:fill="auto"/>
            <w:noWrap/>
            <w:tcMar>
              <w:top w:w="15" w:type="dxa"/>
              <w:left w:w="15" w:type="dxa"/>
              <w:right w:w="15" w:type="dxa"/>
            </w:tcMar>
            <w:vAlign w:val="bottom"/>
          </w:tcPr>
          <w:p w14:paraId="59C2790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211" w:type="dxa"/>
            <w:gridSpan w:val="2"/>
            <w:tcBorders>
              <w:top w:val="nil"/>
              <w:left w:val="nil"/>
              <w:bottom w:val="nil"/>
              <w:right w:val="nil"/>
            </w:tcBorders>
            <w:shd w:val="clear" w:color="auto" w:fill="auto"/>
            <w:noWrap/>
            <w:tcMar>
              <w:top w:w="15" w:type="dxa"/>
              <w:left w:w="15" w:type="dxa"/>
              <w:right w:w="15" w:type="dxa"/>
            </w:tcMar>
            <w:vAlign w:val="bottom"/>
          </w:tcPr>
          <w:p w14:paraId="081FF69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公开06表</w:t>
            </w:r>
          </w:p>
        </w:tc>
      </w:tr>
      <w:tr w14:paraId="1F82C592">
        <w:tblPrEx>
          <w:tblCellMar>
            <w:top w:w="0" w:type="dxa"/>
            <w:left w:w="0" w:type="dxa"/>
            <w:bottom w:w="0" w:type="dxa"/>
            <w:right w:w="0" w:type="dxa"/>
          </w:tblCellMar>
        </w:tblPrEx>
        <w:trPr>
          <w:trHeight w:val="90" w:hRule="atLeast"/>
        </w:trPr>
        <w:tc>
          <w:tcPr>
            <w:tcW w:w="5929" w:type="dxa"/>
            <w:gridSpan w:val="6"/>
            <w:vMerge w:val="continue"/>
            <w:tcBorders>
              <w:left w:val="nil"/>
              <w:bottom w:val="nil"/>
              <w:right w:val="nil"/>
            </w:tcBorders>
            <w:shd w:val="clear" w:color="auto" w:fill="auto"/>
            <w:noWrap/>
            <w:tcMar>
              <w:top w:w="15" w:type="dxa"/>
              <w:left w:w="15" w:type="dxa"/>
              <w:right w:w="15" w:type="dxa"/>
            </w:tcMar>
            <w:vAlign w:val="bottom"/>
          </w:tcPr>
          <w:p w14:paraId="0C94355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736" w:type="dxa"/>
            <w:tcBorders>
              <w:top w:val="nil"/>
              <w:left w:val="nil"/>
              <w:bottom w:val="nil"/>
              <w:right w:val="nil"/>
            </w:tcBorders>
            <w:shd w:val="clear" w:color="auto" w:fill="auto"/>
            <w:noWrap/>
            <w:tcMar>
              <w:top w:w="15" w:type="dxa"/>
              <w:left w:w="15" w:type="dxa"/>
              <w:right w:w="15" w:type="dxa"/>
            </w:tcMar>
            <w:vAlign w:val="bottom"/>
          </w:tcPr>
          <w:p w14:paraId="4AD7FE1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2211" w:type="dxa"/>
            <w:gridSpan w:val="2"/>
            <w:tcBorders>
              <w:top w:val="nil"/>
              <w:left w:val="nil"/>
              <w:bottom w:val="nil"/>
              <w:right w:val="nil"/>
            </w:tcBorders>
            <w:shd w:val="clear" w:color="auto" w:fill="auto"/>
            <w:noWrap/>
            <w:tcMar>
              <w:top w:w="15" w:type="dxa"/>
              <w:left w:w="15" w:type="dxa"/>
              <w:right w:w="15" w:type="dxa"/>
            </w:tcMar>
            <w:vAlign w:val="bottom"/>
          </w:tcPr>
          <w:p w14:paraId="02E891A0">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32EA93BF">
        <w:tblPrEx>
          <w:tblCellMar>
            <w:top w:w="0" w:type="dxa"/>
            <w:left w:w="0" w:type="dxa"/>
            <w:bottom w:w="0" w:type="dxa"/>
            <w:right w:w="0" w:type="dxa"/>
          </w:tblCellMar>
        </w:tblPrEx>
        <w:trPr>
          <w:trHeight w:val="90" w:hRule="atLeast"/>
        </w:trPr>
        <w:tc>
          <w:tcPr>
            <w:tcW w:w="333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170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人员经费</w:t>
            </w:r>
          </w:p>
        </w:tc>
        <w:tc>
          <w:tcPr>
            <w:tcW w:w="5538"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2B55C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公用经费</w:t>
            </w:r>
          </w:p>
        </w:tc>
      </w:tr>
      <w:tr w14:paraId="52967819">
        <w:tblPrEx>
          <w:tblCellMar>
            <w:top w:w="0" w:type="dxa"/>
            <w:left w:w="0" w:type="dxa"/>
            <w:bottom w:w="0" w:type="dxa"/>
            <w:right w:w="0" w:type="dxa"/>
          </w:tblCellMar>
        </w:tblPrEx>
        <w:trPr>
          <w:trHeight w:val="312" w:hRule="atLeast"/>
        </w:trPr>
        <w:tc>
          <w:tcPr>
            <w:tcW w:w="78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34C6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22C1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经济分类科目（按“款”级功能分类科目）</w:t>
            </w:r>
          </w:p>
        </w:tc>
        <w:tc>
          <w:tcPr>
            <w:tcW w:w="6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F7FA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金额</w:t>
            </w:r>
          </w:p>
        </w:tc>
        <w:tc>
          <w:tcPr>
            <w:tcW w:w="81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6EF4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经济分类科目编码</w:t>
            </w:r>
          </w:p>
        </w:tc>
        <w:tc>
          <w:tcPr>
            <w:tcW w:w="12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D54B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经济分类科目（按“款”级功能分类科目）</w:t>
            </w:r>
          </w:p>
        </w:tc>
        <w:tc>
          <w:tcPr>
            <w:tcW w:w="5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3898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金额</w:t>
            </w:r>
          </w:p>
        </w:tc>
        <w:tc>
          <w:tcPr>
            <w:tcW w:w="7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DFB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经济分类科目编码</w:t>
            </w:r>
          </w:p>
        </w:tc>
        <w:tc>
          <w:tcPr>
            <w:tcW w:w="15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F5B4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经济分类科目（按“款”级功能分类科目）</w:t>
            </w:r>
          </w:p>
        </w:tc>
        <w:tc>
          <w:tcPr>
            <w:tcW w:w="6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1A55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金额</w:t>
            </w:r>
          </w:p>
        </w:tc>
      </w:tr>
      <w:tr w14:paraId="05A69A14">
        <w:tblPrEx>
          <w:tblCellMar>
            <w:top w:w="0" w:type="dxa"/>
            <w:left w:w="0" w:type="dxa"/>
            <w:bottom w:w="0" w:type="dxa"/>
            <w:right w:w="0" w:type="dxa"/>
          </w:tblCellMar>
        </w:tblPrEx>
        <w:trPr>
          <w:trHeight w:val="312" w:hRule="atLeast"/>
        </w:trPr>
        <w:tc>
          <w:tcPr>
            <w:tcW w:w="78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B6A5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D7CB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6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F9C3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81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957E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2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192D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5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843B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FC9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15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09A7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c>
          <w:tcPr>
            <w:tcW w:w="6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C846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18"/>
                <w:szCs w:val="18"/>
              </w:rPr>
            </w:pPr>
          </w:p>
        </w:tc>
      </w:tr>
      <w:tr w14:paraId="043AAF60">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5E3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0AE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工资福利支出</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D33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70.62</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D3E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07C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商品和服务支出</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DA6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15.17</w:t>
            </w: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D0D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E24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资本性支出</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2C7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0AA28FD">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BE0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A15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基本工资</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DDB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13.79</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151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159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办公费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602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0.05</w:t>
            </w: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4FB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C3D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房屋建筑物购建</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31A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290EA381">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9DD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B46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津贴补贴</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BCE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0.55</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281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55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印刷费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153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21D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55A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办公设备购置</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7C4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29CDB72">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5E5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9ED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奖金</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543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A6B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30203</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005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咨询费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AAA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2EA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31003</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225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专用设备购置</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0C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A909AE2">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1AB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90D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伙食补助费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9A1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560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B8A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手续费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3C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5AA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31005</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CD6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基础设施建设</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EBB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64AFF29">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74F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C31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绩效工资</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336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40.26</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756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861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水费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4DE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0.20</w:t>
            </w: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640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31006</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FA9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大型修缮</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9E4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6F369AF">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F20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55F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机关事业单位基本养老保险缴费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FDE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4.07</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295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30206</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749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电费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301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0.20</w:t>
            </w: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F9B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31007</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ABE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信息网络及软件购置更新</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5C3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334A5B69">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C3F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0A5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职业年金缴费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130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3.54</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9A2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BD8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邮电费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979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6B7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31008</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9ED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物资储备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488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682BD42">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5A2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943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职工基本医疗保险缴费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40B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2.16</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78B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836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取暖费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71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61E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31009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E80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土地补偿</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D9D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15813B7">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6AC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AD7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公务员医疗补助缴费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F2A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94F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30209</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A74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物业管理费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06C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034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A5B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安置补助</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679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B68886B">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0EF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37D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其他社会保障缴费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6EE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0.58</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0E2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3A8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差旅费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CD8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9.84</w:t>
            </w: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3ED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21D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地上附着物和青苗补偿</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D30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AC3A066">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214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771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住房公积金</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2F7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4.33</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EAD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DA7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因公出国（境）费用</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4C7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37F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4AF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拆迁补偿</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921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6AE5BF9">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6B5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B3D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医疗费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06E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0.80</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D40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30213</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9D4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维修（护）费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E88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C15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31013</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520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公务用车购置</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BBD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8D6A8BF">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88C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30199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36A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其他工资福利支出</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DE1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0.53</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587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09C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租赁费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31E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FC3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31019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9DE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其他交通工具购置</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831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11B55F4">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D2B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571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对个人和家庭的补助</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87E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2.86</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480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3BF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会议费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E89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22F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31021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5DB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文物和陈列品购置</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C83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8EE1FBB">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D66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238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离休费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70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96A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30216</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57E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培训费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4F8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0.54</w:t>
            </w: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B2A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31022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D9C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无形资产购置</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4F9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95EC242">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35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74F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退休费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BD0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336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E46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公务接待费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3B5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ED3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31099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50C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其他资本性支出</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BEB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774FAE3">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60E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608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退职（役）费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822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3FA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30218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660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专用材料费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E9F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430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1BC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对企业补助</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19F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AE85BD9">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F0E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586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抚恤金</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F7E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DED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9A0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被装购置费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24F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2BF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60D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资本金注入</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B3F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2CA0CF7">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FF4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EF2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生活补助</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D52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2.66</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53A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30225</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2D3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专用燃料费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A16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CD9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31203</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0A4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政府投资基金股权投资</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56A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18E1BB2F">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500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7F6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救济费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101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F48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30226</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CE3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劳务费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7AEB">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665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90B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费用补贴</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AE9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AA675B9">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97E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E6E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医疗费补助</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ACF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0.20</w:t>
            </w: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B41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160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委托业务费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1B59">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7C7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31205</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B7D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利息补贴</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0DA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6C860716">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C09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110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助学金</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505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ED0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30228</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173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工会经费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5C3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D01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31299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816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其他对企业补助</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24C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CF22452">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30A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06C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奖励金</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593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A7D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30229</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344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福利费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2F7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76A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98E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其他支出</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6FB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0F7BB7FD">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526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30310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A51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个人农业生产补贴</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C576">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9A8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30231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45E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公务用车运行维护费</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EBF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BDE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39907</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BAA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国家赔偿费用支出</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91E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C184F3E">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C51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701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代缴社会保险费</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61A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E58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30239</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86C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其他交通费用</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1AE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0.06</w:t>
            </w: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E67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39908</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CD0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对民间非营利组织和群众性自治组织补贴</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1874">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4BDA8C77">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4AE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30399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1DF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其他对个人和家庭的补助</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E40A">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2C7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30240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8A0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税金及附加费用</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D85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AF9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39909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6D4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经常性赠与</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6C17">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14D3BF1">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242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8A3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3881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A54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30299</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6FC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其他商品和服务支出</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3A5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4.28</w:t>
            </w: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ABC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39910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A8D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资本性赠与</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E7D8">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72D6CF28">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D62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8BC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C5ADD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2C5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712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债务利息及费用支出</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992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D2E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39999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93E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其他支出</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822F">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r>
      <w:tr w14:paraId="56234AA7">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21B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B64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340AD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293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86C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国内债务付息</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6BA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10E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D78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B51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5D23C8E7">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78B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1D6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C58DC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BCE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A6D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国外债务付息</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0C1D">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ADC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C17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E6F8">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7840433B">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773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940E">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89E7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4F7F">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30703</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471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国内债务发行费用</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0EF2">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D9B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EED0">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A9C4">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4A1B7B51">
        <w:tblPrEx>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ED3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91D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5D1DC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5AD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30704</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CD0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国外债务发行费用</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07D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u w:color="auto"/>
              </w:rPr>
              <w:t xml:space="preserve"> </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313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9D16">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18"/>
                <w:szCs w:val="18"/>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F642">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18"/>
                <w:szCs w:val="18"/>
              </w:rPr>
            </w:pPr>
          </w:p>
        </w:tc>
      </w:tr>
      <w:tr w14:paraId="1A359BD1">
        <w:tblPrEx>
          <w:tblCellMar>
            <w:top w:w="0" w:type="dxa"/>
            <w:left w:w="0" w:type="dxa"/>
            <w:bottom w:w="0" w:type="dxa"/>
            <w:right w:w="0" w:type="dxa"/>
          </w:tblCellMar>
        </w:tblPrEx>
        <w:trPr>
          <w:trHeight w:val="90" w:hRule="atLeast"/>
        </w:trPr>
        <w:tc>
          <w:tcPr>
            <w:tcW w:w="27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308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人员经费合计</w:t>
            </w:r>
          </w:p>
        </w:tc>
        <w:tc>
          <w:tcPr>
            <w:tcW w:w="62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971E3D">
            <w:pPr>
              <w:keepNext w:val="0"/>
              <w:keepLines w:val="0"/>
              <w:pageBreakBefore w:val="0"/>
              <w:widowControl/>
              <w:kinsoku/>
              <w:wordWrap w:val="0"/>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73.48</w:t>
            </w:r>
            <w:r>
              <w:rPr>
                <w:rFonts w:hint="default" w:ascii="Times New Roman" w:hAnsi="Times New Roman" w:cs="Times New Roman"/>
                <w:color w:val="auto"/>
                <w:sz w:val="18"/>
                <w:u w:color="auto"/>
              </w:rPr>
              <w:t xml:space="preserve"> </w:t>
            </w:r>
          </w:p>
        </w:tc>
        <w:tc>
          <w:tcPr>
            <w:tcW w:w="489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798F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公用经费合计</w:t>
            </w:r>
          </w:p>
        </w:tc>
        <w:tc>
          <w:tcPr>
            <w:tcW w:w="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702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15.17</w:t>
            </w:r>
            <w:r>
              <w:rPr>
                <w:rFonts w:hint="default" w:ascii="Times New Roman" w:hAnsi="Times New Roman" w:cs="Times New Roman"/>
                <w:color w:val="auto"/>
                <w:sz w:val="18"/>
                <w:u w:color="auto"/>
              </w:rPr>
              <w:t xml:space="preserve"> </w:t>
            </w:r>
          </w:p>
        </w:tc>
      </w:tr>
    </w:tbl>
    <w:p w14:paraId="53BC9D1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备注：1.本表反映单位本年度一般公共预算财政拨款基本支出明细情况。</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1"/>
          <w:szCs w:val="21"/>
        </w:rPr>
        <w:br w:type="page"/>
      </w:r>
    </w:p>
    <w:tbl>
      <w:tblPr>
        <w:tblStyle w:val="9"/>
        <w:tblW w:w="8876" w:type="dxa"/>
        <w:tblInd w:w="0" w:type="dxa"/>
        <w:shd w:val="clear" w:color="auto" w:fill="auto"/>
        <w:tblLayout w:type="fixed"/>
        <w:tblCellMar>
          <w:top w:w="0" w:type="dxa"/>
          <w:left w:w="0" w:type="dxa"/>
          <w:bottom w:w="0" w:type="dxa"/>
          <w:right w:w="0" w:type="dxa"/>
        </w:tblCellMar>
      </w:tblPr>
      <w:tblGrid>
        <w:gridCol w:w="1070"/>
        <w:gridCol w:w="1782"/>
        <w:gridCol w:w="986"/>
        <w:gridCol w:w="985"/>
        <w:gridCol w:w="985"/>
        <w:gridCol w:w="986"/>
        <w:gridCol w:w="1022"/>
        <w:gridCol w:w="1060"/>
      </w:tblGrid>
      <w:tr w14:paraId="52A5675C">
        <w:tblPrEx>
          <w:shd w:val="clear" w:color="auto" w:fill="auto"/>
          <w:tblCellMar>
            <w:top w:w="0" w:type="dxa"/>
            <w:left w:w="0" w:type="dxa"/>
            <w:bottom w:w="0" w:type="dxa"/>
            <w:right w:w="0" w:type="dxa"/>
          </w:tblCellMar>
        </w:tblPrEx>
        <w:trPr>
          <w:trHeight w:val="644" w:hRule="atLeast"/>
        </w:trPr>
        <w:tc>
          <w:tcPr>
            <w:tcW w:w="8876" w:type="dxa"/>
            <w:gridSpan w:val="8"/>
            <w:tcBorders>
              <w:top w:val="nil"/>
              <w:left w:val="nil"/>
              <w:bottom w:val="nil"/>
              <w:right w:val="nil"/>
            </w:tcBorders>
            <w:shd w:val="clear" w:color="auto" w:fill="auto"/>
            <w:noWrap/>
            <w:tcMar>
              <w:top w:w="15" w:type="dxa"/>
              <w:left w:w="15" w:type="dxa"/>
              <w:right w:w="15" w:type="dxa"/>
            </w:tcMar>
            <w:vAlign w:val="bottom"/>
          </w:tcPr>
          <w:p w14:paraId="751459E1">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政府性基金预算财政拨款收入支出决算表</w:t>
            </w:r>
          </w:p>
        </w:tc>
      </w:tr>
      <w:tr w14:paraId="1D8EBB7E">
        <w:tblPrEx>
          <w:tblCellMar>
            <w:top w:w="0" w:type="dxa"/>
            <w:left w:w="0" w:type="dxa"/>
            <w:bottom w:w="0" w:type="dxa"/>
            <w:right w:w="0" w:type="dxa"/>
          </w:tblCellMar>
        </w:tblPrEx>
        <w:trPr>
          <w:trHeight w:val="329" w:hRule="atLeast"/>
        </w:trPr>
        <w:tc>
          <w:tcPr>
            <w:tcW w:w="4823" w:type="dxa"/>
            <w:gridSpan w:val="4"/>
            <w:vMerge w:val="restart"/>
            <w:tcBorders>
              <w:top w:val="nil"/>
              <w:left w:val="nil"/>
              <w:right w:val="nil"/>
            </w:tcBorders>
            <w:shd w:val="clear" w:color="auto" w:fill="auto"/>
            <w:noWrap/>
            <w:tcMar>
              <w:top w:w="15" w:type="dxa"/>
              <w:left w:w="15" w:type="dxa"/>
              <w:right w:w="15" w:type="dxa"/>
            </w:tcMar>
            <w:vAlign w:val="bottom"/>
          </w:tcPr>
          <w:p w14:paraId="5DA7C1F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重庆市荣昌区广顺街道社区文化服务中心</w:t>
            </w:r>
          </w:p>
        </w:tc>
        <w:tc>
          <w:tcPr>
            <w:tcW w:w="985" w:type="dxa"/>
            <w:tcBorders>
              <w:top w:val="nil"/>
              <w:left w:val="nil"/>
              <w:bottom w:val="nil"/>
              <w:right w:val="nil"/>
            </w:tcBorders>
            <w:shd w:val="clear" w:color="auto" w:fill="auto"/>
            <w:noWrap/>
            <w:tcMar>
              <w:top w:w="15" w:type="dxa"/>
              <w:left w:w="15" w:type="dxa"/>
              <w:right w:w="15" w:type="dxa"/>
            </w:tcMar>
            <w:vAlign w:val="bottom"/>
          </w:tcPr>
          <w:p w14:paraId="204BEA4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986" w:type="dxa"/>
            <w:tcBorders>
              <w:top w:val="nil"/>
              <w:left w:val="nil"/>
              <w:bottom w:val="nil"/>
              <w:right w:val="nil"/>
            </w:tcBorders>
            <w:shd w:val="clear" w:color="auto" w:fill="auto"/>
            <w:noWrap/>
            <w:tcMar>
              <w:top w:w="15" w:type="dxa"/>
              <w:left w:w="15" w:type="dxa"/>
              <w:right w:w="15" w:type="dxa"/>
            </w:tcMar>
            <w:vAlign w:val="bottom"/>
          </w:tcPr>
          <w:p w14:paraId="065E4A3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022" w:type="dxa"/>
            <w:tcBorders>
              <w:top w:val="nil"/>
              <w:left w:val="nil"/>
              <w:bottom w:val="nil"/>
              <w:right w:val="nil"/>
            </w:tcBorders>
            <w:shd w:val="clear" w:color="auto" w:fill="auto"/>
            <w:noWrap/>
            <w:tcMar>
              <w:top w:w="15" w:type="dxa"/>
              <w:left w:w="15" w:type="dxa"/>
              <w:right w:w="15" w:type="dxa"/>
            </w:tcMar>
            <w:vAlign w:val="bottom"/>
          </w:tcPr>
          <w:p w14:paraId="4B47F88F">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14:paraId="20ECEC8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公开07表</w:t>
            </w:r>
          </w:p>
        </w:tc>
      </w:tr>
      <w:tr w14:paraId="23943D66">
        <w:tblPrEx>
          <w:tblCellMar>
            <w:top w:w="0" w:type="dxa"/>
            <w:left w:w="0" w:type="dxa"/>
            <w:bottom w:w="0" w:type="dxa"/>
            <w:right w:w="0" w:type="dxa"/>
          </w:tblCellMar>
        </w:tblPrEx>
        <w:trPr>
          <w:trHeight w:val="329" w:hRule="atLeast"/>
        </w:trPr>
        <w:tc>
          <w:tcPr>
            <w:tcW w:w="4823" w:type="dxa"/>
            <w:gridSpan w:val="4"/>
            <w:vMerge w:val="continue"/>
            <w:tcBorders>
              <w:left w:val="nil"/>
              <w:bottom w:val="nil"/>
              <w:right w:val="nil"/>
            </w:tcBorders>
            <w:shd w:val="clear" w:color="auto" w:fill="auto"/>
            <w:noWrap/>
            <w:tcMar>
              <w:top w:w="15" w:type="dxa"/>
              <w:left w:w="15" w:type="dxa"/>
              <w:right w:w="15" w:type="dxa"/>
            </w:tcMar>
            <w:vAlign w:val="bottom"/>
          </w:tcPr>
          <w:p w14:paraId="1995253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985" w:type="dxa"/>
            <w:tcBorders>
              <w:top w:val="nil"/>
              <w:left w:val="nil"/>
              <w:bottom w:val="nil"/>
              <w:right w:val="nil"/>
            </w:tcBorders>
            <w:shd w:val="clear" w:color="auto" w:fill="auto"/>
            <w:noWrap/>
            <w:tcMar>
              <w:top w:w="15" w:type="dxa"/>
              <w:left w:w="15" w:type="dxa"/>
              <w:right w:w="15" w:type="dxa"/>
            </w:tcMar>
            <w:vAlign w:val="bottom"/>
          </w:tcPr>
          <w:p w14:paraId="6FDD4C7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986" w:type="dxa"/>
            <w:tcBorders>
              <w:top w:val="nil"/>
              <w:left w:val="nil"/>
              <w:bottom w:val="nil"/>
              <w:right w:val="nil"/>
            </w:tcBorders>
            <w:shd w:val="clear" w:color="auto" w:fill="auto"/>
            <w:noWrap/>
            <w:tcMar>
              <w:top w:w="15" w:type="dxa"/>
              <w:left w:w="15" w:type="dxa"/>
              <w:right w:w="15" w:type="dxa"/>
            </w:tcMar>
            <w:vAlign w:val="bottom"/>
          </w:tcPr>
          <w:p w14:paraId="309CB0C4">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022" w:type="dxa"/>
            <w:tcBorders>
              <w:top w:val="nil"/>
              <w:left w:val="nil"/>
              <w:bottom w:val="nil"/>
              <w:right w:val="nil"/>
            </w:tcBorders>
            <w:shd w:val="clear" w:color="auto" w:fill="auto"/>
            <w:noWrap/>
            <w:tcMar>
              <w:top w:w="15" w:type="dxa"/>
              <w:left w:w="15" w:type="dxa"/>
              <w:right w:w="15" w:type="dxa"/>
            </w:tcMar>
            <w:vAlign w:val="bottom"/>
          </w:tcPr>
          <w:p w14:paraId="5C482741">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060" w:type="dxa"/>
            <w:tcBorders>
              <w:top w:val="nil"/>
              <w:left w:val="nil"/>
              <w:bottom w:val="nil"/>
              <w:right w:val="nil"/>
            </w:tcBorders>
            <w:shd w:val="clear" w:color="auto" w:fill="auto"/>
            <w:noWrap/>
            <w:tcMar>
              <w:top w:w="15" w:type="dxa"/>
              <w:left w:w="15" w:type="dxa"/>
              <w:right w:w="15" w:type="dxa"/>
            </w:tcMar>
            <w:vAlign w:val="bottom"/>
          </w:tcPr>
          <w:p w14:paraId="100E4B7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096F7F27">
        <w:tblPrEx>
          <w:tblCellMar>
            <w:top w:w="0" w:type="dxa"/>
            <w:left w:w="0" w:type="dxa"/>
            <w:bottom w:w="0" w:type="dxa"/>
            <w:right w:w="0" w:type="dxa"/>
          </w:tblCellMar>
        </w:tblPrEx>
        <w:trPr>
          <w:trHeight w:val="339" w:hRule="atLeast"/>
        </w:trPr>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085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9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D90BB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年初结转和结余</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449E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本年收入</w:t>
            </w:r>
          </w:p>
        </w:tc>
        <w:tc>
          <w:tcPr>
            <w:tcW w:w="299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74AD4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101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年末结转和结余</w:t>
            </w:r>
          </w:p>
        </w:tc>
      </w:tr>
      <w:tr w14:paraId="508B0E2E">
        <w:tblPrEx>
          <w:tblCellMar>
            <w:top w:w="0" w:type="dxa"/>
            <w:left w:w="0" w:type="dxa"/>
            <w:bottom w:w="0" w:type="dxa"/>
            <w:right w:w="0" w:type="dxa"/>
          </w:tblCellMar>
        </w:tblPrEx>
        <w:trPr>
          <w:trHeight w:val="335" w:hRule="atLeast"/>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27D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1DA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项目（按“项”级功能分类科目）</w:t>
            </w: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B2B73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C8137">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9A5D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9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49CE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10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0FF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683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2E1EE446">
        <w:tblPrEx>
          <w:tblCellMar>
            <w:top w:w="0" w:type="dxa"/>
            <w:left w:w="0" w:type="dxa"/>
            <w:bottom w:w="0" w:type="dxa"/>
            <w:right w:w="0" w:type="dxa"/>
          </w:tblCellMar>
        </w:tblPrEx>
        <w:trPr>
          <w:trHeight w:val="335"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D79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31C0">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613D0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924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68E7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E521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ACF8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0FE1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26AA3399">
        <w:tblPrEx>
          <w:tblCellMar>
            <w:top w:w="0" w:type="dxa"/>
            <w:left w:w="0" w:type="dxa"/>
            <w:bottom w:w="0" w:type="dxa"/>
            <w:right w:w="0" w:type="dxa"/>
          </w:tblCellMar>
        </w:tblPrEx>
        <w:trPr>
          <w:trHeight w:val="645"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4CCE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30E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B1839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BA6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E8398">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9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39FDB">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5DE2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E765">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2ADE80B4">
        <w:tblPrEx>
          <w:tblCellMar>
            <w:top w:w="0" w:type="dxa"/>
            <w:left w:w="0" w:type="dxa"/>
            <w:bottom w:w="0" w:type="dxa"/>
            <w:right w:w="0" w:type="dxa"/>
          </w:tblCellMar>
        </w:tblPrEx>
        <w:trPr>
          <w:trHeight w:val="339" w:hRule="atLeast"/>
        </w:trPr>
        <w:tc>
          <w:tcPr>
            <w:tcW w:w="28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FFD5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DE0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4505">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1274C">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9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6BD40">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10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8475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3D163">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bl>
    <w:p w14:paraId="6287704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119361C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9"/>
        <w:tblW w:w="8876" w:type="dxa"/>
        <w:tblInd w:w="0" w:type="dxa"/>
        <w:shd w:val="clear" w:color="auto" w:fill="auto"/>
        <w:tblLayout w:type="fixed"/>
        <w:tblCellMar>
          <w:top w:w="0" w:type="dxa"/>
          <w:left w:w="0" w:type="dxa"/>
          <w:bottom w:w="0" w:type="dxa"/>
          <w:right w:w="0" w:type="dxa"/>
        </w:tblCellMar>
      </w:tblPr>
      <w:tblGrid>
        <w:gridCol w:w="1770"/>
        <w:gridCol w:w="1636"/>
        <w:gridCol w:w="1337"/>
        <w:gridCol w:w="116"/>
        <w:gridCol w:w="2005"/>
        <w:gridCol w:w="45"/>
        <w:gridCol w:w="1967"/>
      </w:tblGrid>
      <w:tr w14:paraId="23FD3B38">
        <w:tblPrEx>
          <w:shd w:val="clear" w:color="auto" w:fill="auto"/>
          <w:tblCellMar>
            <w:top w:w="0" w:type="dxa"/>
            <w:left w:w="0" w:type="dxa"/>
            <w:bottom w:w="0" w:type="dxa"/>
            <w:right w:w="0" w:type="dxa"/>
          </w:tblCellMar>
        </w:tblPrEx>
        <w:trPr>
          <w:trHeight w:val="650" w:hRule="atLeast"/>
        </w:trPr>
        <w:tc>
          <w:tcPr>
            <w:tcW w:w="8876" w:type="dxa"/>
            <w:gridSpan w:val="7"/>
            <w:tcBorders>
              <w:top w:val="nil"/>
              <w:left w:val="nil"/>
              <w:bottom w:val="nil"/>
              <w:right w:val="nil"/>
            </w:tcBorders>
            <w:shd w:val="clear" w:color="auto" w:fill="auto"/>
            <w:noWrap/>
            <w:tcMar>
              <w:top w:w="15" w:type="dxa"/>
              <w:left w:w="15" w:type="dxa"/>
              <w:right w:w="15" w:type="dxa"/>
            </w:tcMar>
            <w:vAlign w:val="bottom"/>
          </w:tcPr>
          <w:p w14:paraId="1F213992">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国有资本经营预算财政拨款支出决算表</w:t>
            </w:r>
          </w:p>
        </w:tc>
      </w:tr>
      <w:tr w14:paraId="27F331C7">
        <w:tblPrEx>
          <w:tblCellMar>
            <w:top w:w="0" w:type="dxa"/>
            <w:left w:w="0" w:type="dxa"/>
            <w:bottom w:w="0" w:type="dxa"/>
            <w:right w:w="0" w:type="dxa"/>
          </w:tblCellMar>
        </w:tblPrEx>
        <w:trPr>
          <w:trHeight w:val="332" w:hRule="atLeast"/>
        </w:trPr>
        <w:tc>
          <w:tcPr>
            <w:tcW w:w="4743" w:type="dxa"/>
            <w:gridSpan w:val="3"/>
            <w:vMerge w:val="restart"/>
            <w:tcBorders>
              <w:top w:val="nil"/>
              <w:left w:val="nil"/>
              <w:right w:val="nil"/>
            </w:tcBorders>
            <w:shd w:val="clear" w:color="auto" w:fill="auto"/>
            <w:noWrap/>
            <w:tcMar>
              <w:top w:w="15" w:type="dxa"/>
              <w:left w:w="15" w:type="dxa"/>
              <w:right w:w="15" w:type="dxa"/>
            </w:tcMar>
            <w:vAlign w:val="bottom"/>
          </w:tcPr>
          <w:p w14:paraId="089FF88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重庆市荣昌区广顺街道社区文化服务中心</w:t>
            </w:r>
          </w:p>
        </w:tc>
        <w:tc>
          <w:tcPr>
            <w:tcW w:w="2166" w:type="dxa"/>
            <w:gridSpan w:val="3"/>
            <w:tcBorders>
              <w:top w:val="nil"/>
              <w:left w:val="nil"/>
              <w:bottom w:val="nil"/>
              <w:right w:val="nil"/>
            </w:tcBorders>
            <w:shd w:val="clear" w:color="auto" w:fill="auto"/>
            <w:noWrap/>
            <w:tcMar>
              <w:top w:w="15" w:type="dxa"/>
              <w:left w:w="15" w:type="dxa"/>
              <w:right w:w="15" w:type="dxa"/>
            </w:tcMar>
            <w:vAlign w:val="bottom"/>
          </w:tcPr>
          <w:p w14:paraId="625AD857">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967" w:type="dxa"/>
            <w:tcBorders>
              <w:top w:val="nil"/>
              <w:left w:val="nil"/>
              <w:bottom w:val="nil"/>
              <w:right w:val="nil"/>
            </w:tcBorders>
            <w:shd w:val="clear" w:color="auto" w:fill="auto"/>
            <w:noWrap/>
            <w:tcMar>
              <w:top w:w="15" w:type="dxa"/>
              <w:left w:w="15" w:type="dxa"/>
              <w:right w:w="15" w:type="dxa"/>
            </w:tcMar>
            <w:vAlign w:val="bottom"/>
          </w:tcPr>
          <w:p w14:paraId="2B732A7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公开08表</w:t>
            </w:r>
          </w:p>
        </w:tc>
      </w:tr>
      <w:tr w14:paraId="0BFFFC78">
        <w:tblPrEx>
          <w:tblCellMar>
            <w:top w:w="0" w:type="dxa"/>
            <w:left w:w="0" w:type="dxa"/>
            <w:bottom w:w="0" w:type="dxa"/>
            <w:right w:w="0" w:type="dxa"/>
          </w:tblCellMar>
        </w:tblPrEx>
        <w:trPr>
          <w:trHeight w:val="332" w:hRule="atLeast"/>
        </w:trPr>
        <w:tc>
          <w:tcPr>
            <w:tcW w:w="4743" w:type="dxa"/>
            <w:gridSpan w:val="3"/>
            <w:vMerge w:val="continue"/>
            <w:tcBorders>
              <w:left w:val="nil"/>
              <w:bottom w:val="nil"/>
              <w:right w:val="nil"/>
            </w:tcBorders>
            <w:shd w:val="clear" w:color="auto" w:fill="auto"/>
            <w:noWrap/>
            <w:tcMar>
              <w:top w:w="15" w:type="dxa"/>
              <w:left w:w="15" w:type="dxa"/>
              <w:right w:w="15" w:type="dxa"/>
            </w:tcMar>
            <w:vAlign w:val="bottom"/>
          </w:tcPr>
          <w:p w14:paraId="0D99A73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2166" w:type="dxa"/>
            <w:gridSpan w:val="3"/>
            <w:tcBorders>
              <w:top w:val="nil"/>
              <w:left w:val="nil"/>
              <w:bottom w:val="nil"/>
              <w:right w:val="nil"/>
            </w:tcBorders>
            <w:shd w:val="clear" w:color="auto" w:fill="auto"/>
            <w:noWrap/>
            <w:tcMar>
              <w:top w:w="15" w:type="dxa"/>
              <w:left w:w="15" w:type="dxa"/>
              <w:right w:w="15" w:type="dxa"/>
            </w:tcMar>
            <w:vAlign w:val="bottom"/>
          </w:tcPr>
          <w:p w14:paraId="63B0506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967" w:type="dxa"/>
            <w:tcBorders>
              <w:top w:val="nil"/>
              <w:left w:val="nil"/>
              <w:bottom w:val="nil"/>
              <w:right w:val="nil"/>
            </w:tcBorders>
            <w:shd w:val="clear" w:color="auto" w:fill="auto"/>
            <w:noWrap/>
            <w:tcMar>
              <w:top w:w="15" w:type="dxa"/>
              <w:left w:w="15" w:type="dxa"/>
              <w:right w:w="15" w:type="dxa"/>
            </w:tcMar>
            <w:vAlign w:val="bottom"/>
          </w:tcPr>
          <w:p w14:paraId="1D42C0B8">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5E9E8862">
        <w:tblPrEx>
          <w:tblCellMar>
            <w:top w:w="0" w:type="dxa"/>
            <w:left w:w="0" w:type="dxa"/>
            <w:bottom w:w="0" w:type="dxa"/>
            <w:right w:w="0" w:type="dxa"/>
          </w:tblCellMar>
        </w:tblPrEx>
        <w:trPr>
          <w:trHeight w:val="422"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6DF2D8">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w:t>
            </w:r>
          </w:p>
        </w:tc>
        <w:tc>
          <w:tcPr>
            <w:tcW w:w="547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7C241">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本年支出</w:t>
            </w:r>
          </w:p>
        </w:tc>
      </w:tr>
      <w:tr w14:paraId="1A6F05D6">
        <w:tblPrEx>
          <w:tblCellMar>
            <w:top w:w="0" w:type="dxa"/>
            <w:left w:w="0" w:type="dxa"/>
            <w:bottom w:w="0" w:type="dxa"/>
            <w:right w:w="0" w:type="dxa"/>
          </w:tblCellMar>
        </w:tblPrEx>
        <w:trPr>
          <w:trHeight w:val="339" w:hRule="atLeast"/>
        </w:trPr>
        <w:tc>
          <w:tcPr>
            <w:tcW w:w="177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4BAD">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功能分类科目编码</w:t>
            </w:r>
          </w:p>
        </w:tc>
        <w:tc>
          <w:tcPr>
            <w:tcW w:w="16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2AA8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科目名称</w:t>
            </w:r>
          </w:p>
        </w:tc>
        <w:tc>
          <w:tcPr>
            <w:tcW w:w="145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03B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20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139A9">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基本支出</w:t>
            </w:r>
          </w:p>
        </w:tc>
        <w:tc>
          <w:tcPr>
            <w:tcW w:w="201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C0B2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项目支出</w:t>
            </w:r>
          </w:p>
        </w:tc>
      </w:tr>
      <w:tr w14:paraId="5C70737A">
        <w:tblPrEx>
          <w:tblCellMar>
            <w:top w:w="0" w:type="dxa"/>
            <w:left w:w="0" w:type="dxa"/>
            <w:bottom w:w="0" w:type="dxa"/>
            <w:right w:w="0" w:type="dxa"/>
          </w:tblCellMar>
        </w:tblPrEx>
        <w:trPr>
          <w:trHeight w:val="339" w:hRule="atLeast"/>
        </w:trPr>
        <w:tc>
          <w:tcPr>
            <w:tcW w:w="17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DEC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6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DDA4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45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CF9A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0101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1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CD42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3930DCB8">
        <w:tblPrEx>
          <w:tblCellMar>
            <w:top w:w="0" w:type="dxa"/>
            <w:left w:w="0" w:type="dxa"/>
            <w:bottom w:w="0" w:type="dxa"/>
            <w:right w:w="0" w:type="dxa"/>
          </w:tblCellMar>
        </w:tblPrEx>
        <w:trPr>
          <w:trHeight w:val="339" w:hRule="atLeast"/>
        </w:trPr>
        <w:tc>
          <w:tcPr>
            <w:tcW w:w="17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D7A6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6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F2BD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45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F7FA">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055B4">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1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D75EE">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04867FA9">
        <w:tblPrEx>
          <w:tblCellMar>
            <w:top w:w="0" w:type="dxa"/>
            <w:left w:w="0" w:type="dxa"/>
            <w:bottom w:w="0" w:type="dxa"/>
            <w:right w:w="0" w:type="dxa"/>
          </w:tblCellMar>
        </w:tblPrEx>
        <w:trPr>
          <w:trHeight w:val="326" w:hRule="atLeast"/>
        </w:trPr>
        <w:tc>
          <w:tcPr>
            <w:tcW w:w="177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6B93">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6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DB34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145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67A16">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FBA6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c>
          <w:tcPr>
            <w:tcW w:w="201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8378F">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b/>
                <w:color w:val="auto"/>
                <w:sz w:val="20"/>
                <w:szCs w:val="20"/>
              </w:rPr>
            </w:pPr>
          </w:p>
        </w:tc>
      </w:tr>
      <w:tr w14:paraId="397E15CD">
        <w:tblPrEx>
          <w:tblCellMar>
            <w:top w:w="0" w:type="dxa"/>
            <w:left w:w="0" w:type="dxa"/>
            <w:bottom w:w="0" w:type="dxa"/>
            <w:right w:w="0" w:type="dxa"/>
          </w:tblCellMar>
        </w:tblPrEx>
        <w:trPr>
          <w:trHeight w:val="611" w:hRule="atLeast"/>
        </w:trPr>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FC77">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合计</w:t>
            </w:r>
          </w:p>
        </w:tc>
        <w:tc>
          <w:tcPr>
            <w:tcW w:w="145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22E0E">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c>
          <w:tcPr>
            <w:tcW w:w="2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EC7F6">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b/>
                <w:color w:val="auto"/>
                <w:sz w:val="20"/>
                <w:szCs w:val="20"/>
              </w:rPr>
            </w:pPr>
          </w:p>
        </w:tc>
        <w:tc>
          <w:tcPr>
            <w:tcW w:w="201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6F771">
            <w:pPr>
              <w:keepNext w:val="0"/>
              <w:keepLines w:val="0"/>
              <w:pageBreakBefore w:val="0"/>
              <w:widowControl/>
              <w:kinsoku/>
              <w:wordWrap w:val="0"/>
              <w:overflowPunct/>
              <w:topLinePunct w:val="0"/>
              <w:autoSpaceDE/>
              <w:autoSpaceDN/>
              <w:bidi w:val="0"/>
              <w:adjustRightInd/>
              <w:snapToGrid/>
              <w:spacing w:line="360" w:lineRule="exact"/>
              <w:jc w:val="righ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u w:color="auto"/>
              </w:rPr>
              <w:t xml:space="preserve"> </w:t>
            </w:r>
          </w:p>
        </w:tc>
      </w:tr>
    </w:tbl>
    <w:p w14:paraId="2E5951A3">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备注：本表反映单位本年度国有资本经营预算财政拨款支出情况。本单位无国有资本经营收支，故本表无数据。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p w14:paraId="1C7BB0C2">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br w:type="page"/>
      </w:r>
    </w:p>
    <w:tbl>
      <w:tblPr>
        <w:tblStyle w:val="9"/>
        <w:tblW w:w="8876" w:type="dxa"/>
        <w:tblInd w:w="0" w:type="dxa"/>
        <w:shd w:val="clear" w:color="auto" w:fill="auto"/>
        <w:tblLayout w:type="fixed"/>
        <w:tblCellMar>
          <w:top w:w="0" w:type="dxa"/>
          <w:left w:w="0" w:type="dxa"/>
          <w:bottom w:w="0" w:type="dxa"/>
          <w:right w:w="0" w:type="dxa"/>
        </w:tblCellMar>
      </w:tblPr>
      <w:tblGrid>
        <w:gridCol w:w="3133"/>
        <w:gridCol w:w="1023"/>
        <w:gridCol w:w="800"/>
        <w:gridCol w:w="3059"/>
        <w:gridCol w:w="861"/>
      </w:tblGrid>
      <w:tr w14:paraId="671EEA27">
        <w:tblPrEx>
          <w:shd w:val="clear" w:color="auto" w:fill="auto"/>
          <w:tblCellMar>
            <w:top w:w="0" w:type="dxa"/>
            <w:left w:w="0" w:type="dxa"/>
            <w:bottom w:w="0" w:type="dxa"/>
            <w:right w:w="0" w:type="dxa"/>
          </w:tblCellMar>
        </w:tblPrEx>
        <w:trPr>
          <w:trHeight w:val="484" w:hRule="atLeast"/>
        </w:trPr>
        <w:tc>
          <w:tcPr>
            <w:tcW w:w="8876" w:type="dxa"/>
            <w:gridSpan w:val="5"/>
            <w:tcBorders>
              <w:top w:val="nil"/>
              <w:left w:val="nil"/>
              <w:bottom w:val="nil"/>
              <w:right w:val="nil"/>
            </w:tcBorders>
            <w:shd w:val="clear" w:color="auto" w:fill="auto"/>
            <w:noWrap/>
            <w:tcMar>
              <w:top w:w="15" w:type="dxa"/>
              <w:left w:w="15" w:type="dxa"/>
              <w:right w:w="15" w:type="dxa"/>
            </w:tcMar>
            <w:vAlign w:val="bottom"/>
          </w:tcPr>
          <w:p w14:paraId="60609540">
            <w:pPr>
              <w:keepNext w:val="0"/>
              <w:keepLines w:val="0"/>
              <w:pageBreakBefore w:val="0"/>
              <w:widowControl/>
              <w:kinsoku/>
              <w:overflowPunct/>
              <w:topLinePunct w:val="0"/>
              <w:autoSpaceDE/>
              <w:autoSpaceDN/>
              <w:bidi w:val="0"/>
              <w:adjustRightInd/>
              <w:snapToGrid/>
              <w:spacing w:line="360" w:lineRule="exact"/>
              <w:jc w:val="center"/>
              <w:textAlignment w:val="bottom"/>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机构运行信息表</w:t>
            </w:r>
          </w:p>
        </w:tc>
      </w:tr>
      <w:tr w14:paraId="454A7766">
        <w:tblPrEx>
          <w:tblCellMar>
            <w:top w:w="0" w:type="dxa"/>
            <w:left w:w="0" w:type="dxa"/>
            <w:bottom w:w="0" w:type="dxa"/>
            <w:right w:w="0" w:type="dxa"/>
          </w:tblCellMar>
        </w:tblPrEx>
        <w:trPr>
          <w:trHeight w:val="175" w:hRule="atLeast"/>
        </w:trPr>
        <w:tc>
          <w:tcPr>
            <w:tcW w:w="3133" w:type="dxa"/>
            <w:tcBorders>
              <w:top w:val="nil"/>
              <w:left w:val="nil"/>
              <w:bottom w:val="nil"/>
              <w:right w:val="nil"/>
            </w:tcBorders>
            <w:shd w:val="clear" w:color="auto" w:fill="auto"/>
            <w:noWrap/>
            <w:tcMar>
              <w:top w:w="15" w:type="dxa"/>
              <w:left w:w="15" w:type="dxa"/>
              <w:right w:w="15" w:type="dxa"/>
            </w:tcMar>
            <w:vAlign w:val="bottom"/>
          </w:tcPr>
          <w:p w14:paraId="142204FB">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1023" w:type="dxa"/>
            <w:tcBorders>
              <w:top w:val="nil"/>
              <w:left w:val="nil"/>
              <w:bottom w:val="nil"/>
              <w:right w:val="nil"/>
            </w:tcBorders>
            <w:shd w:val="clear" w:color="auto" w:fill="auto"/>
            <w:noWrap/>
            <w:tcMar>
              <w:top w:w="15" w:type="dxa"/>
              <w:left w:w="15" w:type="dxa"/>
              <w:right w:w="15" w:type="dxa"/>
            </w:tcMar>
            <w:vAlign w:val="bottom"/>
          </w:tcPr>
          <w:p w14:paraId="0F833B51">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cs="Times New Roman"/>
                <w:color w:val="auto"/>
                <w:sz w:val="20"/>
                <w:szCs w:val="20"/>
              </w:rPr>
            </w:pPr>
          </w:p>
        </w:tc>
        <w:tc>
          <w:tcPr>
            <w:tcW w:w="800" w:type="dxa"/>
            <w:tcBorders>
              <w:top w:val="nil"/>
              <w:left w:val="nil"/>
              <w:bottom w:val="nil"/>
              <w:right w:val="nil"/>
            </w:tcBorders>
            <w:shd w:val="clear" w:color="auto" w:fill="auto"/>
            <w:noWrap/>
            <w:tcMar>
              <w:top w:w="15" w:type="dxa"/>
              <w:left w:w="15" w:type="dxa"/>
              <w:right w:w="15" w:type="dxa"/>
            </w:tcMar>
            <w:vAlign w:val="bottom"/>
          </w:tcPr>
          <w:p w14:paraId="1BA9248B">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c>
          <w:tcPr>
            <w:tcW w:w="3059" w:type="dxa"/>
            <w:tcBorders>
              <w:top w:val="nil"/>
              <w:left w:val="nil"/>
              <w:bottom w:val="nil"/>
              <w:right w:val="nil"/>
            </w:tcBorders>
            <w:shd w:val="clear" w:color="auto" w:fill="auto"/>
            <w:noWrap/>
            <w:tcMar>
              <w:top w:w="15" w:type="dxa"/>
              <w:left w:w="15" w:type="dxa"/>
              <w:right w:w="15" w:type="dxa"/>
            </w:tcMar>
            <w:vAlign w:val="bottom"/>
          </w:tcPr>
          <w:p w14:paraId="1636B418">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861" w:type="dxa"/>
            <w:tcBorders>
              <w:top w:val="nil"/>
              <w:left w:val="nil"/>
              <w:bottom w:val="nil"/>
              <w:right w:val="nil"/>
            </w:tcBorders>
            <w:shd w:val="clear" w:color="auto" w:fill="auto"/>
            <w:noWrap/>
            <w:tcMar>
              <w:top w:w="15" w:type="dxa"/>
              <w:left w:w="15" w:type="dxa"/>
              <w:right w:w="15" w:type="dxa"/>
            </w:tcMar>
            <w:vAlign w:val="bottom"/>
          </w:tcPr>
          <w:p w14:paraId="6E7FDBEE">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公开09表</w:t>
            </w:r>
          </w:p>
        </w:tc>
      </w:tr>
      <w:tr w14:paraId="45D44564">
        <w:tblPrEx>
          <w:tblCellMar>
            <w:top w:w="0" w:type="dxa"/>
            <w:left w:w="0" w:type="dxa"/>
            <w:bottom w:w="0" w:type="dxa"/>
            <w:right w:w="0" w:type="dxa"/>
          </w:tblCellMar>
        </w:tblPrEx>
        <w:trPr>
          <w:trHeight w:val="175" w:hRule="atLeast"/>
        </w:trPr>
        <w:tc>
          <w:tcPr>
            <w:tcW w:w="8015" w:type="dxa"/>
            <w:gridSpan w:val="4"/>
            <w:tcBorders>
              <w:top w:val="nil"/>
              <w:left w:val="nil"/>
              <w:bottom w:val="single" w:color="auto" w:sz="4" w:space="0"/>
              <w:right w:val="nil"/>
            </w:tcBorders>
            <w:shd w:val="clear" w:color="auto" w:fill="auto"/>
            <w:noWrap/>
            <w:tcMar>
              <w:top w:w="15" w:type="dxa"/>
              <w:left w:w="15" w:type="dxa"/>
              <w:right w:w="15" w:type="dxa"/>
            </w:tcMar>
            <w:vAlign w:val="bottom"/>
          </w:tcPr>
          <w:p w14:paraId="556D316A">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公开单位： </w:t>
            </w:r>
            <w:r>
              <w:rPr>
                <w:rFonts w:hint="default" w:ascii="Times New Roman" w:hAnsi="Times New Roman" w:cs="Times New Roman"/>
                <w:color w:val="auto"/>
                <w:sz w:val="20"/>
                <w:u w:color="auto"/>
              </w:rPr>
              <w:t>重庆市荣昌区广顺街道社区文化服务中心</w:t>
            </w:r>
          </w:p>
        </w:tc>
        <w:tc>
          <w:tcPr>
            <w:tcW w:w="861" w:type="dxa"/>
            <w:tcBorders>
              <w:top w:val="nil"/>
              <w:left w:val="nil"/>
              <w:bottom w:val="single" w:color="auto" w:sz="4" w:space="0"/>
              <w:right w:val="nil"/>
            </w:tcBorders>
            <w:shd w:val="clear" w:color="auto" w:fill="auto"/>
            <w:noWrap/>
            <w:tcMar>
              <w:top w:w="15" w:type="dxa"/>
              <w:left w:w="15" w:type="dxa"/>
              <w:right w:w="15" w:type="dxa"/>
            </w:tcMar>
            <w:vAlign w:val="bottom"/>
          </w:tcPr>
          <w:p w14:paraId="6C13AD2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单位：万元</w:t>
            </w:r>
          </w:p>
        </w:tc>
      </w:tr>
      <w:tr w14:paraId="0369D005">
        <w:tblPrEx>
          <w:tblCellMar>
            <w:top w:w="0" w:type="dxa"/>
            <w:left w:w="0" w:type="dxa"/>
            <w:bottom w:w="0" w:type="dxa"/>
            <w:right w:w="0" w:type="dxa"/>
          </w:tblCellMar>
        </w:tblPrEx>
        <w:trPr>
          <w:trHeight w:val="184"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10F8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  目</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9CB82">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预算数</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A4FF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CDBA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项  目</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AA5B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决算数</w:t>
            </w:r>
          </w:p>
        </w:tc>
      </w:tr>
      <w:tr w14:paraId="3EC72CD0">
        <w:tblPrEx>
          <w:tblCellMar>
            <w:top w:w="0" w:type="dxa"/>
            <w:left w:w="0" w:type="dxa"/>
            <w:bottom w:w="0" w:type="dxa"/>
            <w:right w:w="0" w:type="dxa"/>
          </w:tblCellMar>
        </w:tblPrEx>
        <w:trPr>
          <w:trHeight w:val="184"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7415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一、“三公”经费支出</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0F54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B901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71B0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四、机关运行经费</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2593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F42B841">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DFA8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（一）支出合计</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68FA3">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5F270">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B4BE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（一）行政单位</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AC86E">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9E0C685">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893F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1．因公出国（境）费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43589">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4FBB9">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40D5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（二）参照公务员法管理事业单位</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A5C6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D1B78E8">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4F0B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2．公务用车购置及运行维护费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FDD9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D30A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A27C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五、资产信息</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86AB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r>
      <w:tr w14:paraId="562C501E">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7B4C2">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（1）公务用车购置费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EEB41">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03CB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8463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（一）车辆数合计（辆）</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91FA2">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24FA056">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448E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（2）公务用车运行维护费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76A41">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8696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2363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1．副部（省）级及以上领导用车</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BDE0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675DE909">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64B0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3．公务接待费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3C678">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E84DA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5A766">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2．主要领导干部用车</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EF14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B079512">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05F3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（1）国内接待费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9BAD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6135E">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352F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3．机要通信用车</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E61372">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55306F8">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80FA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其中：外事接待费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36B4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B8DD3">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D9A3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4．应急保障用车</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59F61">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8397B30">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8E75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（2）国（境）外接待费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8225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519F5">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003E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5．执法执勤用车</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77FCB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B90B267">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CBA5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（二）相关统计数</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3B854">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36A71">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AF7F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6．特种专业技术用车</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0FAC9">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06920C8E">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59C4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1．因公出国（境）团组数（个）</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DBFA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6583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07C31">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7．离退休干部用车</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CA894">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E9FED36">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6F59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2．因公出国（境）人次数（人）</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A4FC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C187B">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5F7F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8．其他用车</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842C5">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1E1629FE">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B513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3．公务用车购置数（辆）</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69B7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7C7297">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CFB0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（二）单价100万元（含）以上设备（不含车辆）</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E1067">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5D25C505">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F351E">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4．公务用车保有量（辆）</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A3FE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0B636">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2A58A">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六、政府采购支出信息</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EDA2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r>
      <w:tr w14:paraId="10A8D4D5">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0A20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5．国内公务接待批次（个）</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1AF88">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62848A">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0070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（一）政府采购支出合计</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EAB87">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3199AF01">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01E5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其中：外事接待批次（个）</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EE35F">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47053">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0894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1．政府采购货物支出</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83BC3">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9206F9F">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D9033">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6．国内公务接待人次（人）</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E63D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1002E">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D471B">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2．政府采购工程支出</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801AD">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7810D56E">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91D6C">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其中：外事接待人次（人）</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35E66">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306AC9">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CB128">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3．政府采购服务支出</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B742E">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11D9736">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64160">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7．国（境）外公务接待批次（个）</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3B30B">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65961">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54569">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（二）政府采购授予中小企业合同金额</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2FD42">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266E5D0E">
        <w:tblPrEx>
          <w:tblCellMar>
            <w:top w:w="0" w:type="dxa"/>
            <w:left w:w="0" w:type="dxa"/>
            <w:bottom w:w="0" w:type="dxa"/>
            <w:right w:w="0" w:type="dxa"/>
          </w:tblCellMar>
        </w:tblPrEx>
        <w:trPr>
          <w:trHeight w:val="346"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9B6E4">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8．国（境）外公务接待人次（人）</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E164A">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BD2BC">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4F94D">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        其中：授予小微企业合同金额</w:t>
            </w: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73232">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r>
      <w:tr w14:paraId="489A9012">
        <w:tblPrEx>
          <w:tblCellMar>
            <w:top w:w="0" w:type="dxa"/>
            <w:left w:w="0" w:type="dxa"/>
            <w:bottom w:w="0" w:type="dxa"/>
            <w:right w:w="0" w:type="dxa"/>
          </w:tblCellMar>
        </w:tblPrEx>
        <w:trPr>
          <w:trHeight w:val="269"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8DCC5">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二、会议费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53A2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331A0">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48419">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9BD52">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r>
      <w:tr w14:paraId="2D503057">
        <w:tblPrEx>
          <w:tblCellMar>
            <w:top w:w="0" w:type="dxa"/>
            <w:left w:w="0" w:type="dxa"/>
            <w:bottom w:w="0" w:type="dxa"/>
            <w:right w:w="0" w:type="dxa"/>
          </w:tblCellMar>
        </w:tblPrEx>
        <w:trPr>
          <w:trHeight w:val="244" w:hRule="atLeast"/>
        </w:trPr>
        <w:tc>
          <w:tcPr>
            <w:tcW w:w="31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A07F7">
            <w:pPr>
              <w:keepNext w:val="0"/>
              <w:keepLines w:val="0"/>
              <w:pageBreakBefore w:val="0"/>
              <w:widowControl/>
              <w:kinsoku/>
              <w:overflowPunct/>
              <w:topLinePunct w:val="0"/>
              <w:autoSpaceDE/>
              <w:autoSpaceDN/>
              <w:bidi w:val="0"/>
              <w:adjustRightInd/>
              <w:snapToGrid/>
              <w:spacing w:line="360" w:lineRule="exact"/>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三、培训费</w:t>
            </w:r>
          </w:p>
        </w:tc>
        <w:tc>
          <w:tcPr>
            <w:tcW w:w="10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6443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w:t>
            </w:r>
          </w:p>
        </w:tc>
        <w:tc>
          <w:tcPr>
            <w:tcW w:w="8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23723">
            <w:pPr>
              <w:keepNext w:val="0"/>
              <w:keepLines w:val="0"/>
              <w:pageBreakBefore w:val="0"/>
              <w:widowControl/>
              <w:kinsoku/>
              <w:overflowPunct/>
              <w:topLinePunct w:val="0"/>
              <w:autoSpaceDE/>
              <w:autoSpaceDN/>
              <w:bidi w:val="0"/>
              <w:adjustRightInd/>
              <w:snapToGrid/>
              <w:spacing w:line="360" w:lineRule="exact"/>
              <w:jc w:val="right"/>
              <w:textAlignment w:val="bottom"/>
              <w:rPr>
                <w:rFonts w:hint="default" w:ascii="Times New Roman" w:hAnsi="Times New Roman" w:cs="Times New Roman"/>
                <w:color w:val="auto"/>
                <w:sz w:val="20"/>
                <w:szCs w:val="20"/>
              </w:rPr>
            </w:pPr>
            <w:r>
              <w:rPr>
                <w:rFonts w:hint="default" w:ascii="Times New Roman" w:hAnsi="Times New Roman" w:cs="Times New Roman"/>
                <w:color w:val="auto"/>
                <w:sz w:val="20"/>
                <w:szCs w:val="20"/>
              </w:rPr>
              <w:t>0.54</w:t>
            </w:r>
            <w:r>
              <w:rPr>
                <w:rFonts w:hint="default" w:ascii="Times New Roman" w:hAnsi="Times New Roman" w:cs="Times New Roman"/>
                <w:color w:val="auto"/>
                <w:sz w:val="20"/>
                <w:u w:color="auto"/>
              </w:rPr>
              <w:t xml:space="preserve"> </w:t>
            </w:r>
          </w:p>
        </w:tc>
        <w:tc>
          <w:tcPr>
            <w:tcW w:w="30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24295">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0"/>
                <w:szCs w:val="20"/>
              </w:rPr>
            </w:pPr>
          </w:p>
        </w:tc>
        <w:tc>
          <w:tcPr>
            <w:tcW w:w="8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1CF40">
            <w:pPr>
              <w:keepNext w:val="0"/>
              <w:keepLines w:val="0"/>
              <w:pageBreakBefore w:val="0"/>
              <w:widowControl/>
              <w:kinsoku/>
              <w:overflowPunct/>
              <w:topLinePunct w:val="0"/>
              <w:autoSpaceDE/>
              <w:autoSpaceDN/>
              <w:bidi w:val="0"/>
              <w:adjustRightInd/>
              <w:snapToGrid/>
              <w:spacing w:line="360" w:lineRule="exact"/>
              <w:jc w:val="right"/>
              <w:rPr>
                <w:rFonts w:hint="default" w:ascii="Times New Roman" w:hAnsi="Times New Roman" w:cs="Times New Roman"/>
                <w:color w:val="auto"/>
                <w:sz w:val="20"/>
                <w:szCs w:val="20"/>
              </w:rPr>
            </w:pPr>
          </w:p>
        </w:tc>
      </w:tr>
    </w:tbl>
    <w:p w14:paraId="70B9FD6D">
      <w:pPr>
        <w:keepNext w:val="0"/>
        <w:keepLines w:val="0"/>
        <w:pageBreakBefore w:val="0"/>
        <w:widowControl/>
        <w:kinsoku/>
        <w:overflowPunct/>
        <w:topLinePunct w:val="0"/>
        <w:autoSpaceDE/>
        <w:autoSpaceDN/>
        <w:bidi w:val="0"/>
        <w:adjustRightInd/>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t xml:space="preserve">      2.本套报表金额单位转换时可能存在尾数误差。</w:t>
      </w:r>
      <w:r>
        <w:rPr>
          <w:rFonts w:hint="default" w:ascii="Times New Roman" w:hAnsi="Times New Roman" w:cs="Times New Roman"/>
          <w:color w:val="auto"/>
          <w:sz w:val="20"/>
          <w:szCs w:val="20"/>
        </w:rPr>
        <w:br w:type="textWrapping"/>
      </w:r>
      <w:r>
        <w:rPr>
          <w:rFonts w:hint="default" w:ascii="Times New Roman" w:hAnsi="Times New Roman" w:cs="Times New Roman"/>
          <w:color w:val="auto"/>
          <w:sz w:val="20"/>
          <w:szCs w:val="20"/>
        </w:rPr>
        <w:br w:type="textWrapping"/>
      </w:r>
    </w:p>
    <w:sectPr>
      <w:head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221A">
    <w:pPr>
      <w:pStyle w:val="4"/>
      <w:rPr>
        <w:rFonts w:hint="default"/>
      </w:rPr>
    </w:pPr>
    <w:r>
      <w:rPr>
        <w:sz w:val="18"/>
      </w:rPr>
      <w:pict>
        <v:shape id="_x0000_s1029" o:spid="_x0000_s102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BA31A94">
                <w:pPr>
                  <w:pStyle w:val="4"/>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7E2A">
    <w:pPr>
      <w:pStyle w:val="5"/>
      <w:pBdr>
        <w:bottom w:val="none" w:color="auto" w:sz="0" w:space="0"/>
      </w:pBdr>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D43390"/>
    <w:rsid w:val="0A3317EA"/>
    <w:rsid w:val="0A5C4B69"/>
    <w:rsid w:val="0A86124A"/>
    <w:rsid w:val="0AB54CC0"/>
    <w:rsid w:val="0B227D96"/>
    <w:rsid w:val="0B9335CE"/>
    <w:rsid w:val="0BF2311A"/>
    <w:rsid w:val="0C7927C4"/>
    <w:rsid w:val="0C9B098C"/>
    <w:rsid w:val="0D673E11"/>
    <w:rsid w:val="0D6A12FE"/>
    <w:rsid w:val="0DDA54E4"/>
    <w:rsid w:val="0E3A5F83"/>
    <w:rsid w:val="0E7E532D"/>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451DB1"/>
    <w:rsid w:val="21556F04"/>
    <w:rsid w:val="22403BD3"/>
    <w:rsid w:val="22CB3689"/>
    <w:rsid w:val="24B92327"/>
    <w:rsid w:val="24C14514"/>
    <w:rsid w:val="2533755C"/>
    <w:rsid w:val="25791755"/>
    <w:rsid w:val="26396DF4"/>
    <w:rsid w:val="27167136"/>
    <w:rsid w:val="271B442C"/>
    <w:rsid w:val="27B23302"/>
    <w:rsid w:val="27CB28F3"/>
    <w:rsid w:val="29310A5F"/>
    <w:rsid w:val="29C37A35"/>
    <w:rsid w:val="2A076083"/>
    <w:rsid w:val="2A73162E"/>
    <w:rsid w:val="2B167953"/>
    <w:rsid w:val="2B200583"/>
    <w:rsid w:val="2B8209DE"/>
    <w:rsid w:val="2C636760"/>
    <w:rsid w:val="2C6762A3"/>
    <w:rsid w:val="2EF24A3A"/>
    <w:rsid w:val="2FCA4B37"/>
    <w:rsid w:val="2FE029D7"/>
    <w:rsid w:val="2FF06E00"/>
    <w:rsid w:val="30586FEC"/>
    <w:rsid w:val="315F0B22"/>
    <w:rsid w:val="31D84415"/>
    <w:rsid w:val="32285F6F"/>
    <w:rsid w:val="326659FE"/>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9B607D"/>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4F443E5E"/>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14337A"/>
    <w:rsid w:val="5842572D"/>
    <w:rsid w:val="5A3B59D6"/>
    <w:rsid w:val="5AD134D8"/>
    <w:rsid w:val="5C263CE4"/>
    <w:rsid w:val="5C5D2777"/>
    <w:rsid w:val="5CF66BF3"/>
    <w:rsid w:val="5D290C69"/>
    <w:rsid w:val="5F2D4A41"/>
    <w:rsid w:val="60C74F6C"/>
    <w:rsid w:val="61025A59"/>
    <w:rsid w:val="613D5BBC"/>
    <w:rsid w:val="61536C39"/>
    <w:rsid w:val="6270115C"/>
    <w:rsid w:val="62944DD7"/>
    <w:rsid w:val="6319381F"/>
    <w:rsid w:val="63C25DC5"/>
    <w:rsid w:val="63C62057"/>
    <w:rsid w:val="64571EF5"/>
    <w:rsid w:val="64FB113D"/>
    <w:rsid w:val="656152C6"/>
    <w:rsid w:val="6587477F"/>
    <w:rsid w:val="658C3A08"/>
    <w:rsid w:val="65C031CA"/>
    <w:rsid w:val="65C977CF"/>
    <w:rsid w:val="65CE6852"/>
    <w:rsid w:val="66267C04"/>
    <w:rsid w:val="663F505A"/>
    <w:rsid w:val="664369E3"/>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FF7AF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keepNext w:val="0"/>
      <w:keepLines w:val="0"/>
      <w:widowControl/>
      <w:suppressLineNumbers w:val="0"/>
      <w:adjustRightInd w:val="0"/>
      <w:snapToGrid w:val="0"/>
      <w:spacing w:before="0" w:beforeAutospacing="0" w:after="0" w:afterAutospacing="0" w:line="360" w:lineRule="auto"/>
      <w:ind w:left="0" w:right="0"/>
      <w:jc w:val="left"/>
    </w:pPr>
    <w:rPr>
      <w:rFonts w:hint="default" w:ascii="仿宋_GB2312" w:hAnsi="宋体" w:eastAsia="仿宋_GB2312" w:cs="宋体"/>
      <w:kern w:val="0"/>
      <w:sz w:val="28"/>
      <w:szCs w:val="28"/>
      <w:lang w:val="en-US" w:eastAsia="zh-CN" w:bidi="ar"/>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4004</Words>
  <Characters>22825</Characters>
  <Lines>190</Lines>
  <Paragraphs>53</Paragraphs>
  <TotalTime>7</TotalTime>
  <ScaleCrop>false</ScaleCrop>
  <LinksUpToDate>false</LinksUpToDate>
  <CharactersWithSpaces>26776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gsjd4</cp:lastModifiedBy>
  <dcterms:modified xsi:type="dcterms:W3CDTF">2026-03-18T15:20:46Z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ies>
</file>