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eastAsia"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重庆市荣昌区人民政府广顺街道办事处2024年度决算公开说明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一、部门基本情况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b w:val="0"/>
          <w:color w:val="auto"/>
          <w:kern w:val="0"/>
          <w:sz w:val="32"/>
          <w:szCs w:val="32"/>
          <w:shd w:val="clear" w:fill="FFFFFF"/>
        </w:rPr>
        <w:t>广顺街道办事处主要负责基层党建、群团、宣传、精神文明、统战、法制、武装、政协、民宗侨台以及综合协调、文秘、经济发展规划、农村经营管理、经济社会统计、扶贫开发、产业发展及产业扶贫、民政、教育、卫生、 计生、老龄事业发展、文化、体育、社会救助、残疾人事业、劳动就业、社会保障、人民调解、社会治安综合治理、维护社会稳定、规划建设、市政公用、市容环卫、环境保护、农村公路建设养护管理、财政收支、预决算、总会计、安全生产综合监管、 应急管理、集中行使依法授权或委托的农林水利、规划建设、环境保护、卫生计生、文化旅游、民政管理等领域的行政执法权、辖区内文化体育阵地建设、便民服务、社情民意收集与引导、综合信息收集与管理和社区服务队伍建设、社区服务信息化建设、就业、再就业、农村富余劳动力转移、劳动和社会保障、社会救助等方面的事务性服务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（二）机构设置。</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b w:val="0"/>
          <w:color w:val="auto"/>
          <w:kern w:val="0"/>
          <w:sz w:val="32"/>
          <w:szCs w:val="32"/>
          <w:shd w:val="clear" w:fill="FFFFFF"/>
        </w:rPr>
        <w:t>重庆市荣昌区广顺街道办事处内设机构</w:t>
      </w:r>
      <w:r>
        <w:rPr>
          <w:rFonts w:hint="eastAsia" w:ascii="方正仿宋_GBK" w:hAnsi="方正仿宋_GBK" w:eastAsia="方正仿宋_GBK" w:cs="方正仿宋_GBK"/>
          <w:b w:val="0"/>
          <w:color w:val="auto"/>
          <w:kern w:val="0"/>
          <w:sz w:val="32"/>
          <w:szCs w:val="32"/>
          <w:shd w:val="clear" w:fill="FFFFFF"/>
          <w:lang w:val="en-US" w:eastAsia="zh-CN"/>
        </w:rPr>
        <w:t>10个</w:t>
      </w:r>
      <w:r>
        <w:rPr>
          <w:rFonts w:hint="eastAsia" w:ascii="方正仿宋_GBK" w:hAnsi="方正仿宋_GBK" w:eastAsia="方正仿宋_GBK" w:cs="方正仿宋_GBK"/>
          <w:b w:val="0"/>
          <w:color w:val="auto"/>
          <w:kern w:val="0"/>
          <w:sz w:val="32"/>
          <w:szCs w:val="32"/>
          <w:shd w:val="clear" w:fill="FFFFFF"/>
        </w:rPr>
        <w:t>：党政办公室、党群工作办公室、经济发展办公室、民政和社区事务办公室、平安建设办公室、规划建设管理环保办公室、财政办公室、应急管理办公室、区人大街道工委办公室、综合行政执法办公室</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b w:val="0"/>
          <w:color w:val="auto"/>
          <w:kern w:val="0"/>
          <w:sz w:val="32"/>
          <w:szCs w:val="32"/>
          <w:shd w:val="clear" w:fill="FFFFFF"/>
          <w:lang w:val="en-US" w:eastAsia="zh-CN"/>
        </w:rPr>
        <w:t>下属单位8个</w:t>
      </w:r>
      <w:r>
        <w:rPr>
          <w:rFonts w:hint="eastAsia" w:ascii="方正仿宋_GBK" w:hAnsi="方正仿宋_GBK" w:eastAsia="方正仿宋_GBK" w:cs="方正仿宋_GBK"/>
          <w:b w:val="0"/>
          <w:color w:val="auto"/>
          <w:kern w:val="0"/>
          <w:sz w:val="32"/>
          <w:szCs w:val="32"/>
          <w:shd w:val="clear" w:fill="FFFFFF"/>
        </w:rPr>
        <w:t>：广顺街道办事处</w:t>
      </w:r>
      <w:r>
        <w:rPr>
          <w:rFonts w:hint="eastAsia" w:ascii="方正仿宋_GBK" w:hAnsi="方正仿宋_GBK" w:eastAsia="方正仿宋_GBK" w:cs="方正仿宋_GBK"/>
          <w:b w:val="0"/>
          <w:color w:val="auto"/>
          <w:kern w:val="0"/>
          <w:sz w:val="32"/>
          <w:szCs w:val="32"/>
          <w:shd w:val="clear" w:fill="FFFFFF"/>
          <w:lang w:val="en-US" w:eastAsia="zh-CN"/>
        </w:rPr>
        <w:t>本级、</w:t>
      </w:r>
      <w:r>
        <w:rPr>
          <w:rFonts w:hint="eastAsia" w:ascii="方正仿宋_GBK" w:hAnsi="方正仿宋_GBK" w:eastAsia="方正仿宋_GBK" w:cs="方正仿宋_GBK"/>
          <w:b w:val="0"/>
          <w:color w:val="auto"/>
          <w:kern w:val="0"/>
          <w:sz w:val="32"/>
          <w:szCs w:val="32"/>
          <w:shd w:val="clear" w:fill="FFFFFF"/>
        </w:rPr>
        <w:t>社区事务服务中心、社区文化服务中心、劳动就业和社会保障服务所、退役军人服务站、综合行政执法大队、农业服务中心、建设环保服务中心。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（三）单位构成。</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val="0"/>
          <w:color w:val="auto"/>
          <w:kern w:val="0"/>
          <w:sz w:val="32"/>
          <w:szCs w:val="32"/>
          <w:shd w:val="clear" w:fill="FFFFFF"/>
        </w:rPr>
        <w:t>从预算单位构成看，纳入本部门202</w:t>
      </w:r>
      <w:r>
        <w:rPr>
          <w:rFonts w:hint="eastAsia" w:ascii="方正仿宋_GBK" w:hAnsi="方正仿宋_GBK" w:eastAsia="方正仿宋_GBK" w:cs="方正仿宋_GBK"/>
          <w:b w:val="0"/>
          <w:color w:val="auto"/>
          <w:kern w:val="0"/>
          <w:sz w:val="32"/>
          <w:szCs w:val="32"/>
          <w:shd w:val="clear" w:fill="FFFFFF"/>
          <w:lang w:val="en-US" w:eastAsia="zh-CN"/>
        </w:rPr>
        <w:t>4</w:t>
      </w:r>
      <w:r>
        <w:rPr>
          <w:rFonts w:hint="eastAsia" w:ascii="方正仿宋_GBK" w:hAnsi="方正仿宋_GBK" w:eastAsia="方正仿宋_GBK" w:cs="方正仿宋_GBK"/>
          <w:b w:val="0"/>
          <w:color w:val="auto"/>
          <w:kern w:val="0"/>
          <w:sz w:val="32"/>
          <w:szCs w:val="32"/>
          <w:shd w:val="clear" w:fill="FFFFFF"/>
        </w:rPr>
        <w:t>年度决算编制的二级预算单位主要包括下属8个二级预算单位分别是：广顺街道办事处（本级）、社区事务服务中心、社区文化服务中心、劳动就业和社会保障服务所、退役军人服务站、综合行政执法大队、农业服务中心、建设环保服务中心</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二、部门决算收支情况说明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10428.67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收、支与2023年度相比，减少1521.85万元，下降12.7%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檬梓桥社区配套基础设施改造工程、场镇品质提升项目、能源集团移交人员支出及运转项目等项目减少</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9735.10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与2023年度相比，减少2139.60万元，下降18.0%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檬梓桥社区配套基础设施改造工程、场镇品质提升项目、能源集团移交人员支出及运转项目等项目收入减少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9735.10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693.57</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10360.83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与2023年度相比，减少1519.87万元，下降12.8%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厉行节约严控办公差旅等基本支出减少、檬梓桥社区配套基础设施改造工程、场镇品质提升项目等项目支出减少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2732.62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26.4%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7628.21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73.6%</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hint="eastAsia" w:ascii="Times New Roman" w:hAnsi="Times New Roman" w:eastAsia="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67.84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与2023年度相比，减少1.98万元，下降2.8%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非财政拨款项目支出增加</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10358.85</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财政拨款收、支总计各减少1521.85万元，下降12.8%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厉行节约严控办公差旅等基本支出减少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檬梓桥社区配套基础设施改造工程、场镇品质提升项目等项目</w:t>
      </w:r>
      <w:r>
        <w:rPr>
          <w:rFonts w:hint="eastAsia" w:ascii="方正仿宋_GBK" w:hAnsi="方正仿宋_GBK" w:eastAsia="方正仿宋_GBK" w:cs="方正仿宋_GBK"/>
          <w:color w:val="auto"/>
          <w:sz w:val="32"/>
          <w:szCs w:val="32"/>
          <w:shd w:val="clear" w:color="auto" w:fill="FFFFFF"/>
          <w:lang w:val="en-US" w:eastAsia="zh-CN"/>
        </w:rPr>
        <w:t>收支</w:t>
      </w:r>
      <w:r>
        <w:rPr>
          <w:rFonts w:hint="eastAsia" w:ascii="方正仿宋_GBK" w:hAnsi="方正仿宋_GBK" w:eastAsia="方正仿宋_GBK" w:cs="方正仿宋_GBK"/>
          <w:color w:val="auto"/>
          <w:sz w:val="32"/>
          <w:szCs w:val="32"/>
          <w:shd w:val="clear" w:color="auto" w:fill="FFFFFF"/>
        </w:rPr>
        <w:t>减少</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9535.03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与2023年度相比，减少2263.91万元，下降19.2%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檬梓桥社区配套基础设施改造工程、场镇品质提升项目、能源集团移交人员支出及运转项目等项目收入减少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较年初预算数增加78.94万元，增长0.8%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年中财政美丽宜居村建设、棚户区修缮加固改补助、檬梓桥社区配套基础设施改造工程等老旧小区综合改造等项目</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623.75</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10158.78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与2023年度相比，减少1646.16万元，下降13.9%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厉行节约严控办公差旅等基本支出减少、檬梓桥社区配套基础设施改造工程、场镇品质提升项目等项目支出减少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较年初预算数增加702.69万元，增长7.4%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w:t>
      </w:r>
      <w:r>
        <w:rPr>
          <w:rFonts w:ascii="方正仿宋_GBK" w:hAnsi="方正仿宋_GBK" w:eastAsia="方正仿宋_GBK" w:cs="方正仿宋_GBK"/>
          <w:color w:val="auto"/>
          <w:sz w:val="32"/>
          <w:szCs w:val="32"/>
          <w:highlight w:val="none"/>
          <w:shd w:val="clear" w:color="auto" w:fill="FFFFFF"/>
        </w:rPr>
        <w:t>年初财政拨款结转和结余</w:t>
      </w:r>
      <w:r>
        <w:rPr>
          <w:rFonts w:hint="eastAsia" w:ascii="方正仿宋_GBK" w:hAnsi="方正仿宋_GBK" w:eastAsia="方正仿宋_GBK" w:cs="方正仿宋_GBK"/>
          <w:color w:val="auto"/>
          <w:sz w:val="32"/>
          <w:szCs w:val="32"/>
          <w:highlight w:val="none"/>
          <w:shd w:val="clear" w:color="auto" w:fill="FFFFFF"/>
          <w:lang w:eastAsia="zh-CN"/>
        </w:rPr>
        <w:t>的</w:t>
      </w:r>
      <w:r>
        <w:rPr>
          <w:rFonts w:hint="eastAsia" w:ascii="方正仿宋_GBK" w:hAnsi="方正仿宋_GBK" w:eastAsia="方正仿宋_GBK" w:cs="方正仿宋_GBK"/>
          <w:color w:val="auto"/>
          <w:sz w:val="32"/>
          <w:szCs w:val="32"/>
          <w:highlight w:val="none"/>
          <w:shd w:val="clear" w:color="auto" w:fill="FFFFFF"/>
          <w:lang w:val="en-US" w:eastAsia="zh-CN"/>
        </w:rPr>
        <w:t>项目支出，及美丽宜居村建设、棚户区修缮加固改补助、檬梓桥社区配套基础设施改造工程等老旧小区综合改造等项目支出增加</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1484.63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较年初预算数减少305.50万元，下降17.1%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2023年年终预发减少及厉行节约严控办公、差旅等公用经费支出，且市场主体经济专项扶持等项目支出减少</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14.42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较年初预算数增加0.64万元，增长4.6%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年中财政追加社区教育经费</w:t>
      </w:r>
      <w:r>
        <w:rPr>
          <w:rFonts w:hint="eastAsia" w:ascii="方正仿宋_GBK" w:hAnsi="方正仿宋_GBK" w:eastAsia="方正仿宋_GBK" w:cs="方正仿宋_GBK"/>
          <w:color w:val="auto"/>
          <w:sz w:val="32"/>
          <w:szCs w:val="32"/>
          <w:shd w:val="clear" w:color="auto" w:fill="FFFFFF"/>
          <w:lang w:val="en-US" w:eastAsia="zh-CN"/>
        </w:rPr>
        <w:t>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60.39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较年初预算数减少18.26万元，下降23.2%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中央公共文化资金等项目支出减少</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5678.18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55.9%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较年初预算数增加170.84万元，增长3.1%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年中财政追敬老院补缴土地有偿使用、老年人保健金等项目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148.57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较年初预算数增加9.34万元，增长6.7%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年中财政追加基本医疗保险工作、医保服务工程建设项目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 (A由部门根据实际情况补充)。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350.35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较年初预算数增加10.00万元，增长2.9%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年中财政追加基础设施建设项目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1392.78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较年初预算数增加99.10万元，增长7.7%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年中财政追加河湖治理工程、美丽宜居村建设、森林防火预防等项目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79.40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较年初预算数增加29.95万元，增长60.6%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w:t>
      </w:r>
      <w:r>
        <w:rPr>
          <w:rFonts w:hint="eastAsia" w:ascii="方正仿宋_GBK" w:hAnsi="方正仿宋_GBK" w:eastAsia="方正仿宋_GBK" w:cs="方正仿宋_GBK"/>
          <w:color w:val="auto"/>
          <w:sz w:val="32"/>
          <w:szCs w:val="32"/>
          <w:shd w:val="clear" w:color="auto" w:fill="FFFFFF"/>
        </w:rPr>
        <w:t>农村公路建设补助</w:t>
      </w:r>
      <w:r>
        <w:rPr>
          <w:rFonts w:hint="eastAsia" w:ascii="方正仿宋_GBK" w:hAnsi="方正仿宋_GBK" w:eastAsia="方正仿宋_GBK" w:cs="方正仿宋_GBK"/>
          <w:color w:val="auto"/>
          <w:sz w:val="32"/>
          <w:szCs w:val="32"/>
          <w:shd w:val="clear" w:color="auto" w:fill="FFFFFF"/>
          <w:lang w:eastAsia="zh-CN"/>
        </w:rPr>
        <w:t>、通院道路建设项目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14.23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较年初预算数增加14.23万元，增长100.0%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w:t>
      </w:r>
      <w:r>
        <w:rPr>
          <w:rFonts w:hint="default" w:ascii="Times New Roman" w:hAnsi="Times New Roman" w:eastAsia="方正仿宋_GBK" w:cs="Times New Roman"/>
          <w:b w:val="0"/>
          <w:bCs w:val="0"/>
          <w:color w:val="auto"/>
          <w:sz w:val="32"/>
          <w:szCs w:val="32"/>
          <w:shd w:val="clear" w:color="auto" w:fill="FFFFFF"/>
          <w:lang w:val="en-US" w:eastAsia="zh-CN"/>
        </w:rPr>
        <w:t>耕地缺口恢复补足项目</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930.72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较年初预算数增加692.34万元，增长290.4%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年中财政追加棚户区修缮加固改造补助、檬梓桥社区配套基础设施改造工程等老旧小区综合改造项目</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2732.62</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2342.07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与2023年度相比，减少302.78万元，下降11.5%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因调出、离职等原因共减少8人，基本工资、社保等工资福利费用减少</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val="0"/>
          <w:color w:val="auto"/>
          <w:kern w:val="0"/>
          <w:sz w:val="32"/>
          <w:szCs w:val="32"/>
          <w:shd w:val="clear" w:fill="FFFFFF"/>
        </w:rPr>
        <w:t>基本工资、津贴补贴、奖金、社会保障缴费、住房公积金、生活补助、医疗费用补助</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390.55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与2023年度相比，减少17.84万元，下降4.4%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厉行节约严控办公、差旅等公用经费支出</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val="0"/>
          <w:color w:val="auto"/>
          <w:kern w:val="0"/>
          <w:sz w:val="32"/>
          <w:szCs w:val="32"/>
          <w:shd w:val="clear" w:fill="FFFFFF"/>
        </w:rPr>
        <w:t>办公费、水电费、劳务费、会议费、办公设备购置、维修（护）费、邮电费、工会经费、差旅费、公务接待费、差旅费、培训费、公务车运行维护费、</w:t>
      </w:r>
      <w:r>
        <w:rPr>
          <w:rFonts w:hint="default" w:ascii="Times New Roman" w:hAnsi="Times New Roman" w:eastAsia="方正仿宋_GBK" w:cs="Times New Roman"/>
          <w:b w:val="0"/>
          <w:bCs w:val="0"/>
          <w:color w:val="auto"/>
          <w:kern w:val="0"/>
          <w:sz w:val="32"/>
          <w:szCs w:val="32"/>
          <w:shd w:val="clear" w:fill="FFFFFF"/>
          <w:lang w:val="en-US" w:eastAsia="zh-CN"/>
        </w:rPr>
        <w:t>专用材料费、委托业务费、福利费、</w:t>
      </w:r>
      <w:r>
        <w:rPr>
          <w:rFonts w:hint="default" w:ascii="Times New Roman" w:hAnsi="Times New Roman" w:eastAsia="方正仿宋_GBK" w:cs="Times New Roman"/>
          <w:b w:val="0"/>
          <w:bCs w:val="0"/>
          <w:color w:val="auto"/>
          <w:kern w:val="0"/>
          <w:sz w:val="32"/>
          <w:szCs w:val="32"/>
          <w:shd w:val="clear" w:fill="FFFFFF"/>
        </w:rPr>
        <w:t>其他交通费用及其他商品和服务费</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198.13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与2023年度相比，增加122.38万元，增长161.6%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新增老旧小区改造工程、敬老院护理人员保障、精神障碍社区康复服务发展政府性基金项目</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198.13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与2023年度相比，增加122.38万元，增长161.6%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新增老旧小区改造工程、敬老院护理人员保障、精神障碍社区康复服务发展政府性基金项目</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年度国有资本经营预算财政拨款支出</w:t>
      </w:r>
      <w:r>
        <w:rPr>
          <w:rFonts w:hint="default" w:ascii="Times New Roman" w:hAnsi="Times New Roman" w:eastAsia="方正仿宋_GBK"/>
          <w:color w:val="auto"/>
          <w:sz w:val="32"/>
          <w:szCs w:val="32"/>
          <w:shd w:val="clear" w:color="auto" w:fill="FFFFFF"/>
        </w:rPr>
        <w:t>1.94</w:t>
      </w:r>
      <w:r>
        <w:rPr>
          <w:rFonts w:ascii="方正仿宋_GBK" w:hAnsi="方正仿宋_GBK" w:eastAsia="方正仿宋_GBK" w:cs="方正仿宋_GBK"/>
          <w:color w:val="auto"/>
          <w:sz w:val="32"/>
          <w:szCs w:val="32"/>
          <w:shd w:val="clear" w:color="auto" w:fill="FFFFFF"/>
        </w:rPr>
        <w:t>万元，基本支出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万元，项目支出</w:t>
      </w:r>
      <w:r>
        <w:rPr>
          <w:rFonts w:hint="default" w:ascii="Times New Roman" w:hAnsi="Times New Roman" w:eastAsia="方正仿宋_GBK"/>
          <w:color w:val="auto"/>
          <w:sz w:val="32"/>
          <w:szCs w:val="32"/>
          <w:shd w:val="clear" w:color="auto" w:fill="FFFFFF"/>
        </w:rPr>
        <w:t>1.94</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国有企业退休人员社会化管理项目</w:t>
      </w:r>
      <w:r>
        <w:rPr>
          <w:rFonts w:hint="eastAsia" w:ascii="方正仿宋_GBK" w:hAnsi="方正仿宋_GBK" w:eastAsia="方正仿宋_GBK" w:cs="方正仿宋_GBK"/>
          <w:color w:val="auto"/>
          <w:sz w:val="32"/>
          <w:szCs w:val="32"/>
          <w:shd w:val="clear" w:color="auto" w:fill="FFFFFF"/>
          <w:lang w:val="en-US" w:eastAsia="zh-CN"/>
        </w:rPr>
        <w:t>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三、财政拨款“三公”经费情况说明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13.29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较年初预算数减少3.71万元，下降21.8%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本年度未发生公务用车购置费用</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较上年支出数减少19.61万元，下降59.6%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本年度未发生公务用车购置费用</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年度本单位因公出国（境）费用</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本单位202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val="en-US" w:eastAsia="zh-CN"/>
        </w:rPr>
        <w:t>年度无</w:t>
      </w:r>
      <w:r>
        <w:rPr>
          <w:rFonts w:hint="default" w:ascii="Times New Roman" w:hAnsi="Times New Roman" w:eastAsia="方正仿宋_GBK" w:cs="Times New Roman"/>
          <w:b w:val="0"/>
          <w:bCs w:val="0"/>
          <w:color w:val="auto"/>
          <w:sz w:val="32"/>
          <w:szCs w:val="32"/>
          <w:shd w:val="clear" w:color="auto" w:fill="FFFFFF"/>
        </w:rPr>
        <w:t>因公出国（境）</w:t>
      </w:r>
      <w:r>
        <w:rPr>
          <w:rFonts w:hint="default" w:ascii="Times New Roman" w:hAnsi="Times New Roman" w:eastAsia="方正仿宋_GBK" w:cs="Times New Roman"/>
          <w:b w:val="0"/>
          <w:bCs w:val="0"/>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。较上年支出数无增减，主要原因是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本单位未安排人员</w:t>
      </w:r>
      <w:r>
        <w:rPr>
          <w:rFonts w:hint="default" w:ascii="Times New Roman" w:hAnsi="Times New Roman" w:eastAsia="方正仿宋_GBK" w:cs="Times New Roman"/>
          <w:b w:val="0"/>
          <w:bCs w:val="0"/>
          <w:color w:val="auto"/>
          <w:sz w:val="32"/>
          <w:szCs w:val="32"/>
          <w:shd w:val="clear" w:color="auto" w:fill="FFFFFF"/>
        </w:rPr>
        <w:t>因公出国（境）。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本单位2024年度未购置公务用车</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较上年支出数减少19.75万元，下降100.0%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本单位2024年度未购置公务用车</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12.16</w:t>
      </w:r>
      <w:r>
        <w:rPr>
          <w:rFonts w:ascii="方正仿宋_GBK" w:hAnsi="方正仿宋_GBK" w:eastAsia="方正仿宋_GBK" w:cs="方正仿宋_GBK"/>
          <w:color w:val="auto"/>
          <w:sz w:val="32"/>
          <w:szCs w:val="32"/>
          <w:shd w:val="clear" w:color="auto" w:fill="FFFFFF"/>
        </w:rPr>
        <w:t>万元，主要用于</w:t>
      </w:r>
      <w:r>
        <w:rPr>
          <w:rFonts w:hint="default" w:ascii="Times New Roman" w:hAnsi="Times New Roman" w:eastAsia="方正仿宋_GBK" w:cs="Times New Roman"/>
          <w:b w:val="0"/>
          <w:bCs w:val="0"/>
          <w:color w:val="auto"/>
          <w:kern w:val="0"/>
          <w:sz w:val="32"/>
          <w:szCs w:val="32"/>
          <w:shd w:val="clear" w:fill="FFFFFF"/>
        </w:rPr>
        <w:t>机要文件交换、市内因公出行、各项业务检查等工作所需车辆的燃料费、维修费、过桥过路费、保险费等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较年初预算数减少2.84万元，下降18.9%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厉行节约严格控制公务用车运行维护费用</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较上年支出数增加1.66万元，增长15.8%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衔接乡村振兴工作任务繁重、用车频繁导致公车使用成本增加</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1.13</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sz w:val="32"/>
          <w:szCs w:val="32"/>
          <w:shd w:val="clear" w:color="auto" w:fill="FFFFFF"/>
          <w:lang w:val="en-US" w:eastAsia="zh-CN"/>
        </w:rPr>
        <w:t>市、</w:t>
      </w:r>
      <w:r>
        <w:rPr>
          <w:rFonts w:hint="default" w:ascii="Times New Roman" w:hAnsi="Times New Roman" w:eastAsia="方正仿宋_GBK" w:cs="Times New Roman"/>
          <w:b w:val="0"/>
          <w:bCs w:val="0"/>
          <w:color w:val="auto"/>
          <w:kern w:val="0"/>
          <w:sz w:val="32"/>
          <w:szCs w:val="32"/>
          <w:shd w:val="clear" w:fill="FFFFFF"/>
        </w:rPr>
        <w:t>区各部门到街道检查与指导工作接待</w:t>
      </w:r>
      <w:r>
        <w:rPr>
          <w:rFonts w:hint="eastAsia" w:ascii="Times New Roman" w:hAnsi="Times New Roman" w:eastAsia="方正仿宋_GBK" w:cs="Times New Roman"/>
          <w:b w:val="0"/>
          <w:bCs w:val="0"/>
          <w:color w:val="auto"/>
          <w:kern w:val="0"/>
          <w:sz w:val="32"/>
          <w:szCs w:val="32"/>
          <w:shd w:val="clear" w:fill="FFFFFF"/>
          <w:lang w:val="en-US" w:eastAsia="zh-CN"/>
        </w:rPr>
        <w:t>及</w:t>
      </w:r>
      <w:r>
        <w:rPr>
          <w:rFonts w:hint="default" w:ascii="Times New Roman" w:hAnsi="Times New Roman" w:eastAsia="方正仿宋_GBK" w:cs="Times New Roman"/>
          <w:b w:val="0"/>
          <w:bCs w:val="0"/>
          <w:color w:val="auto"/>
          <w:kern w:val="0"/>
          <w:sz w:val="32"/>
          <w:szCs w:val="32"/>
          <w:shd w:val="clear" w:fill="FFFFFF"/>
        </w:rPr>
        <w:t>招商引资接待</w:t>
      </w:r>
      <w:r>
        <w:rPr>
          <w:rFonts w:hint="eastAsia" w:ascii="Times New Roman" w:hAnsi="Times New Roman" w:eastAsia="方正仿宋_GBK" w:cs="Times New Roman"/>
          <w:b w:val="0"/>
          <w:bCs w:val="0"/>
          <w:color w:val="auto"/>
          <w:kern w:val="0"/>
          <w:sz w:val="32"/>
          <w:szCs w:val="32"/>
          <w:shd w:val="clear" w:fill="FFFFFF"/>
          <w:lang w:val="en-US" w:eastAsia="zh-CN"/>
        </w:rPr>
        <w:t>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较年初预算数减少0.87万元，下降43.5%</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b w:val="0"/>
          <w:bCs w:val="0"/>
          <w:color w:val="auto"/>
          <w:kern w:val="0"/>
          <w:sz w:val="32"/>
          <w:szCs w:val="32"/>
          <w:shd w:val="clear" w:fill="FFFFFF"/>
        </w:rPr>
        <w:t>认真贯彻落实中央八项规定精神，</w:t>
      </w:r>
      <w:r>
        <w:rPr>
          <w:rFonts w:hint="eastAsia" w:ascii="Times New Roman" w:hAnsi="Times New Roman" w:eastAsia="方正仿宋_GBK" w:cs="Times New Roman"/>
          <w:b w:val="0"/>
          <w:bCs w:val="0"/>
          <w:color w:val="auto"/>
          <w:kern w:val="0"/>
          <w:sz w:val="32"/>
          <w:szCs w:val="32"/>
          <w:shd w:val="clear" w:fill="FFFFFF"/>
          <w:lang w:val="en-US" w:eastAsia="zh-CN"/>
        </w:rPr>
        <w:t>树立国“紧日子”思想，将节约理念贯穿于公务接待的各个环节</w:t>
      </w:r>
      <w:r>
        <w:rPr>
          <w:rFonts w:hint="default" w:ascii="Times New Roman" w:hAnsi="Times New Roman" w:eastAsia="方正仿宋_GBK" w:cs="Times New Roman"/>
          <w:b w:val="0"/>
          <w:bCs w:val="0"/>
          <w:color w:val="auto"/>
          <w:kern w:val="0"/>
          <w:sz w:val="32"/>
          <w:szCs w:val="32"/>
          <w:shd w:val="clear" w:fill="FFFFFF"/>
        </w:rPr>
        <w:t>，严控</w:t>
      </w:r>
      <w:r>
        <w:rPr>
          <w:rFonts w:hint="eastAsia" w:ascii="Times New Roman" w:hAnsi="Times New Roman" w:eastAsia="方正仿宋_GBK" w:cs="Times New Roman"/>
          <w:b w:val="0"/>
          <w:bCs w:val="0"/>
          <w:color w:val="auto"/>
          <w:kern w:val="0"/>
          <w:sz w:val="32"/>
          <w:szCs w:val="32"/>
          <w:shd w:val="clear" w:fill="FFFFFF"/>
          <w:lang w:val="en-US" w:eastAsia="zh-CN"/>
        </w:rPr>
        <w:t>控制和监督</w:t>
      </w:r>
      <w:r>
        <w:rPr>
          <w:rFonts w:hint="default" w:ascii="Times New Roman" w:hAnsi="Times New Roman" w:eastAsia="方正仿宋_GBK" w:cs="Times New Roman"/>
          <w:b w:val="0"/>
          <w:bCs w:val="0"/>
          <w:color w:val="auto"/>
          <w:kern w:val="0"/>
          <w:sz w:val="32"/>
          <w:szCs w:val="32"/>
          <w:shd w:val="clear" w:fill="FFFFFF"/>
        </w:rPr>
        <w:t>公务接待费支出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较上年支出数减少1.52万元，下降57.4%</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b w:val="0"/>
          <w:bCs w:val="0"/>
          <w:color w:val="auto"/>
          <w:kern w:val="0"/>
          <w:sz w:val="32"/>
          <w:szCs w:val="32"/>
          <w:shd w:val="clear" w:fill="FFFFFF"/>
        </w:rPr>
        <w:t>认真贯彻落实中央八项规定精神，</w:t>
      </w:r>
      <w:r>
        <w:rPr>
          <w:rFonts w:hint="eastAsia" w:ascii="Times New Roman" w:hAnsi="Times New Roman" w:eastAsia="方正仿宋_GBK" w:cs="Times New Roman"/>
          <w:b w:val="0"/>
          <w:bCs w:val="0"/>
          <w:color w:val="auto"/>
          <w:kern w:val="0"/>
          <w:sz w:val="32"/>
          <w:szCs w:val="32"/>
          <w:shd w:val="clear" w:fill="FFFFFF"/>
          <w:lang w:val="en-US" w:eastAsia="zh-CN"/>
        </w:rPr>
        <w:t>树立国“紧日子”思想，</w:t>
      </w:r>
      <w:r>
        <w:rPr>
          <w:rFonts w:hint="default" w:ascii="Times New Roman" w:hAnsi="Times New Roman" w:eastAsia="方正仿宋_GBK" w:cs="Times New Roman"/>
          <w:b w:val="0"/>
          <w:bCs w:val="0"/>
          <w:color w:val="auto"/>
          <w:kern w:val="0"/>
          <w:sz w:val="32"/>
          <w:szCs w:val="32"/>
          <w:shd w:val="clear" w:fill="FFFFFF"/>
        </w:rPr>
        <w:t>严控</w:t>
      </w:r>
      <w:r>
        <w:rPr>
          <w:rFonts w:hint="eastAsia" w:ascii="Times New Roman" w:hAnsi="Times New Roman" w:eastAsia="方正仿宋_GBK" w:cs="Times New Roman"/>
          <w:b w:val="0"/>
          <w:bCs w:val="0"/>
          <w:color w:val="auto"/>
          <w:kern w:val="0"/>
          <w:sz w:val="32"/>
          <w:szCs w:val="32"/>
          <w:shd w:val="clear" w:fill="FFFFFF"/>
          <w:lang w:val="en-US" w:eastAsia="zh-CN"/>
        </w:rPr>
        <w:t>控制和监督</w:t>
      </w:r>
      <w:r>
        <w:rPr>
          <w:rFonts w:hint="default" w:ascii="Times New Roman" w:hAnsi="Times New Roman" w:eastAsia="方正仿宋_GBK" w:cs="Times New Roman"/>
          <w:b w:val="0"/>
          <w:bCs w:val="0"/>
          <w:color w:val="auto"/>
          <w:kern w:val="0"/>
          <w:sz w:val="32"/>
          <w:szCs w:val="32"/>
          <w:shd w:val="clear" w:fill="FFFFFF"/>
        </w:rPr>
        <w:t>公务接待费支出</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125</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90.02</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1.11</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四、其他需要说明的事项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3.82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与2023年度相比，增加0.52万元，增长15.8%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本年度政府工作重点调整、需要召开的会议增加</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13.90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与2023年度相比，减少4.90万元，下降26.1%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厉行节约严格控制培训费支出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5.14</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与2023年度相比，减少57.11万元，下降91.7%</w:t>
      </w:r>
      <w:r>
        <w:rPr>
          <w:rFonts w:ascii="方正仿宋_GBK" w:hAnsi="方正仿宋_GBK" w:eastAsia="方正仿宋_GBK" w:cs="方正仿宋_GBK"/>
          <w:color w:val="auto"/>
          <w:sz w:val="32"/>
          <w:szCs w:val="32"/>
          <w:shd w:val="clear" w:color="auto" w:fill="FFFFFF"/>
        </w:rPr>
        <w:t>，主要原因是</w:t>
      </w:r>
      <w:r>
        <w:rPr>
          <w:rFonts w:ascii="方正仿宋_GBK" w:hAnsi="方正仿宋_GBK" w:eastAsia="方正仿宋_GBK" w:cs="方正仿宋_GBK"/>
          <w:color w:val="auto"/>
          <w:sz w:val="32"/>
          <w:szCs w:val="32"/>
        </w:rPr>
        <w:t>加强对出差人员的培训和宣传，提高其节约意识和规范意识</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应严格执行各项费用的标准和报销流程</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有效规范差旅费的报销行为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严格控制差旅费支出</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rPr>
        <w:t>加强对出差人员的培训和宣传，提高其节约意识和规范意识</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应严格执行各项费用的标准和报销流程</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有效规范差旅费的报销行为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严格控制差旅费支出。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0.72</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0.72</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0.72</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0.72</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货物类物资</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textAlignment w:val="auto"/>
        <w:rPr>
          <w:rStyle w:val="10"/>
          <w:rFonts w:hint="eastAsia"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五、预算绩效管理情况说明</w:t>
      </w:r>
    </w:p>
    <w:p>
      <w:pPr>
        <w:pStyle w:val="11"/>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（一）部门自评情况</w:t>
      </w:r>
    </w:p>
    <w:p>
      <w:pPr>
        <w:pStyle w:val="12"/>
        <w:keepNext w:val="0"/>
        <w:keepLines w:val="0"/>
        <w:pageBreakBefore w:val="0"/>
        <w:widowControl/>
        <w:kinsoku/>
        <w:wordWrap/>
        <w:overflowPunct/>
        <w:topLinePunct w:val="0"/>
        <w:autoSpaceDN/>
        <w:bidi w:val="0"/>
        <w:adjustRightInd/>
        <w:spacing w:before="0" w:beforeAutospacing="0" w:afterAutospacing="0" w:line="560" w:lineRule="exact"/>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根据预算绩效管理要求，我部门对部门整体开展了绩效自评</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val="en-US" w:eastAsia="zh-CN" w:bidi="ar"/>
        </w:rPr>
        <w:t>涉及财政拨款资金9762.38万元，部门整体绩效自评表见附件2。</w:t>
      </w:r>
    </w:p>
    <w:p>
      <w:pPr>
        <w:pStyle w:val="11"/>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（二）部门绩效评价情况</w:t>
      </w:r>
    </w:p>
    <w:p>
      <w:pPr>
        <w:pStyle w:val="11"/>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我部门未组织开展绩效评价。</w:t>
      </w:r>
    </w:p>
    <w:p>
      <w:pPr>
        <w:pStyle w:val="11"/>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1"/>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区财政局未委托第三方对我部门开展绩效评价。</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（五）使用非财政拨款结余</w:t>
      </w:r>
      <w:r>
        <w:rPr>
          <w:rFonts w:hint="eastAsia" w:ascii="方正楷体_GBK" w:hAnsi="方正楷体_GBK" w:eastAsia="方正楷体_GBK" w:cs="方正楷体_GBK"/>
          <w:b w:val="0"/>
          <w:bCs w:val="0"/>
          <w:color w:val="auto"/>
          <w:sz w:val="32"/>
          <w:szCs w:val="32"/>
          <w:shd w:val="clear" w:color="auto" w:fill="FFFFFF"/>
          <w:lang w:eastAsia="zh-CN"/>
        </w:rPr>
        <w:t>（含专用结余）</w:t>
      </w:r>
      <w:r>
        <w:rPr>
          <w:rFonts w:hint="eastAsia" w:ascii="方正楷体_GBK" w:hAnsi="方正楷体_GBK" w:eastAsia="方正楷体_GBK" w:cs="方正楷体_GBK"/>
          <w:b w:val="0"/>
          <w:bCs w:val="0"/>
          <w:color w:val="auto"/>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auto"/>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w:t>
      </w:r>
      <w:r>
        <w:rPr>
          <w:rFonts w:ascii="方正仿宋_GBK" w:hAnsi="方正仿宋_GBK" w:eastAsia="方正仿宋_GBK" w:cs="方正仿宋_GBK"/>
          <w:color w:val="auto"/>
          <w:sz w:val="32"/>
          <w:szCs w:val="32"/>
          <w:shd w:val="clear" w:color="auto" w:fill="FFFFFF"/>
        </w:rPr>
        <w:t>，以及为上述人员缴纳的各项社会保险费等。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eastAsia" w:ascii="方正黑体_GBK" w:hAnsi="方正黑体_GBK" w:eastAsia="方正黑体_GBK" w:cs="方正黑体_GBK"/>
          <w:b w:val="0"/>
          <w:bCs/>
          <w:color w:val="auto"/>
          <w:sz w:val="32"/>
          <w:szCs w:val="32"/>
          <w:shd w:val="clear" w:color="auto" w:fill="FFFFFF"/>
          <w:lang w:val="en-US" w:eastAsia="zh-CN"/>
        </w:rPr>
        <w:t>七、决算公开联系方式及信息反馈渠道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本部门决算公开信息反馈和联系方式：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line="560" w:lineRule="atLeast"/>
        <w:ind w:firstLine="640"/>
        <w:jc w:val="both"/>
        <w:textAlignment w:val="auto"/>
        <w:rPr>
          <w:rStyle w:val="10"/>
          <w:rFonts w:ascii="方正仿宋_GBK" w:hAnsi="方正仿宋_GBK" w:eastAsia="方正仿宋_GBK" w:cs="方正仿宋_GBK"/>
          <w:sz w:val="32"/>
          <w:szCs w:val="32"/>
          <w:shd w:val="clear" w:color="auto" w:fill="FFFF00"/>
        </w:rPr>
      </w:pP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atLeas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办事处</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部门</w:t>
      </w:r>
      <w:r>
        <w:rPr>
          <w:rFonts w:hint="default" w:ascii="Times New Roman" w:hAnsi="Times New Roman" w:eastAsia="方正仿宋_GBK" w:cs="Times New Roman"/>
          <w:kern w:val="0"/>
          <w:sz w:val="32"/>
          <w:szCs w:val="32"/>
          <w:shd w:val="clear" w:fill="FFFFFF"/>
        </w:rPr>
        <w:t>决算公开报表（公开01—09表）</w:t>
      </w:r>
    </w:p>
    <w:p>
      <w:pPr>
        <w:pStyle w:val="11"/>
        <w:keepNext w:val="0"/>
        <w:keepLines w:val="0"/>
        <w:pageBreakBefore w:val="0"/>
        <w:widowControl/>
        <w:kinsoku/>
        <w:wordWrap/>
        <w:overflowPunct/>
        <w:topLinePunct w:val="0"/>
        <w:autoSpaceDE w:val="0"/>
        <w:autoSpaceDN/>
        <w:bidi w:val="0"/>
        <w:adjustRightInd/>
        <w:spacing w:line="560" w:lineRule="atLeast"/>
        <w:ind w:left="1596" w:leftChars="665" w:firstLine="0" w:firstLineChars="0"/>
        <w:jc w:val="both"/>
        <w:textAlignment w:val="auto"/>
        <w:rPr>
          <w:rStyle w:val="10"/>
          <w:rFonts w:ascii="方正仿宋_GBK" w:hAnsi="方正仿宋_GBK" w:eastAsia="方正仿宋_GBK" w:cs="方正仿宋_GBK"/>
          <w:sz w:val="32"/>
          <w:szCs w:val="32"/>
          <w:shd w:val="clear" w:color="auto" w:fill="FFFF00"/>
        </w:rPr>
      </w:pPr>
      <w:r>
        <w:rPr>
          <w:rFonts w:hint="eastAsia" w:ascii="Times New Roman" w:hAnsi="Times New Roman" w:eastAsia="方正仿宋_GBK" w:cs="Times New Roman"/>
          <w:b w:val="0"/>
          <w:kern w:val="0"/>
          <w:sz w:val="32"/>
          <w:szCs w:val="32"/>
          <w:shd w:val="clear" w:fill="FFFFFF"/>
          <w:lang w:val="en-US" w:eastAsia="zh-CN"/>
        </w:rPr>
        <w:t>2.</w:t>
      </w:r>
      <w:r>
        <w:rPr>
          <w:rFonts w:hint="default" w:ascii="Times New Roman" w:hAnsi="Times New Roman" w:eastAsia="方正仿宋_GBK" w:cs="Times New Roman"/>
          <w:b w:val="0"/>
          <w:kern w:val="0"/>
          <w:sz w:val="32"/>
          <w:szCs w:val="32"/>
          <w:shd w:val="clear" w:fill="FFFFFF"/>
        </w:rPr>
        <w:t>重庆市荣昌区人民政府广顺街道</w:t>
      </w:r>
      <w:r>
        <w:rPr>
          <w:rFonts w:hint="eastAsia" w:ascii="Times New Roman" w:hAnsi="Times New Roman" w:eastAsia="方正仿宋_GBK" w:cs="Times New Roman"/>
          <w:b w:val="0"/>
          <w:kern w:val="0"/>
          <w:sz w:val="32"/>
          <w:szCs w:val="32"/>
          <w:shd w:val="clear" w:fill="FFFFFF"/>
          <w:lang w:val="en-US" w:eastAsia="zh-CN"/>
        </w:rPr>
        <w:t>办事处</w:t>
      </w:r>
      <w:r>
        <w:rPr>
          <w:rFonts w:hint="default" w:ascii="Times New Roman" w:hAnsi="Times New Roman" w:eastAsia="方正仿宋_GBK" w:cs="Times New Roman"/>
          <w:b w:val="0"/>
          <w:kern w:val="0"/>
          <w:sz w:val="32"/>
          <w:szCs w:val="32"/>
          <w:shd w:val="clear" w:fill="FFFFFF"/>
          <w:lang w:eastAsia="zh-CN"/>
        </w:rPr>
        <w:t>202</w:t>
      </w:r>
      <w:r>
        <w:rPr>
          <w:rFonts w:hint="eastAsia" w:ascii="Times New Roman" w:hAnsi="Times New Roman" w:eastAsia="方正仿宋_GBK" w:cs="Times New Roman"/>
          <w:b w:val="0"/>
          <w:kern w:val="0"/>
          <w:sz w:val="32"/>
          <w:szCs w:val="32"/>
          <w:shd w:val="clear" w:fill="FFFFFF"/>
          <w:lang w:val="en-US" w:eastAsia="zh-CN"/>
        </w:rPr>
        <w:t>4</w:t>
      </w:r>
      <w:r>
        <w:rPr>
          <w:rFonts w:hint="default" w:ascii="Times New Roman" w:hAnsi="Times New Roman" w:eastAsia="方正仿宋_GBK" w:cs="Times New Roman"/>
          <w:b w:val="0"/>
          <w:kern w:val="0"/>
          <w:sz w:val="32"/>
          <w:szCs w:val="32"/>
          <w:shd w:val="clear" w:fill="FFFFFF"/>
          <w:lang w:eastAsia="zh-CN"/>
        </w:rPr>
        <w:t>年度</w:t>
      </w:r>
      <w:r>
        <w:rPr>
          <w:rFonts w:hint="eastAsia" w:ascii="Times New Roman" w:hAnsi="Times New Roman" w:eastAsia="方正仿宋_GBK" w:cs="Times New Roman"/>
          <w:b w:val="0"/>
          <w:kern w:val="0"/>
          <w:sz w:val="32"/>
          <w:szCs w:val="32"/>
          <w:shd w:val="clear" w:fill="FFFFFF"/>
          <w:lang w:val="en-US" w:eastAsia="zh-CN"/>
        </w:rPr>
        <w:t>部门整体绩效自评表</w:t>
      </w:r>
    </w:p>
    <w:p>
      <w:pPr>
        <w:pStyle w:val="11"/>
        <w:keepNext w:val="0"/>
        <w:keepLines w:val="0"/>
        <w:pageBreakBefore w:val="0"/>
        <w:widowControl/>
        <w:kinsoku/>
        <w:wordWrap/>
        <w:overflowPunct/>
        <w:topLinePunct w:val="0"/>
        <w:autoSpaceDE w:val="0"/>
        <w:autoSpaceDN/>
        <w:bidi w:val="0"/>
        <w:adjustRightInd/>
        <w:spacing w:line="560" w:lineRule="atLeast"/>
        <w:ind w:firstLine="640"/>
        <w:jc w:val="both"/>
        <w:textAlignment w:val="auto"/>
        <w:rPr>
          <w:rStyle w:val="10"/>
          <w:rFonts w:ascii="方正仿宋_GBK" w:hAnsi="方正仿宋_GBK" w:eastAsia="方正仿宋_GBK" w:cs="方正仿宋_GBK"/>
          <w:sz w:val="32"/>
          <w:szCs w:val="32"/>
          <w:shd w:val="clear" w:color="auto" w:fill="FFFF00"/>
        </w:rPr>
      </w:pPr>
    </w:p>
    <w:p>
      <w:pPr>
        <w:pStyle w:val="11"/>
        <w:keepNext w:val="0"/>
        <w:keepLines w:val="0"/>
        <w:pageBreakBefore w:val="0"/>
        <w:widowControl/>
        <w:kinsoku/>
        <w:wordWrap/>
        <w:overflowPunct/>
        <w:topLinePunct w:val="0"/>
        <w:autoSpaceDE w:val="0"/>
        <w:autoSpaceDN/>
        <w:bidi w:val="0"/>
        <w:adjustRightInd/>
        <w:spacing w:line="560" w:lineRule="atLeas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r>
        <w:rPr>
          <w:rFonts w:hint="eastAsia" w:cs="宋体"/>
          <w:color w:val="auto"/>
          <w:sz w:val="24"/>
          <w:szCs w:val="24"/>
          <w:lang w:val="en-US" w:eastAsia="zh-CN"/>
        </w:rPr>
        <w:t>附件1：重庆市荣昌区人民政府广顺街道办事处2024年度部门决算公开报表（公开01—09表）</w:t>
      </w:r>
    </w:p>
    <w:tbl>
      <w:tblPr>
        <w:tblStyle w:val="7"/>
        <w:tblpPr w:leftFromText="180" w:rightFromText="180" w:vertAnchor="text" w:horzAnchor="page" w:tblpX="1545" w:tblpY="22"/>
        <w:tblOverlap w:val="never"/>
        <w:tblW w:w="13815" w:type="dxa"/>
        <w:tblInd w:w="0" w:type="dxa"/>
        <w:tblLayout w:type="fixed"/>
        <w:tblCellMar>
          <w:top w:w="0" w:type="dxa"/>
          <w:left w:w="0" w:type="dxa"/>
          <w:bottom w:w="0" w:type="dxa"/>
          <w:right w:w="0" w:type="dxa"/>
        </w:tblCellMar>
      </w:tblPr>
      <w:tblGrid>
        <w:gridCol w:w="3553"/>
        <w:gridCol w:w="3347"/>
        <w:gridCol w:w="3805"/>
        <w:gridCol w:w="3110"/>
      </w:tblGrid>
      <w:tr>
        <w:tblPrEx>
          <w:tblLayout w:type="fixed"/>
          <w:tblCellMar>
            <w:top w:w="0" w:type="dxa"/>
            <w:left w:w="0" w:type="dxa"/>
            <w:bottom w:w="0" w:type="dxa"/>
            <w:right w:w="0" w:type="dxa"/>
          </w:tblCellMar>
        </w:tblPrEx>
        <w:trPr>
          <w:trHeight w:val="232" w:hRule="atLeast"/>
        </w:trPr>
        <w:tc>
          <w:tcPr>
            <w:tcW w:w="13815"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55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47"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11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9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重庆市荣昌区人民政府广顺街道办事处</w:t>
            </w: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11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9,535.03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47"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5,678.18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9,735.10</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10,360.83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693.57</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11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35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10,428.67</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10,428.67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3865" w:type="dxa"/>
        <w:tblInd w:w="0" w:type="dxa"/>
        <w:tblLayout w:type="fixed"/>
        <w:tblCellMar>
          <w:top w:w="0" w:type="dxa"/>
          <w:left w:w="0" w:type="dxa"/>
          <w:bottom w:w="0" w:type="dxa"/>
          <w:right w:w="0" w:type="dxa"/>
        </w:tblCellMar>
      </w:tblPr>
      <w:tblGrid>
        <w:gridCol w:w="1284"/>
        <w:gridCol w:w="2787"/>
        <w:gridCol w:w="1207"/>
        <w:gridCol w:w="1259"/>
        <w:gridCol w:w="1098"/>
        <w:gridCol w:w="1098"/>
        <w:gridCol w:w="1"/>
        <w:gridCol w:w="1216"/>
        <w:gridCol w:w="1162"/>
        <w:gridCol w:w="1281"/>
        <w:gridCol w:w="1472"/>
      </w:tblGrid>
      <w:tr>
        <w:tblPrEx>
          <w:tblLayout w:type="fixed"/>
          <w:tblCellMar>
            <w:top w:w="0" w:type="dxa"/>
            <w:left w:w="0" w:type="dxa"/>
            <w:bottom w:w="0" w:type="dxa"/>
            <w:right w:w="0" w:type="dxa"/>
          </w:tblCellMar>
        </w:tblPrEx>
        <w:trPr>
          <w:trHeight w:val="641" w:hRule="atLeast"/>
        </w:trPr>
        <w:tc>
          <w:tcPr>
            <w:tcW w:w="13865" w:type="dxa"/>
            <w:gridSpan w:val="11"/>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27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重庆市荣昌区人民政府广顺街道办事处</w:t>
            </w: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27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07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28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8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28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28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28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9,735.10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9,735.10</w:t>
            </w:r>
            <w:r>
              <w:rPr>
                <w:rFonts w:ascii="Times New Roman" w:hAnsi="Times New Roman"/>
                <w:b/>
                <w:color w:val="000000"/>
                <w:sz w:val="20"/>
                <w:u w:color="auto"/>
              </w:rPr>
              <w:t xml:space="preserve"> </w:t>
            </w:r>
          </w:p>
        </w:tc>
        <w:tc>
          <w:tcPr>
            <w:tcW w:w="10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1,484.63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1,484.63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1,433.58</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1,433.58</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626.43</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626.43</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37.71</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37.71</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5,678.18</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5,678.18</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557.09</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557.09</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219.25</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219.25</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4,832.34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4,832.34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547.05</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547.05</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148.57</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148.57</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33.77</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33.77</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54.41</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54.41</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33.26</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33.26</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1,293.35</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1,293.35</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526.32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526.32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42.31</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42.31</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607.72</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607.72</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555.95</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555.95</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406.41</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406.41</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274.37</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274.37</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169.26</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169.26</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105.12</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105.12</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132.03</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132.03</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2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2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865" w:type="dxa"/>
        <w:tblInd w:w="0" w:type="dxa"/>
        <w:tblLayout w:type="fixed"/>
        <w:tblCellMar>
          <w:top w:w="0" w:type="dxa"/>
          <w:left w:w="0" w:type="dxa"/>
          <w:bottom w:w="0" w:type="dxa"/>
          <w:right w:w="0" w:type="dxa"/>
        </w:tblCellMar>
      </w:tblPr>
      <w:tblGrid>
        <w:gridCol w:w="1342"/>
        <w:gridCol w:w="3214"/>
        <w:gridCol w:w="1509"/>
        <w:gridCol w:w="1553"/>
        <w:gridCol w:w="1492"/>
        <w:gridCol w:w="1430"/>
        <w:gridCol w:w="1553"/>
        <w:gridCol w:w="1772"/>
      </w:tblGrid>
      <w:tr>
        <w:tblPrEx>
          <w:tblLayout w:type="fixed"/>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06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重庆市荣昌区人民政府广顺街道办事处 </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06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34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1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3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1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3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1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3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1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5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10,360.83</w:t>
            </w:r>
            <w:r>
              <w:rPr>
                <w:rFonts w:ascii="Times New Roman" w:hAnsi="Times New Roman"/>
                <w:b/>
                <w:color w:val="000000"/>
                <w:sz w:val="20"/>
                <w:u w:color="auto"/>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2,732.62</w:t>
            </w:r>
            <w:r>
              <w:rPr>
                <w:rFonts w:ascii="Times New Roman" w:hAnsi="Times New Roman"/>
                <w:b/>
                <w:color w:val="000000"/>
                <w:sz w:val="20"/>
                <w:u w:color="auto"/>
              </w:rPr>
              <w:t xml:space="preserve"> </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7,628.21</w:t>
            </w:r>
            <w:r>
              <w:rPr>
                <w:rFonts w:ascii="Times New Roman" w:hAnsi="Times New Roman"/>
                <w:b/>
                <w:color w:val="000000"/>
                <w:sz w:val="20"/>
                <w:u w:color="auto"/>
              </w:rPr>
              <w:t xml:space="preserve"> </w:t>
            </w: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1,486.61</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819.56</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667.05</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1,433.58</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819.56</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614.02</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626.43</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614.02</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37.71</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37.71</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宣传事务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2013399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其他宣传事务支出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5,678.18</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771.88</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4,906.30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20.72</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557.09</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557.09</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224.95</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219.25</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219.25</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4,832.34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4,832.34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30.29</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547.05</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547.05</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4,255.00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148.57</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33.77</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33.77</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54.41</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54.41</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33.26</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33.26</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66.33</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302.42</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1,392.78</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503.52</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889.26</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526.32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503.52</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503.52</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42.31</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42.31</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29.49</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707.15</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707.15</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151.21</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151.21</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555.95</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555.95</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930.72</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798.68</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798.68</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798.68</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169.26</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169.26</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491.13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491.13</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132.03</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132.03</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3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2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重庆市荣昌区人民政府广顺街道办事处</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9,535.03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1,484.63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1,484.63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60.39</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60.39</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5,678.18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5,678.18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368.74</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350.35</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18.40</w:t>
            </w: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1,392.78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1,392.78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79.40</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79.40</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930.72</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930.72</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179.74</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179.74</w:t>
            </w: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9,735.10</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10,358.85</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10,158.78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198.13</w:t>
            </w: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623.75</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623.75</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10,358.85</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10,358.85</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10,158.78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198.13</w:t>
            </w: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重庆市荣昌区人民政府广顺街道办事处</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10,158.78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2,732.62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7,426.16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1,484.63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819.56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1,433.58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819.56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626.43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626.43</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37.71</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5,678.18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771.88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4,906.30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183.83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183.83</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557.09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557.09</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112.89</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219.25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219.25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4,832.34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4,832.34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547.05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4,255.00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33.77</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33.77</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54.41</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54.41</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350.35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302.42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302.42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302.42</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1,392.78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526.32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503.52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503.52</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42.31</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707.15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151.21</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555.95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555.95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930.72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798.68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491.13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132.03</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重庆市荣昌区人民政府广顺街道办事处</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2,133.81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384.60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521.62</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119.29</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208.55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650.93</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112.89</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54.64</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15.79</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132.03</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161.78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31.51</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132.32</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29.22</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20.33</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2,342.07</w:t>
            </w:r>
            <w:r>
              <w:rPr>
                <w:rFonts w:ascii="Times New Roman" w:hAnsi="Times New Roman"/>
                <w:color w:val="000000"/>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390.55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重庆市荣昌区人民政府广顺街道办事处</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198.13</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198.13</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198.13</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179.74</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171.64</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171.64</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8.09</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重庆市荣昌区人民政府广顺街道办事处</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w:t>
            </w:r>
            <w:r>
              <w:rPr>
                <w:rFonts w:ascii="Times New Roman" w:hAnsi="Times New Roman"/>
                <w:b/>
                <w:color w:val="000000"/>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1.94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1.94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1.94 </w:t>
            </w:r>
          </w:p>
        </w:tc>
      </w:tr>
    </w:tbl>
    <w:p>
      <w:pPr>
        <w:rPr>
          <w:rFonts w:hint="default" w:cs="宋体"/>
          <w:sz w:val="21"/>
          <w:szCs w:val="21"/>
        </w:rPr>
      </w:pPr>
      <w:r>
        <w:rPr>
          <w:rFonts w:cs="宋体"/>
          <w:sz w:val="20"/>
          <w:szCs w:val="20"/>
        </w:rPr>
        <w:t>备注：1.本表反映部门本年度国有资本经营预算财政拨款支出情况。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tblPrEx>
          <w:tblLayout w:type="fixed"/>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71"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3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重庆市荣昌区人民政府广顺街道办事处</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157.52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13.29</w:t>
            </w: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13.29</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157.52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12.16</w:t>
            </w: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12.16</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12.16</w:t>
            </w: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12.16</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w:t>
            </w: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125</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13.90</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cs="宋体"/>
          <w:sz w:val="18"/>
          <w:szCs w:val="18"/>
          <w:lang w:val="en-US" w:eastAsia="zh-CN"/>
        </w:rPr>
      </w:pPr>
    </w:p>
    <w:p>
      <w:pPr>
        <w:rPr>
          <w:rFonts w:hint="eastAsia" w:cs="宋体"/>
          <w:sz w:val="18"/>
          <w:szCs w:val="18"/>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附件2：重庆市荣昌区人民政府广顺街道办事处2024年度部门整体绩效自评表</w:t>
      </w:r>
    </w:p>
    <w:p>
      <w:pPr>
        <w:rPr>
          <w:rFonts w:hint="eastAsia" w:cs="宋体"/>
          <w:sz w:val="18"/>
          <w:szCs w:val="18"/>
          <w:lang w:val="en-US" w:eastAsia="zh-CN"/>
        </w:rPr>
      </w:pPr>
    </w:p>
    <w:tbl>
      <w:tblPr>
        <w:tblStyle w:val="7"/>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8"/>
        <w:gridCol w:w="648"/>
        <w:gridCol w:w="1095"/>
        <w:gridCol w:w="873"/>
        <w:gridCol w:w="150"/>
        <w:gridCol w:w="473"/>
        <w:gridCol w:w="598"/>
        <w:gridCol w:w="324"/>
        <w:gridCol w:w="471"/>
        <w:gridCol w:w="352"/>
        <w:gridCol w:w="872"/>
        <w:gridCol w:w="143"/>
        <w:gridCol w:w="181"/>
        <w:gridCol w:w="100"/>
        <w:gridCol w:w="1345"/>
        <w:gridCol w:w="673"/>
        <w:gridCol w:w="573"/>
        <w:gridCol w:w="412"/>
        <w:gridCol w:w="286"/>
        <w:gridCol w:w="423"/>
        <w:gridCol w:w="316"/>
        <w:gridCol w:w="557"/>
        <w:gridCol w:w="50"/>
        <w:gridCol w:w="234"/>
        <w:gridCol w:w="862"/>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val="0"/>
                <w:bCs/>
                <w:i w:val="0"/>
                <w:color w:val="auto"/>
                <w:kern w:val="0"/>
                <w:sz w:val="32"/>
                <w:szCs w:val="32"/>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重庆市荣昌区人民政府广顺街道办事处整体自评</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211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50015300024P000067</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97.426</w:t>
            </w:r>
          </w:p>
        </w:tc>
        <w:tc>
          <w:tcPr>
            <w:tcW w:w="134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u w:val="none"/>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903-重庆市荣昌区人民政府广顺街道办事处</w:t>
            </w:r>
          </w:p>
        </w:tc>
        <w:tc>
          <w:tcPr>
            <w:tcW w:w="15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211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002-预算科</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董平</w:t>
            </w:r>
          </w:p>
        </w:tc>
        <w:tc>
          <w:tcPr>
            <w:tcW w:w="134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10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97,623,769.03 </w:t>
            </w:r>
          </w:p>
        </w:tc>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103,729,367.37 </w:t>
            </w: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103,588,493.32 </w:t>
            </w:r>
          </w:p>
        </w:tc>
        <w:tc>
          <w:tcPr>
            <w:tcW w:w="10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97,623,769.03 </w:t>
            </w:r>
          </w:p>
        </w:tc>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103,588,493.32 </w:t>
            </w: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103,588,493.32 </w:t>
            </w:r>
          </w:p>
        </w:tc>
        <w:tc>
          <w:tcPr>
            <w:tcW w:w="10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94,560,910.50 </w:t>
            </w:r>
          </w:p>
        </w:tc>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101,587,751.78 </w:t>
            </w:r>
          </w:p>
        </w:tc>
        <w:tc>
          <w:tcPr>
            <w:tcW w:w="328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101,587,751.78 </w:t>
            </w:r>
          </w:p>
        </w:tc>
        <w:tc>
          <w:tcPr>
            <w:tcW w:w="10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56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708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55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在今年的收支预算内，我们将认真落实市委“885”工作机制和区委“6666”工作思路，坚持聚焦 “产业、城市、绿色”三篇文章，树立埋头苦干、真抓实干的工作作风，加快推进新时代新荣昌产城景融合新广顺建设。</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今年经济社会发展主要预期目标是：地方生产总值增长7%以上，规上工业增加值增长9%以上，全社会固定资产投资增长10%以上，其中工业投资增长15%以上，社会消费品零售总额增长7.5%以上，城镇和农村常住居民人均可支配收入分别增长5.5%、7%以上，城镇调查失业率控制在5.5%以内，单位GDP能耗下降达到区级要求。</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今年要突出重点、把握关键，持续用力抓好八个方面工作。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一是抓产业提效能，争取新增规上工业企业2家以上，规上工业总产值增长11%以上，让产业更加集聚。</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二是抓招商增后劲，力争全年完成引进市外项目3个以上，合同金额不低于10亿元，到位资金不少于2亿元。</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三是抓改革促发展，推动“三攻坚一盘活”改革攻坚，加快推动辖区闲置国有建设用地和厂房的高效盘活，大力支持企业创新突破，深化“亩均论英雄”改革，加速“腾笼换鸟”，倒逼低效企业改造提升、转型升级、淘汰退出，通过改革赋能，为全年经济工作注入强劲动能。</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四是抓民生添福祉，谋划做好街道十件民生实事，实施濑溪河高桥电站防洪基础设施建设；新增20余处垃圾分类集中投放亭；开展柳坝村中水再利用供水二期项目建设；在永荣广场、檬梓桥体育文化公园等10个点位新增健身场地及健身器材。</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五是抓建设优品质，聚焦城市的规划引领、功能配套等重点项目建设，扎实推进以人为本的新型城镇化，启动城中村改造；协调建成投用220千伏许溪变电站。</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六是抓生态亮底色，接续整治提升农村人居环境，生活垃圾无害化处理率达到100%。坚决遏制“非农化”，有效防止“非粮化”。持续推进山上、坝下，场镇及濑溪河生态廊道的修复与保护。落实“林长制”，深化集体林权制度改革，完成松材线虫病疫点“摘帽”。扎实开展好截污、雨污管网综合整治。全力实施废弃矿山生态修复治理。</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七是抓安全保稳定，坚持党建统领基层治理，统筹抓好安全生产、社会稳定等各项工作，进一步建立健全矛盾调处机制，健全网上信访受理平台，推动矛盾纠纷源头化解，平安稳定指数稳步提升。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八是抓党建强统领，始终把政治建设摆在首位，坚定捍卫“两个确立”、坚决做到“两个维护”，不断提高政治判断力、政治领悟力、政治执行力，以定一件干一件成一件的务实作风推动各项工作在全区争先进位。</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708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440" w:firstLineChars="20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2024年，在区委、区政府的坚强领导下，我们深入学习贯彻党的二十届三中全会精神和习近平总书记视察重庆重要讲话重要指示批示精神，紧密围绕市委、市政府决策部署，全面落实区委、区政府工作安排，在推动高质量发展、高品质生活、高效能治理上实现新突破、取得新成效，各项主要经济指标走在镇街前列。</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一、GDP预计同比增长6.3%，全社会固定资产投资完成10.8亿元，同比增长164.8%，其中，工业固定资产投资完成10.19亿元，规上工业总产值完成14.71亿元，同比增长13.59%，限上服务业实现营业收入5633.56万元，同比增长88.25%，限额以上住宿餐饮实现营业收入2063.9万元，同比增长18.26%，农村常住居民人均可支配收入为28530元，同比增长8.49%，工商税收完成3978万元，同比增长69.3%。</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二、坚持“项目为王”，抢抓一揽子增量财政政策战略机遇，成功争取上级预算内投资、专项债2200万元，总投资5980万元的老旧小区改造、黑臭水体治理、美丽宜居村、高桥电站防汛设施改造工程等17个重点项目建成投用。全力保障长租公寓、许溪220千伏输变电工程、页岩气勘探开采等区级重大项目建设，协调处理噪音扰民、青苗补偿等信访投诉50余件。盘活辖区闲置厂房10000余平方米，实现招商项目到位资金5.3亿元、同比增长260%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三、基层智治体系实战实效，要素业务场景、基本能力建设持续完善，推动“141”智治平台高效解决群众纠纷矛盾等任务事件870件，全量办理“愉悦·就业”“根治欠薪”需求36件，制定数字应急等预案10个。有序推动原15个办（站、中心、大队）职能整合重组，重新核定岗位职数，完成8名二级班子领导成员调配和109名机关干部设岗定责，“五办四中心一大队”实现顺利挂牌运转。</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四、坚持以人民为中心城市发展理念，加速建成投用檬梓桥体育文化公园、广双路口袋公园等公共服务设施，城市功能不断提升。完成永荣中学家属院老旧小区综合改造（主体部分）项目、老旧小区主体改造项目，C级危房修缮加固等房屋主体改造工程，居民住房条件进一步改善。成功完成2024年美丽宜居村项目、特色精品村项目建设。筑牢粮食生产安全红线，核查“非粮化”图斑547块，耕地缺口恢复补足266.5亩，耕地保有量稳定在19955亩，粮食播种面积和产量分别为1.81万亩、0.8万吨。</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五、支持居民就业创业，城镇新增就业人员1050人，帮助就业困难人员就业109人。持续维持社保参保率稳定在95%以上。用心用情关心帮扶特殊群体，累计发放各类救助保障资金860.4万元。全年为困难群众筹措善款6.78万元。完成25户特殊困难老年人居家适老化改造，推动老年人健康管理5083人。完成11户重度残疾人家庭无障碍改造。开展健康教育讲座65场次，宣传覆盖企业和各类人群1万人次。举办文化活动13场，开展健康知识、远离赌博陋习讲座38场、公共文化演出服务12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六、构建“1+9”调解体系和“1+3+N”大调解工作格局，推动党政领导干部下访接访群众461人次，调处各类矛盾纠纷1434件，调解成功率100%，全街道刑事案件同比下降57%，治安案件同比下降27%。动态分级分色在册管理特殊人群1020人。联合开展校园、银行、铁路等重点领域巡查排查，群众安全感持续提升。贯彻落实总体国家安全观，制定《广顺街道安全生产治本攻坚三年行动实施方案（2024–2026年）》，全年开展安全隐患排查整改1400余处，未发生较大及以上生产安全事故，“安全清单”全区镇街排名A档。增强自然灾害风险管控能力，应急救援队伍、装备专业化水平整体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城镇调查失业率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基本医疗保险参保率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基层党建覆盖率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积分制覆盖村（社区）个数</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全社会固定资产投资增长率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特困人员基本生活保障率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招商引资合同签约总额</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亿元</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10.8</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安全维稳综合治理等社会事务应急处理及时率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11.11</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补助资金及时到位率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GDP增长率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7.14</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28.6</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1.14</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规上工业增加值增长率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10.59</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17.67</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引进市外项目</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基本公共服务保障率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5.26</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新增处垃圾分类集中投放亭</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新增健身场地及健身器材点位</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处</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农村人居环境改善</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生活垃圾无害化处理率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辖区群众满意度</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预算执行率</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1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4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rPr>
          <w:rFonts w:hint="default" w:cs="宋体"/>
          <w:sz w:val="18"/>
          <w:szCs w:val="18"/>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A55CD5"/>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BB350EA"/>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0B41482"/>
    <w:rsid w:val="21556F04"/>
    <w:rsid w:val="22403BD3"/>
    <w:rsid w:val="23DA37D9"/>
    <w:rsid w:val="24B92327"/>
    <w:rsid w:val="24C14514"/>
    <w:rsid w:val="2533755C"/>
    <w:rsid w:val="25791755"/>
    <w:rsid w:val="26396DF4"/>
    <w:rsid w:val="27167136"/>
    <w:rsid w:val="27B23302"/>
    <w:rsid w:val="291C3809"/>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037663"/>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6E60FE3"/>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485488"/>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815A5F"/>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E30402"/>
    <w:rsid w:val="5CF66BF3"/>
    <w:rsid w:val="5D290C69"/>
    <w:rsid w:val="5F2D4A41"/>
    <w:rsid w:val="605C2995"/>
    <w:rsid w:val="608D0670"/>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4FF5A4F"/>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2449ED"/>
    <w:rsid w:val="708F6F7F"/>
    <w:rsid w:val="70D94BD3"/>
    <w:rsid w:val="71C34D91"/>
    <w:rsid w:val="72740E8C"/>
    <w:rsid w:val="72DB435C"/>
    <w:rsid w:val="72E2613A"/>
    <w:rsid w:val="72F771F4"/>
    <w:rsid w:val="734150D5"/>
    <w:rsid w:val="736650B0"/>
    <w:rsid w:val="73934AD2"/>
    <w:rsid w:val="750837F0"/>
    <w:rsid w:val="754758CF"/>
    <w:rsid w:val="761275E6"/>
    <w:rsid w:val="764F62AB"/>
    <w:rsid w:val="765C45EC"/>
    <w:rsid w:val="768A7619"/>
    <w:rsid w:val="772E1EBA"/>
    <w:rsid w:val="77EB79F7"/>
    <w:rsid w:val="78E80354"/>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26</TotalTime>
  <ScaleCrop>false</ScaleCrop>
  <LinksUpToDate>false</LinksUpToDate>
  <CharactersWithSpaces>26302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2025-09-29T01:36:47Z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