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atLeast"/>
        <w:jc w:val="center"/>
        <w:textAlignment w:val="auto"/>
        <w:rPr>
          <w:rFonts w:hint="default"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重庆市荣昌区广顺街道社区事务服务中心</w:t>
      </w:r>
      <w:r>
        <w:rPr>
          <w:rFonts w:hint="default" w:ascii="方正小标宋_GBK" w:hAnsi="方正小标宋_GBK" w:eastAsia="方正小标宋_GBK" w:cs="方正小标宋_GBK"/>
          <w:b w:val="0"/>
          <w:bCs w:val="0"/>
          <w:sz w:val="44"/>
          <w:szCs w:val="44"/>
        </w:rPr>
        <w:t>2024</w:t>
      </w:r>
      <w:r>
        <w:rPr>
          <w:rFonts w:hint="eastAsia" w:ascii="方正小标宋_GBK" w:hAnsi="方正小标宋_GBK" w:eastAsia="方正小标宋_GBK" w:cs="方正小标宋_GBK"/>
          <w:b w:val="0"/>
          <w:bCs w:val="0"/>
          <w:sz w:val="44"/>
          <w:szCs w:val="44"/>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textAlignment w:val="auto"/>
        <w:rPr>
          <w:rFonts w:hint="default"/>
          <w:sz w:val="27"/>
          <w:szCs w:val="27"/>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eastAsia" w:ascii="Times New Roman" w:hAnsi="Times New Roman" w:eastAsia="方正黑体_GBK" w:cs="方正黑体_GBK"/>
          <w:b w:val="0"/>
          <w:bCs w:val="0"/>
          <w:color w:val="auto"/>
          <w:sz w:val="32"/>
          <w:szCs w:val="32"/>
          <w:highlight w:val="none"/>
          <w:shd w:val="clear" w:color="auto" w:fill="FFFFFF"/>
        </w:rPr>
      </w:pPr>
      <w:r>
        <w:rPr>
          <w:rStyle w:val="11"/>
          <w:rFonts w:hint="eastAsia" w:ascii="Times New Roman" w:hAnsi="Times New Roman" w:eastAsia="方正黑体_GBK" w:cs="方正黑体_GBK"/>
          <w:b w:val="0"/>
          <w:bCs w:val="0"/>
          <w:color w:val="auto"/>
          <w:sz w:val="32"/>
          <w:szCs w:val="32"/>
          <w:highlight w:val="none"/>
          <w:shd w:val="clear" w:color="auto" w:fill="FFFFFF"/>
        </w:rPr>
        <w:t>一、</w:t>
      </w:r>
      <w:r>
        <w:rPr>
          <w:rStyle w:val="11"/>
          <w:rFonts w:hint="eastAsia" w:ascii="Times New Roman" w:hAnsi="Times New Roman" w:eastAsia="方正黑体_GBK" w:cs="方正黑体_GBK"/>
          <w:b w:val="0"/>
          <w:bCs w:val="0"/>
          <w:color w:val="auto"/>
          <w:sz w:val="32"/>
          <w:szCs w:val="32"/>
          <w:highlight w:val="none"/>
          <w:shd w:val="clear" w:color="auto" w:fill="FFFFFF"/>
          <w:lang w:eastAsia="zh-CN"/>
        </w:rPr>
        <w:t>单位</w:t>
      </w:r>
      <w:r>
        <w:rPr>
          <w:rStyle w:val="11"/>
          <w:rFonts w:hint="eastAsia" w:ascii="Times New Roman" w:hAnsi="Times New Roman" w:eastAsia="方正黑体_GBK" w:cs="方正黑体_GBK"/>
          <w:b w:val="0"/>
          <w:bCs w:val="0"/>
          <w:color w:val="auto"/>
          <w:sz w:val="32"/>
          <w:szCs w:val="32"/>
          <w:highlight w:val="none"/>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rPr>
      </w:pPr>
      <w:r>
        <w:rPr>
          <w:rStyle w:val="11"/>
          <w:rFonts w:hint="eastAsia" w:ascii="方正楷体_GBK" w:hAnsi="方正楷体_GBK" w:eastAsia="方正楷体_GBK" w:cs="方正楷体_GBK"/>
          <w:b w:val="0"/>
          <w:bCs w:val="0"/>
          <w:color w:val="auto"/>
          <w:sz w:val="32"/>
          <w:szCs w:val="32"/>
          <w:highlight w:val="none"/>
          <w:shd w:val="clear" w:color="auto" w:fill="FFFFFF"/>
        </w:rPr>
        <w:t>（一）职能职责</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0" w:leftChars="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社区事务服务中心主要负责平安建设、社会治理、信访稳定、舆情险情处置、便民服务、矛盾纠纷排查调处、社情民意收集与引导、综合信息收集与管理和社区服务队伍建设、社区服务信息化建设、社区品牌创建以及协调物业管理等方面的事务性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rPr>
      </w:pPr>
      <w:r>
        <w:rPr>
          <w:rStyle w:val="11"/>
          <w:rFonts w:hint="eastAsia" w:ascii="方正楷体_GBK" w:hAnsi="方正楷体_GBK" w:eastAsia="方正楷体_GBK" w:cs="方正楷体_GBK"/>
          <w:b w:val="0"/>
          <w:bCs w:val="0"/>
          <w:color w:val="auto"/>
          <w:sz w:val="32"/>
          <w:szCs w:val="32"/>
          <w:highlight w:val="none"/>
          <w:shd w:val="clear" w:color="auto" w:fill="FFFFFF"/>
        </w:rPr>
        <w:t>（二）机构设置</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atLeast"/>
        <w:ind w:leftChars="0" w:right="0" w:rightChars="0"/>
        <w:jc w:val="both"/>
        <w:textAlignment w:val="auto"/>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rPr>
        <w:t>本单位</w:t>
      </w:r>
      <w:r>
        <w:rPr>
          <w:rFonts w:hint="eastAsia" w:ascii="Times New Roman" w:hAnsi="Times New Roman" w:eastAsia="方正仿宋_GBK" w:cs="Times New Roman"/>
          <w:b w:val="0"/>
          <w:bCs w:val="0"/>
          <w:color w:val="auto"/>
          <w:kern w:val="0"/>
          <w:sz w:val="32"/>
          <w:szCs w:val="32"/>
          <w:highlight w:val="none"/>
          <w:lang w:val="en-US" w:eastAsia="zh-CN"/>
        </w:rPr>
        <w:t>为广顺街道办事处二级预算单位，无内设科室</w:t>
      </w:r>
      <w:r>
        <w:rPr>
          <w:rFonts w:hint="default" w:ascii="Times New Roman" w:hAnsi="Times New Roman" w:eastAsia="方正仿宋_GBK" w:cs="Times New Roman"/>
          <w:b w:val="0"/>
          <w:bCs w:val="0"/>
          <w:color w:val="auto"/>
          <w:kern w:val="0"/>
          <w:sz w:val="32"/>
          <w:szCs w:val="32"/>
          <w:highlight w:val="none"/>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Style w:val="11"/>
          <w:rFonts w:hint="default" w:ascii="Times New Roman" w:hAnsi="Times New Roman" w:eastAsia="方正黑体_GBK" w:cs="方正黑体_GBK"/>
          <w:b w:val="0"/>
          <w:bCs w:val="0"/>
          <w:color w:val="auto"/>
          <w:sz w:val="32"/>
          <w:szCs w:val="32"/>
          <w:highlight w:val="none"/>
          <w:shd w:val="clear" w:color="auto" w:fill="FFFFFF"/>
        </w:rPr>
      </w:pPr>
      <w:r>
        <w:rPr>
          <w:rStyle w:val="11"/>
          <w:rFonts w:hint="eastAsia" w:ascii="Times New Roman" w:hAnsi="Times New Roman" w:eastAsia="方正黑体_GBK" w:cs="方正黑体_GBK"/>
          <w:b w:val="0"/>
          <w:bCs w:val="0"/>
          <w:color w:val="auto"/>
          <w:sz w:val="32"/>
          <w:szCs w:val="32"/>
          <w:highlight w:val="none"/>
          <w:shd w:val="clear" w:color="auto" w:fill="FFFFFF"/>
        </w:rPr>
        <w:t>二、</w:t>
      </w:r>
      <w:r>
        <w:rPr>
          <w:rStyle w:val="11"/>
          <w:rFonts w:hint="eastAsia" w:ascii="Times New Roman" w:hAnsi="Times New Roman" w:eastAsia="方正黑体_GBK" w:cs="方正黑体_GBK"/>
          <w:b w:val="0"/>
          <w:bCs w:val="0"/>
          <w:color w:val="auto"/>
          <w:sz w:val="32"/>
          <w:szCs w:val="32"/>
          <w:highlight w:val="none"/>
          <w:shd w:val="clear" w:color="auto" w:fill="FFFFFF"/>
          <w:lang w:val="en-US" w:eastAsia="zh-CN"/>
        </w:rPr>
        <w:t>单位</w:t>
      </w:r>
      <w:r>
        <w:rPr>
          <w:rStyle w:val="11"/>
          <w:rFonts w:hint="eastAsia" w:ascii="Times New Roman" w:hAnsi="Times New Roman" w:eastAsia="方正黑体_GBK" w:cs="方正黑体_GBK"/>
          <w:b w:val="0"/>
          <w:bCs w:val="0"/>
          <w:color w:val="auto"/>
          <w:sz w:val="32"/>
          <w:szCs w:val="32"/>
          <w:highlight w:val="none"/>
          <w:shd w:val="clear" w:color="auto" w:fill="FFFFFF"/>
        </w:rPr>
        <w:t>决算</w:t>
      </w:r>
      <w:r>
        <w:rPr>
          <w:rStyle w:val="11"/>
          <w:rFonts w:hint="eastAsia" w:ascii="Times New Roman" w:hAnsi="Times New Roman" w:eastAsia="方正黑体_GBK" w:cs="方正黑体_GBK"/>
          <w:b w:val="0"/>
          <w:bCs w:val="0"/>
          <w:color w:val="auto"/>
          <w:sz w:val="32"/>
          <w:szCs w:val="32"/>
          <w:highlight w:val="none"/>
          <w:shd w:val="clear" w:color="auto" w:fill="FFFFFF"/>
          <w:lang w:eastAsia="zh-CN"/>
        </w:rPr>
        <w:t>收支</w:t>
      </w:r>
      <w:r>
        <w:rPr>
          <w:rStyle w:val="11"/>
          <w:rFonts w:hint="eastAsia" w:ascii="Times New Roman" w:hAnsi="Times New Roman" w:eastAsia="方正黑体_GBK" w:cs="方正黑体_GBK"/>
          <w:b w:val="0"/>
          <w:bCs w:val="0"/>
          <w:color w:val="auto"/>
          <w:sz w:val="32"/>
          <w:szCs w:val="32"/>
          <w:highlight w:val="none"/>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ascii="Times New Roman" w:hAnsi="Times New Roman" w:eastAsia="楷体" w:cs="楷体"/>
          <w:b w:val="0"/>
          <w:bCs w:val="0"/>
          <w:color w:val="auto"/>
          <w:sz w:val="32"/>
          <w:szCs w:val="32"/>
          <w:highlight w:val="none"/>
          <w:shd w:val="clear" w:color="auto" w:fill="FFFFFF"/>
        </w:rPr>
      </w:pPr>
      <w:r>
        <w:rPr>
          <w:rFonts w:hint="eastAsia" w:ascii="Times New Roman" w:hAnsi="Times New Roman" w:eastAsia="楷体" w:cs="楷体"/>
          <w:b w:val="0"/>
          <w:bCs w:val="0"/>
          <w:color w:val="auto"/>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eastAsia" w:ascii="Times New Roman" w:hAnsi="Times New Roman" w:eastAsia="方正仿宋_GBK"/>
          <w:b w:val="0"/>
          <w:bCs w:val="0"/>
          <w:color w:val="auto"/>
          <w:sz w:val="32"/>
          <w:szCs w:val="32"/>
          <w:highlight w:val="none"/>
          <w:shd w:val="clear" w:color="auto" w:fill="FFFFFF"/>
          <w:lang w:val="en-US" w:eastAsia="zh-CN"/>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年度收</w:t>
      </w:r>
      <w:r>
        <w:rPr>
          <w:rFonts w:hint="eastAsia" w:ascii="Times New Roman" w:hAnsi="Times New Roman" w:eastAsia="方正仿宋_GBK" w:cs="方正仿宋_GBK"/>
          <w:b w:val="0"/>
          <w:bCs w:val="0"/>
          <w:color w:val="auto"/>
          <w:sz w:val="32"/>
          <w:szCs w:val="32"/>
          <w:highlight w:val="none"/>
          <w:shd w:val="clear" w:color="auto" w:fill="FFFFFF"/>
          <w:lang w:eastAsia="zh-CN"/>
        </w:rPr>
        <w:t>、支</w:t>
      </w:r>
      <w:r>
        <w:rPr>
          <w:rFonts w:ascii="Times New Roman" w:hAnsi="Times New Roman" w:eastAsia="方正仿宋_GBK" w:cs="方正仿宋_GBK"/>
          <w:b w:val="0"/>
          <w:bCs w:val="0"/>
          <w:color w:val="auto"/>
          <w:sz w:val="32"/>
          <w:szCs w:val="32"/>
          <w:highlight w:val="none"/>
          <w:shd w:val="clear" w:color="auto" w:fill="FFFFFF"/>
        </w:rPr>
        <w:t>总计</w:t>
      </w:r>
      <w:r>
        <w:rPr>
          <w:rFonts w:hint="eastAsia" w:ascii="Times New Roman" w:hAnsi="Times New Roman"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收、支与2023年度相比，减少3.74万元，下降3.5%</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shd w:val="clear" w:color="auto" w:fill="FFFFFF"/>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1</w:t>
      </w:r>
      <w:r>
        <w:rPr>
          <w:rStyle w:val="11"/>
          <w:rFonts w:ascii="Times New Roman" w:hAnsi="Times New Roman"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与2023年度相比，减少3.74万元，下降3.5%</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Times New Roman"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Times New Roman"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Times New Roman"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Times New Roman" w:eastAsia="方正仿宋_GBK" w:cs="方正仿宋_GBK"/>
          <w:b w:val="0"/>
          <w:bCs w:val="0"/>
          <w:color w:val="auto"/>
          <w:sz w:val="32"/>
          <w:szCs w:val="32"/>
          <w:highlight w:val="none"/>
          <w:shd w:val="clear" w:color="auto" w:fill="FFFFFF"/>
        </w:rPr>
        <w:t>。此外，</w:t>
      </w:r>
      <w:r>
        <w:rPr>
          <w:rFonts w:hint="eastAsia" w:ascii="Times New Roman" w:hAnsi="Times New Roman"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shd w:val="clear" w:color="auto" w:fill="FFFFFF"/>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2</w:t>
      </w:r>
      <w:r>
        <w:rPr>
          <w:rStyle w:val="11"/>
          <w:rFonts w:ascii="Times New Roman" w:hAnsi="Times New Roman"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与2023年度相比，减少3.74万元，下降3.5%</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。其</w:t>
      </w:r>
      <w:r>
        <w:rPr>
          <w:rFonts w:ascii="Times New Roman" w:hAnsi="Times New Roman" w:eastAsia="方正仿宋_GBK" w:cs="方正仿宋_GBK"/>
          <w:b w:val="0"/>
          <w:bCs w:val="0"/>
          <w:color w:val="auto"/>
          <w:sz w:val="32"/>
          <w:szCs w:val="32"/>
          <w:highlight w:val="none"/>
          <w:shd w:val="clear" w:color="auto" w:fill="FFFFFF"/>
        </w:rPr>
        <w:t>中：基本支出</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Times New Roman"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Times New Roman"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Times New Roman"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eastAsia" w:ascii="Times New Roman" w:hAnsi="Times New Roman" w:eastAsia="方正仿宋_GBK" w:cs="方正仿宋_GBK"/>
          <w:b w:val="0"/>
          <w:bCs w:val="0"/>
          <w:color w:val="auto"/>
          <w:sz w:val="32"/>
          <w:szCs w:val="32"/>
          <w:highlight w:val="none"/>
          <w:lang w:eastAsia="zh-CN"/>
        </w:rPr>
      </w:pPr>
      <w:r>
        <w:rPr>
          <w:rStyle w:val="11"/>
          <w:rFonts w:hint="eastAsia" w:ascii="Times New Roman" w:hAnsi="Times New Roman" w:eastAsia="方正仿宋_GBK"/>
          <w:b w:val="0"/>
          <w:bCs w:val="0"/>
          <w:color w:val="auto"/>
          <w:sz w:val="32"/>
          <w:szCs w:val="32"/>
          <w:highlight w:val="none"/>
          <w:shd w:val="clear" w:color="auto" w:fill="FFFFFF"/>
          <w:lang w:val="en-US" w:eastAsia="zh-CN"/>
        </w:rPr>
        <w:t>3</w:t>
      </w:r>
      <w:r>
        <w:rPr>
          <w:rStyle w:val="11"/>
          <w:rFonts w:ascii="Times New Roman" w:hAnsi="Times New Roman"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2023年</w:t>
      </w:r>
      <w:r>
        <w:rPr>
          <w:rFonts w:hint="eastAsia" w:ascii="Times New Roman" w:hAnsi="Times New Roman" w:eastAsia="方正仿宋_GBK"/>
          <w:b w:val="0"/>
          <w:bCs w:val="0"/>
          <w:color w:val="auto"/>
          <w:sz w:val="32"/>
          <w:szCs w:val="32"/>
          <w:highlight w:val="none"/>
          <w:shd w:val="clear" w:color="auto" w:fill="FFFFFF"/>
          <w:lang w:eastAsia="zh-CN"/>
        </w:rPr>
        <w:t>度</w:t>
      </w:r>
      <w:r>
        <w:rPr>
          <w:rFonts w:hint="default" w:ascii="Times New Roman" w:hAnsi="Times New Roman" w:eastAsia="方正仿宋_GBK"/>
          <w:b w:val="0"/>
          <w:bCs w:val="0"/>
          <w:color w:val="auto"/>
          <w:sz w:val="32"/>
          <w:szCs w:val="32"/>
          <w:highlight w:val="none"/>
          <w:shd w:val="clear" w:color="auto" w:fill="FFFFFF"/>
        </w:rPr>
        <w:t>相比，财政拨款收、支总计各减少3.74万元，下降3.5%。主要原因是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（三）一般公共预算财政拨款收入支出决算情况说明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FFFFFF"/>
        </w:rPr>
        <w:t>1</w:t>
      </w:r>
      <w:r>
        <w:rPr>
          <w:rStyle w:val="11"/>
          <w:rFonts w:ascii="Times New Roman" w:hAnsi="Times New Roman"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与2023年度相比，减少3.74万元，下降3.5%</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。较年初预算数减少0.72万元，下降0.7%。主要原因是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。此外，年初财政拨款结转和结余0.00万元。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2.支出情况。2024年度一般公共预算财政拨款支出103.03万元，与2023年度相比，减少3.74万元，下降3.5%。主要原因是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。较年初预算数减少0.72万元，下降0.7%。主要原因是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Fonts w:ascii="Times New Roman" w:hAnsi="Times New Roman" w:eastAsia="方正仿宋_GBK" w:cs="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一般公共预算财政拨款支出主要</w:t>
      </w:r>
      <w:r>
        <w:rPr>
          <w:rFonts w:hint="eastAsia" w:ascii="Times New Roman" w:hAnsi="Times New Roman" w:eastAsia="方正仿宋_GBK" w:cs="方正仿宋_GBK"/>
          <w:b w:val="0"/>
          <w:bCs w:val="0"/>
          <w:color w:val="auto"/>
          <w:sz w:val="32"/>
          <w:szCs w:val="32"/>
          <w:highlight w:val="none"/>
          <w:shd w:val="clear" w:color="auto" w:fill="FFFFFF"/>
          <w:lang w:eastAsia="zh-CN"/>
        </w:rPr>
        <w:t>用途如下</w:t>
      </w:r>
      <w:r>
        <w:rPr>
          <w:rFonts w:ascii="Times New Roman" w:hAnsi="Times New Roman" w:eastAsia="方正仿宋_GBK" w:cs="方正仿宋_GBK"/>
          <w:b w:val="0"/>
          <w:bCs w:val="0"/>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rPr>
      </w:pPr>
      <w:r>
        <w:rPr>
          <w:rFonts w:ascii="Times New Roman" w:hAnsi="Times New Roman"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1</w:t>
      </w:r>
      <w:r>
        <w:rPr>
          <w:rFonts w:ascii="Times New Roman" w:hAnsi="Times New Roman" w:eastAsia="方正仿宋_GBK" w:cs="方正仿宋_GBK"/>
          <w:b w:val="0"/>
          <w:bCs w:val="0"/>
          <w:color w:val="auto"/>
          <w:sz w:val="32"/>
          <w:szCs w:val="32"/>
          <w:highlight w:val="none"/>
          <w:shd w:val="clear" w:color="auto" w:fill="FFFFFF"/>
        </w:rPr>
        <w:t>）教育支出</w:t>
      </w:r>
      <w:r>
        <w:rPr>
          <w:rFonts w:hint="default" w:ascii="Times New Roman" w:hAnsi="Times New Roman" w:eastAsia="方正仿宋_GBK"/>
          <w:b w:val="0"/>
          <w:bCs w:val="0"/>
          <w:color w:val="auto"/>
          <w:sz w:val="32"/>
          <w:szCs w:val="32"/>
          <w:highlight w:val="none"/>
          <w:shd w:val="clear" w:color="auto" w:fill="FFFFFF"/>
        </w:rPr>
        <w:t>0.56</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0.5%</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Times New Roman" w:eastAsia="方正仿宋_GBK" w:cs="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Times New Roman" w:eastAsia="方正仿宋_GBK" w:cs="方正仿宋_GBK"/>
          <w:b w:val="0"/>
          <w:bCs w:val="0"/>
          <w:color w:val="auto"/>
          <w:sz w:val="32"/>
          <w:szCs w:val="32"/>
          <w:highlight w:val="none"/>
          <w:shd w:val="clear" w:color="auto" w:fill="FFFFFF"/>
        </w:rPr>
        <w:t>）社会保障</w:t>
      </w:r>
      <w:r>
        <w:rPr>
          <w:rFonts w:hint="eastAsia" w:ascii="Times New Roman" w:hAnsi="Times New Roman" w:eastAsia="方正仿宋_GBK" w:cs="方正仿宋_GBK"/>
          <w:b w:val="0"/>
          <w:bCs w:val="0"/>
          <w:color w:val="auto"/>
          <w:sz w:val="32"/>
          <w:szCs w:val="32"/>
          <w:highlight w:val="none"/>
          <w:shd w:val="clear" w:color="auto" w:fill="FFFFFF"/>
          <w:lang w:eastAsia="zh-CN"/>
        </w:rPr>
        <w:t>和</w:t>
      </w:r>
      <w:r>
        <w:rPr>
          <w:rFonts w:ascii="Times New Roman" w:hAnsi="Times New Roman"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13.15</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12.8%</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较年初预算数增加4.20万元，增长46.9%</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职工养老保险职业年金基数调整，养老保险、职业年金缴费增加</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hint="default" w:ascii="Times New Roman" w:hAnsi="Times New Roman" w:eastAsia="方正仿宋_GBK"/>
          <w:b w:val="0"/>
          <w:bCs w:val="0"/>
          <w:color w:val="auto"/>
          <w:sz w:val="32"/>
          <w:szCs w:val="32"/>
          <w:highlight w:val="none"/>
          <w:shd w:val="clear" w:color="auto" w:fill="FFFFFF"/>
        </w:rPr>
        <w:t>）卫生健康支出4.52万元，占4.4%</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较年初预算数减少0.01万元，下降0.2%，主要原因</w:t>
      </w:r>
      <w:r>
        <w:rPr>
          <w:rFonts w:hint="eastAsia" w:ascii="Times New Roman" w:hAnsi="Times New Roman" w:eastAsia="方正仿宋_GBK"/>
          <w:b w:val="0"/>
          <w:bCs w:val="0"/>
          <w:color w:val="auto"/>
          <w:sz w:val="32"/>
          <w:szCs w:val="32"/>
          <w:highlight w:val="none"/>
          <w:shd w:val="clear" w:color="auto" w:fill="FFFFFF"/>
          <w:lang w:eastAsia="zh-CN"/>
        </w:rPr>
        <w:t>是</w:t>
      </w:r>
      <w:r>
        <w:rPr>
          <w:rFonts w:hint="eastAsia" w:ascii="Times New Roman" w:hAnsi="Times New Roman" w:eastAsia="方正仿宋_GBK"/>
          <w:b w:val="0"/>
          <w:bCs w:val="0"/>
          <w:color w:val="auto"/>
          <w:sz w:val="32"/>
          <w:szCs w:val="32"/>
          <w:highlight w:val="none"/>
          <w:shd w:val="clear" w:color="auto" w:fill="FFFFFF"/>
          <w:lang w:val="en-US" w:eastAsia="zh-CN"/>
        </w:rPr>
        <w:t>医疗保险等缴费基数调整，基本医疗保险等缴费减少</w:t>
      </w:r>
      <w:r>
        <w:rPr>
          <w:rFonts w:hint="default" w:ascii="Times New Roman" w:hAnsi="Times New Roman" w:eastAsia="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hint="default" w:ascii="Times New Roman" w:hAnsi="Times New Roman" w:eastAsia="方正仿宋_GBK"/>
          <w:b w:val="0"/>
          <w:bCs w:val="0"/>
          <w:color w:val="auto"/>
          <w:sz w:val="32"/>
          <w:szCs w:val="32"/>
          <w:highlight w:val="none"/>
          <w:shd w:val="clear" w:color="auto" w:fill="FFFFFF"/>
        </w:rPr>
        <w:t>）城乡社区支出80.34万元，占78.0%，较年初预算数减少4.90万元，下降5.8%，主要原因是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超额绩效工资暂缓发放绩效工资减少、厉行节约严控办公等公用经费支出</w:t>
      </w:r>
      <w:r>
        <w:rPr>
          <w:rFonts w:hint="default" w:ascii="Times New Roman" w:hAnsi="Times New Roman" w:eastAsia="方正仿宋_GBK"/>
          <w:b w:val="0"/>
          <w:bCs w:val="0"/>
          <w:color w:val="auto"/>
          <w:sz w:val="32"/>
          <w:szCs w:val="32"/>
          <w:highlight w:val="none"/>
          <w:shd w:val="clear" w:color="auto" w:fill="FFFFFF"/>
        </w:rPr>
        <w:t>。</w:t>
      </w:r>
    </w:p>
    <w:p>
      <w:pPr>
        <w:keepNext w:val="0"/>
        <w:keepLines w:val="0"/>
        <w:pageBreakBefore w:val="0"/>
        <w:widowControl/>
        <w:kinsoku/>
        <w:wordWrap/>
        <w:overflowPunct/>
        <w:topLinePunct w:val="0"/>
        <w:autoSpaceDN/>
        <w:bidi w:val="0"/>
        <w:adjustRightInd/>
        <w:snapToGrid/>
        <w:spacing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rPr>
      </w:pPr>
      <w:r>
        <w:rPr>
          <w:rFonts w:ascii="Times New Roman" w:hAnsi="Times New Roman"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5</w:t>
      </w:r>
      <w:r>
        <w:rPr>
          <w:rFonts w:ascii="Times New Roman" w:hAnsi="Times New Roman"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4.47</w:t>
      </w:r>
      <w:r>
        <w:rPr>
          <w:rFonts w:ascii="Times New Roman" w:hAnsi="Times New Roman"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4.3%</w:t>
      </w:r>
      <w:r>
        <w:rPr>
          <w:rFonts w:ascii="Times New Roman" w:hAnsi="Times New Roman"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较年初预算数减少0.01万元，下降0.2%</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职工</w:t>
      </w:r>
      <w:r>
        <w:rPr>
          <w:rFonts w:hint="eastAsia" w:ascii="Times New Roman" w:hAnsi="Times New Roman" w:eastAsia="方正仿宋_GBK"/>
          <w:b w:val="0"/>
          <w:bCs w:val="0"/>
          <w:color w:val="auto"/>
          <w:sz w:val="32"/>
          <w:szCs w:val="32"/>
          <w:highlight w:val="none"/>
          <w:shd w:val="clear" w:color="auto" w:fill="FFFFFF"/>
          <w:lang w:val="en-US" w:eastAsia="zh-CN"/>
        </w:rPr>
        <w:t>住房公积金缴费基数调整，住房公积金缴费减少</w:t>
      </w:r>
      <w:r>
        <w:rPr>
          <w:rFonts w:ascii="Times New Roman" w:hAnsi="Times New Roman" w:eastAsia="方正仿宋_GBK" w:cs="方正仿宋_GBK"/>
          <w:b w:val="0"/>
          <w:bCs w:val="0"/>
          <w:color w:val="auto"/>
          <w:sz w:val="32"/>
          <w:szCs w:val="32"/>
          <w:highlight w:val="none"/>
        </w:rPr>
        <w:t>。</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FFFFFF"/>
        </w:rPr>
        <w:t>3</w:t>
      </w:r>
      <w:r>
        <w:rPr>
          <w:rStyle w:val="11"/>
          <w:rFonts w:ascii="Times New Roman" w:hAnsi="Times New Roman"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ascii="Times New Roman" w:hAnsi="Times New Roman"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103.03</w:t>
      </w:r>
      <w:r>
        <w:rPr>
          <w:rFonts w:ascii="Times New Roman" w:hAnsi="Times New Roman" w:eastAsia="方正仿宋_GBK" w:cs="方正仿宋_GBK"/>
          <w:b w:val="0"/>
          <w:bCs w:val="0"/>
          <w:color w:val="auto"/>
          <w:sz w:val="32"/>
          <w:szCs w:val="32"/>
          <w:highlight w:val="none"/>
          <w:shd w:val="clear" w:color="auto" w:fill="FFFFFF"/>
        </w:rPr>
        <w:t>万元。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leftChars="0" w:firstLine="0" w:firstLineChars="0"/>
        <w:jc w:val="both"/>
        <w:textAlignment w:val="auto"/>
        <w:rPr>
          <w:rFonts w:ascii="Times New Roman" w:hAnsi="Times New Roman" w:eastAsia="方正仿宋_GBK" w:cs="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其中：</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83.86</w:t>
      </w:r>
      <w:r>
        <w:rPr>
          <w:rFonts w:ascii="Times New Roman" w:hAnsi="Times New Roman" w:eastAsia="方正仿宋_GBK" w:cs="方正仿宋_GBK"/>
          <w:b w:val="0"/>
          <w:bCs w:val="0"/>
          <w:color w:val="auto"/>
          <w:sz w:val="32"/>
          <w:szCs w:val="32"/>
          <w:highlight w:val="none"/>
          <w:shd w:val="clear" w:color="auto" w:fill="FFFFFF"/>
        </w:rPr>
        <w:t>万</w:t>
      </w:r>
      <w:r>
        <w:rPr>
          <w:rFonts w:hint="default" w:ascii="Times New Roman" w:hAnsi="Times New Roman" w:eastAsia="方正仿宋_GBK"/>
          <w:b w:val="0"/>
          <w:bCs w:val="0"/>
          <w:color w:val="auto"/>
          <w:sz w:val="32"/>
          <w:szCs w:val="32"/>
          <w:highlight w:val="none"/>
          <w:shd w:val="clear" w:color="auto" w:fill="FFFFFF"/>
        </w:rPr>
        <w:t>元，与2023年度相比，减少6.53万元，下降7.2%，主要原因是</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超额绩效工资等人员经费减少、厉行节约严控公用经费支出</w:t>
      </w:r>
      <w:r>
        <w:rPr>
          <w:rFonts w:hint="default" w:ascii="Times New Roman" w:hAnsi="Times New Roman" w:eastAsia="方正仿宋_GBK"/>
          <w:b w:val="0"/>
          <w:bCs w:val="0"/>
          <w:color w:val="auto"/>
          <w:sz w:val="32"/>
          <w:szCs w:val="32"/>
          <w:highlight w:val="none"/>
          <w:shd w:val="clear" w:color="auto" w:fill="FFFFFF"/>
        </w:rPr>
        <w:t>。人员经费用途主要包括基本工资、津贴补贴、绩效工资、社会保障缴费、住房公积金。</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公用经费19.17万元，与2023年度相比，增加2.78万元，增长17.0%，主要原因</w:t>
      </w:r>
      <w:r>
        <w:rPr>
          <w:rFonts w:hint="eastAsia" w:ascii="Times New Roman" w:hAnsi="Times New Roman" w:eastAsia="方正仿宋_GBK"/>
          <w:b w:val="0"/>
          <w:bCs w:val="0"/>
          <w:color w:val="auto"/>
          <w:sz w:val="32"/>
          <w:szCs w:val="32"/>
          <w:highlight w:val="none"/>
          <w:shd w:val="clear" w:color="auto" w:fill="FFFFFF"/>
          <w:lang w:val="en-US" w:eastAsia="zh-CN"/>
        </w:rPr>
        <w:t>基础设施增加导致市政维护绿化等水电、维修费用增加。</w:t>
      </w:r>
      <w:r>
        <w:rPr>
          <w:rFonts w:hint="default" w:ascii="Times New Roman" w:hAnsi="Times New Roman" w:eastAsia="方正仿宋_GBK"/>
          <w:b w:val="0"/>
          <w:bCs w:val="0"/>
          <w:color w:val="auto"/>
          <w:sz w:val="32"/>
          <w:szCs w:val="32"/>
          <w:highlight w:val="none"/>
          <w:shd w:val="clear" w:color="auto" w:fill="FFFFFF"/>
        </w:rPr>
        <w:t>公用经费用途主要包括办公费、</w:t>
      </w:r>
      <w:r>
        <w:rPr>
          <w:rFonts w:hint="default" w:ascii="Times New Roman" w:hAnsi="Times New Roman" w:eastAsia="方正仿宋_GBK"/>
          <w:b w:val="0"/>
          <w:bCs w:val="0"/>
          <w:color w:val="auto"/>
          <w:sz w:val="32"/>
          <w:szCs w:val="32"/>
          <w:highlight w:val="none"/>
          <w:shd w:val="clear" w:color="auto" w:fill="FFFFFF"/>
          <w:lang w:val="en-US" w:eastAsia="zh-CN"/>
        </w:rPr>
        <w:t>水费、</w:t>
      </w:r>
      <w:r>
        <w:rPr>
          <w:rFonts w:hint="default" w:ascii="Times New Roman" w:hAnsi="Times New Roman" w:eastAsia="方正仿宋_GBK"/>
          <w:b w:val="0"/>
          <w:bCs w:val="0"/>
          <w:color w:val="auto"/>
          <w:sz w:val="32"/>
          <w:szCs w:val="32"/>
          <w:highlight w:val="none"/>
          <w:shd w:val="clear" w:color="auto" w:fill="FFFFFF"/>
        </w:rPr>
        <w:t>电费、</w:t>
      </w:r>
      <w:r>
        <w:rPr>
          <w:rFonts w:hint="default" w:ascii="Times New Roman" w:hAnsi="Times New Roman" w:eastAsia="方正仿宋_GBK"/>
          <w:b w:val="0"/>
          <w:bCs w:val="0"/>
          <w:color w:val="auto"/>
          <w:sz w:val="32"/>
          <w:szCs w:val="32"/>
          <w:highlight w:val="none"/>
          <w:shd w:val="clear" w:color="auto" w:fill="FFFFFF"/>
          <w:lang w:val="en-US" w:eastAsia="zh-CN"/>
        </w:rPr>
        <w:t>培训费</w:t>
      </w:r>
      <w:r>
        <w:rPr>
          <w:rFonts w:hint="default" w:ascii="Times New Roman" w:hAnsi="Times New Roman" w:eastAsia="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福利费、会议费、</w:t>
      </w:r>
      <w:r>
        <w:rPr>
          <w:rFonts w:hint="default" w:ascii="Times New Roman" w:hAnsi="Times New Roman" w:eastAsia="方正仿宋_GBK"/>
          <w:b w:val="0"/>
          <w:bCs w:val="0"/>
          <w:color w:val="auto"/>
          <w:sz w:val="32"/>
          <w:szCs w:val="32"/>
          <w:highlight w:val="none"/>
          <w:shd w:val="clear" w:color="auto" w:fill="FFFFFF"/>
          <w:lang w:val="en-US" w:eastAsia="zh-CN"/>
        </w:rPr>
        <w:t>差旅费</w:t>
      </w:r>
      <w:r>
        <w:rPr>
          <w:rFonts w:hint="default" w:ascii="Times New Roman" w:hAnsi="Times New Roman" w:eastAsia="方正仿宋_GBK"/>
          <w:b w:val="0"/>
          <w:bCs w:val="0"/>
          <w:color w:val="auto"/>
          <w:sz w:val="32"/>
          <w:szCs w:val="32"/>
          <w:highlight w:val="none"/>
          <w:shd w:val="clear" w:color="auto" w:fill="FFFFFF"/>
        </w:rPr>
        <w:t>和</w:t>
      </w:r>
      <w:r>
        <w:rPr>
          <w:rFonts w:hint="default" w:ascii="Times New Roman" w:hAnsi="Times New Roman" w:eastAsia="方正仿宋_GBK"/>
          <w:b w:val="0"/>
          <w:bCs w:val="0"/>
          <w:color w:val="auto"/>
          <w:sz w:val="32"/>
          <w:szCs w:val="32"/>
          <w:highlight w:val="none"/>
          <w:shd w:val="clear" w:color="auto" w:fill="FFFFFF"/>
          <w:lang w:val="en-US" w:eastAsia="zh-CN"/>
        </w:rPr>
        <w:t>工会经费</w:t>
      </w:r>
      <w:r>
        <w:rPr>
          <w:rFonts w:hint="default" w:ascii="Times New Roman" w:hAnsi="Times New Roman" w:eastAsia="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hint="eastAsia" w:ascii="Times New Roman" w:hAnsi="Times New Roman" w:eastAsia="方正仿宋_GBK" w:cs="方正仿宋_GBK"/>
          <w:b w:val="0"/>
          <w:bCs w:val="0"/>
          <w:color w:val="auto"/>
          <w:sz w:val="32"/>
          <w:szCs w:val="32"/>
          <w:highlight w:val="none"/>
          <w:shd w:val="clear" w:color="auto" w:fill="FFFFFF"/>
          <w:lang w:val="en-US" w:eastAsia="zh-CN"/>
        </w:rPr>
        <w:t>本单位2024年无政府性基金</w:t>
      </w:r>
      <w:r>
        <w:rPr>
          <w:rFonts w:ascii="Times New Roman" w:hAnsi="Times New Roman" w:eastAsia="方正仿宋_GBK" w:cs="方正仿宋_GBK"/>
          <w:b w:val="0"/>
          <w:bCs w:val="0"/>
          <w:color w:val="auto"/>
          <w:sz w:val="32"/>
          <w:szCs w:val="32"/>
          <w:highlight w:val="none"/>
          <w:shd w:val="clear" w:color="auto" w:fill="FFFFFF"/>
        </w:rPr>
        <w:t>预算财政拨款</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收支</w:t>
      </w:r>
      <w:r>
        <w:rPr>
          <w:rFonts w:hint="eastAsia" w:ascii="Times New Roman" w:hAnsi="Times New Roman" w:eastAsia="方正仿宋_GBK" w:cs="方正仿宋_GBK"/>
          <w:b w:val="0"/>
          <w:bCs w:val="0"/>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shd w:val="clear" w:color="auto" w:fill="FFFFFF"/>
          <w:lang w:val="en-US" w:eastAsia="zh-CN"/>
        </w:rPr>
        <w:t>本单位2024年无</w:t>
      </w:r>
      <w:r>
        <w:rPr>
          <w:rFonts w:ascii="Times New Roman" w:hAnsi="Times New Roman" w:eastAsia="方正仿宋_GBK" w:cs="方正仿宋_GBK"/>
          <w:b w:val="0"/>
          <w:bCs w:val="0"/>
          <w:color w:val="auto"/>
          <w:sz w:val="32"/>
          <w:szCs w:val="32"/>
          <w:highlight w:val="none"/>
          <w:shd w:val="clear" w:color="auto" w:fill="FFFFFF"/>
        </w:rPr>
        <w:t>国有资本经营预算财政拨款支出</w:t>
      </w:r>
      <w:r>
        <w:rPr>
          <w:rFonts w:hint="eastAsia" w:ascii="Times New Roman" w:hAnsi="Times New Roman" w:eastAsia="方正仿宋_GBK" w:cs="方正仿宋_GBK"/>
          <w:b w:val="0"/>
          <w:bCs w:val="0"/>
          <w:color w:val="auto"/>
          <w:sz w:val="32"/>
          <w:szCs w:val="32"/>
          <w:highlight w:val="none"/>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leftChars="0" w:firstLine="640" w:firstLineChars="200"/>
        <w:textAlignment w:val="auto"/>
        <w:rPr>
          <w:rStyle w:val="11"/>
          <w:rFonts w:hint="eastAsia" w:ascii="Times New Roman" w:hAnsi="Times New Roman" w:eastAsia="方正黑体_GBK" w:cs="方正黑体_GBK"/>
          <w:b w:val="0"/>
          <w:bCs w:val="0"/>
          <w:color w:val="auto"/>
          <w:sz w:val="32"/>
          <w:szCs w:val="32"/>
          <w:highlight w:val="none"/>
          <w:shd w:val="clear" w:color="auto" w:fill="FFFFFF"/>
        </w:rPr>
      </w:pPr>
      <w:r>
        <w:rPr>
          <w:rStyle w:val="11"/>
          <w:rFonts w:hint="eastAsia" w:ascii="Times New Roman" w:hAnsi="Times New Roman" w:eastAsia="方正黑体_GBK" w:cs="方正黑体_GBK"/>
          <w:b w:val="0"/>
          <w:bCs w:val="0"/>
          <w:color w:val="auto"/>
          <w:sz w:val="32"/>
          <w:szCs w:val="32"/>
          <w:highlight w:val="none"/>
          <w:shd w:val="clear" w:color="auto" w:fill="FFFFFF"/>
        </w:rPr>
        <w:t>三、</w:t>
      </w:r>
      <w:r>
        <w:rPr>
          <w:rStyle w:val="11"/>
          <w:rFonts w:hint="eastAsia" w:ascii="Times New Roman" w:hAnsi="Times New Roman" w:eastAsia="方正黑体_GBK" w:cs="方正黑体_GBK"/>
          <w:b w:val="0"/>
          <w:bCs w:val="0"/>
          <w:color w:val="auto"/>
          <w:sz w:val="32"/>
          <w:szCs w:val="32"/>
          <w:highlight w:val="none"/>
          <w:shd w:val="clear" w:color="auto" w:fill="FFFFFF"/>
          <w:lang w:eastAsia="zh-CN"/>
        </w:rPr>
        <w:t>财政拨款</w:t>
      </w:r>
      <w:r>
        <w:rPr>
          <w:rStyle w:val="11"/>
          <w:rFonts w:hint="eastAsia" w:ascii="Times New Roman" w:hAnsi="Times New Roman" w:eastAsia="方正黑体_GBK" w:cs="方正黑体_GBK"/>
          <w:b w:val="0"/>
          <w:bCs w:val="0"/>
          <w:color w:val="auto"/>
          <w:sz w:val="32"/>
          <w:szCs w:val="32"/>
          <w:highlight w:val="none"/>
          <w:shd w:val="clear" w:color="auto" w:fill="FFFFFF"/>
        </w:rPr>
        <w:t>“三公”经费情况说明</w:t>
      </w:r>
    </w:p>
    <w:p>
      <w:pPr>
        <w:keepNext w:val="0"/>
        <w:keepLines w:val="0"/>
        <w:pageBreakBefore w:val="0"/>
        <w:widowControl/>
        <w:suppressLineNumbers w:val="0"/>
        <w:kinsoku/>
        <w:wordWrap/>
        <w:overflowPunct/>
        <w:topLinePunct w:val="0"/>
        <w:autoSpaceDE w:val="0"/>
        <w:autoSpaceDN/>
        <w:bidi w:val="0"/>
        <w:adjustRightInd/>
        <w:spacing w:afterAutospacing="0" w:line="560" w:lineRule="atLeas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atLeas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afterAutospacing="0" w:line="560" w:lineRule="atLeas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Times New Roman" w:hAnsi="Times New Roman" w:eastAsia="方正仿宋_GBK" w:cs="方正仿宋_GBK"/>
          <w:b w:val="0"/>
          <w:bCs w:val="0"/>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leftChars="0" w:firstLine="640" w:firstLineChars="200"/>
        <w:textAlignment w:val="auto"/>
        <w:rPr>
          <w:rStyle w:val="11"/>
          <w:rFonts w:hint="eastAsia" w:ascii="Times New Roman" w:hAnsi="Times New Roman" w:eastAsia="方正黑体_GBK" w:cs="方正黑体_GBK"/>
          <w:b w:val="0"/>
          <w:bCs w:val="0"/>
          <w:color w:val="auto"/>
          <w:sz w:val="32"/>
          <w:szCs w:val="32"/>
          <w:highlight w:val="none"/>
          <w:shd w:val="clear" w:color="auto" w:fill="FFFFFF"/>
        </w:rPr>
      </w:pPr>
      <w:r>
        <w:rPr>
          <w:rStyle w:val="11"/>
          <w:rFonts w:hint="eastAsia" w:ascii="Times New Roman" w:hAnsi="Times New Roman" w:eastAsia="方正黑体_GBK" w:cs="方正黑体_GBK"/>
          <w:b w:val="0"/>
          <w:bCs w:val="0"/>
          <w:color w:val="auto"/>
          <w:sz w:val="32"/>
          <w:szCs w:val="32"/>
          <w:highlight w:val="none"/>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leftChars="0" w:firstLine="640" w:firstLineChars="200"/>
        <w:jc w:val="both"/>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b w:val="0"/>
          <w:bCs w:val="0"/>
          <w:color w:val="auto"/>
          <w:sz w:val="32"/>
          <w:szCs w:val="32"/>
          <w:highlight w:val="none"/>
          <w:shd w:val="clear" w:color="auto" w:fill="FFFFFF"/>
        </w:rPr>
      </w:pPr>
      <w:r>
        <w:rPr>
          <w:rFonts w:ascii="Times New Roman" w:hAnsi="Times New Roman" w:eastAsia="方正仿宋_GBK" w:cs="方正仿宋_GBK"/>
          <w:b w:val="0"/>
          <w:bCs w:val="0"/>
          <w:color w:val="auto"/>
          <w:sz w:val="32"/>
          <w:szCs w:val="32"/>
          <w:highlight w:val="none"/>
          <w:shd w:val="clear" w:color="auto" w:fill="FFFFFF"/>
        </w:rPr>
        <w:t>本年度会议费支出</w:t>
      </w:r>
      <w:r>
        <w:rPr>
          <w:rFonts w:hint="default" w:ascii="Times New Roman" w:hAnsi="Times New Roman" w:eastAsia="方正仿宋_GBK"/>
          <w:b w:val="0"/>
          <w:bCs w:val="0"/>
          <w:color w:val="auto"/>
          <w:sz w:val="32"/>
          <w:szCs w:val="32"/>
          <w:highlight w:val="none"/>
          <w:shd w:val="clear" w:color="auto" w:fill="FFFFFF"/>
        </w:rPr>
        <w:t>0.60</w:t>
      </w:r>
      <w:r>
        <w:rPr>
          <w:rFonts w:ascii="Times New Roman" w:hAnsi="Times New Roman"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与2023年度相比，减少0.40万元，下降40.0%，主要原因是厉行节约严格控制会议经费支出</w:t>
      </w:r>
      <w:r>
        <w:rPr>
          <w:rFonts w:hint="eastAsia" w:ascii="Times New Roman" w:hAnsi="Times New Roman" w:eastAsia="方正仿宋_GBK"/>
          <w:b w:val="0"/>
          <w:bCs w:val="0"/>
          <w:color w:val="auto"/>
          <w:sz w:val="32"/>
          <w:szCs w:val="32"/>
          <w:highlight w:val="none"/>
          <w:shd w:val="clear" w:color="auto" w:fill="FFFFFF"/>
          <w:lang w:val="en-US" w:eastAsia="zh-CN"/>
        </w:rPr>
        <w:t>。</w:t>
      </w:r>
      <w:r>
        <w:rPr>
          <w:rFonts w:hint="default" w:ascii="Times New Roman" w:hAnsi="Times New Roman" w:eastAsia="方正仿宋_GBK"/>
          <w:b w:val="0"/>
          <w:bCs w:val="0"/>
          <w:color w:val="auto"/>
          <w:sz w:val="32"/>
          <w:szCs w:val="32"/>
          <w:highlight w:val="none"/>
          <w:shd w:val="clear" w:color="auto" w:fill="FFFFFF"/>
        </w:rPr>
        <w:t>本年度培训费支出0.56万元，与2023年度相比，增加0.01万元，增长1.8%，主要原因是</w:t>
      </w:r>
      <w:r>
        <w:rPr>
          <w:rFonts w:hint="eastAsia" w:ascii="Times New Roman" w:hAnsi="Times New Roman" w:eastAsia="方正仿宋_GBK"/>
          <w:b w:val="0"/>
          <w:bCs w:val="0"/>
          <w:color w:val="auto"/>
          <w:sz w:val="32"/>
          <w:szCs w:val="32"/>
          <w:highlight w:val="none"/>
          <w:shd w:val="clear" w:color="auto" w:fill="FFFFFF"/>
          <w:lang w:val="en-US" w:eastAsia="zh-CN"/>
        </w:rPr>
        <w:t>2024年远程教育服务费增加</w:t>
      </w:r>
      <w:r>
        <w:rPr>
          <w:rFonts w:hint="default" w:ascii="Times New Roman" w:hAnsi="Times New Roman" w:eastAsia="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1.20</w:t>
      </w:r>
      <w:r>
        <w:rPr>
          <w:rFonts w:ascii="Times New Roman" w:hAnsi="Times New Roman" w:eastAsia="方正仿宋_GBK" w:cs="方正仿宋_GBK"/>
          <w:b w:val="0"/>
          <w:bCs w:val="0"/>
          <w:color w:val="auto"/>
          <w:sz w:val="32"/>
          <w:szCs w:val="32"/>
          <w:highlight w:val="none"/>
        </w:rPr>
        <w:t>万</w:t>
      </w:r>
      <w:r>
        <w:rPr>
          <w:rFonts w:hint="default" w:ascii="Times New Roman" w:hAnsi="Times New Roman" w:eastAsia="方正仿宋_GBK"/>
          <w:b w:val="0"/>
          <w:bCs w:val="0"/>
          <w:color w:val="auto"/>
          <w:sz w:val="32"/>
          <w:szCs w:val="32"/>
          <w:highlight w:val="none"/>
          <w:shd w:val="clear" w:color="auto" w:fill="FFFFFF"/>
        </w:rPr>
        <w:t>元，与2023年度相比，减少4.20万元，下降77.8%，主要原因是</w:t>
      </w:r>
      <w:r>
        <w:rPr>
          <w:rFonts w:ascii="方正仿宋_GBK" w:hAnsi="方正仿宋_GBK" w:eastAsia="方正仿宋_GBK" w:cs="方正仿宋_GBK"/>
          <w:color w:val="auto"/>
          <w:sz w:val="32"/>
          <w:szCs w:val="32"/>
          <w:highlight w:val="none"/>
        </w:rPr>
        <w:t>加强对出差人员的培训和宣传，提高其节约意识和规范意识</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color w:val="auto"/>
          <w:sz w:val="32"/>
          <w:szCs w:val="32"/>
          <w:highlight w:val="none"/>
        </w:rPr>
        <w:t>严格执行各项费用的标准和报销流程</w:t>
      </w:r>
      <w:r>
        <w:rPr>
          <w:rFonts w:hint="eastAsia" w:ascii="方正仿宋_GBK" w:hAnsi="方正仿宋_GBK" w:eastAsia="方正仿宋_GBK" w:cs="方正仿宋_GBK"/>
          <w:color w:val="auto"/>
          <w:sz w:val="32"/>
          <w:szCs w:val="32"/>
          <w:highlight w:val="none"/>
          <w:lang w:eastAsia="zh-CN"/>
        </w:rPr>
        <w:t>，</w:t>
      </w:r>
      <w:r>
        <w:rPr>
          <w:rFonts w:ascii="方正仿宋_GBK" w:hAnsi="方正仿宋_GBK" w:eastAsia="方正仿宋_GBK" w:cs="方正仿宋_GBK"/>
          <w:color w:val="auto"/>
          <w:sz w:val="32"/>
          <w:szCs w:val="32"/>
          <w:highlight w:val="none"/>
        </w:rPr>
        <w:t>有效规范差旅费的报销行为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严格控制差旅费支出</w:t>
      </w:r>
      <w:r>
        <w:rPr>
          <w:rFonts w:hint="default" w:ascii="Times New Roman" w:hAnsi="Times New Roman" w:eastAsia="方正仿宋_GBK"/>
          <w:b w:val="0"/>
          <w:bCs w:val="0"/>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eastAsia" w:ascii="Times New Roman" w:hAnsi="Times New Roman" w:eastAsia="方正仿宋_GBK" w:cs="方正仿宋_GBK"/>
          <w:b w:val="0"/>
          <w:bCs w:val="0"/>
          <w:color w:val="0000FF"/>
          <w:sz w:val="32"/>
          <w:szCs w:val="32"/>
          <w:highlight w:val="none"/>
          <w:lang w:eastAsia="zh-CN"/>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r>
        <w:rPr>
          <w:rFonts w:hint="default" w:ascii="Times New Roman" w:hAnsi="Times New Roman" w:eastAsia="方正仿宋_GBK" w:cs="Times New Roman"/>
          <w:color w:val="auto"/>
          <w:sz w:val="32"/>
          <w:szCs w:val="32"/>
          <w:highlight w:val="none"/>
          <w:lang w:eastAsia="zh-CN"/>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FFFFFF"/>
        </w:rPr>
      </w:pPr>
      <w:r>
        <w:rPr>
          <w:rFonts w:hint="eastAsia" w:ascii="方正楷体_GBK" w:hAnsi="方正楷体_GBK" w:eastAsia="方正楷体_GBK" w:cs="方正楷体_GBK"/>
          <w:b w:val="0"/>
          <w:bCs w:val="0"/>
          <w:color w:val="auto"/>
          <w:sz w:val="32"/>
          <w:szCs w:val="32"/>
          <w:highlight w:val="none"/>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560" w:lineRule="atLeas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rPr>
      </w:pPr>
      <w:r>
        <w:rPr>
          <w:rFonts w:ascii="Times New Roman" w:hAnsi="Times New Roman"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Times New Roman"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Times New Roman" w:eastAsia="方正仿宋_GBK" w:cs="方正仿宋_GBK"/>
          <w:b w:val="0"/>
          <w:bCs w:val="0"/>
          <w:color w:val="auto"/>
          <w:sz w:val="32"/>
          <w:szCs w:val="32"/>
          <w:highlight w:val="none"/>
          <w:shd w:val="clear" w:color="auto" w:fill="FFFFFF"/>
        </w:rPr>
        <w:t>日，</w:t>
      </w:r>
      <w:r>
        <w:rPr>
          <w:rFonts w:hint="eastAsia" w:ascii="Times New Roman" w:hAnsi="Times New Roman" w:eastAsia="方正仿宋_GBK" w:cs="方正仿宋_GBK"/>
          <w:b w:val="0"/>
          <w:bCs w:val="0"/>
          <w:color w:val="auto"/>
          <w:sz w:val="32"/>
          <w:szCs w:val="32"/>
          <w:highlight w:val="none"/>
          <w:shd w:val="clear" w:color="auto" w:fill="FFFFFF"/>
          <w:lang w:eastAsia="zh-CN"/>
        </w:rPr>
        <w:t>本单位</w:t>
      </w:r>
      <w:r>
        <w:rPr>
          <w:rFonts w:ascii="Times New Roman" w:hAnsi="Times New Roman"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辆、主要负责人用车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Times New Roman" w:eastAsia="方正仿宋_GBK" w:cs="方正仿宋_GBK"/>
          <w:b w:val="0"/>
          <w:bCs w:val="0"/>
          <w:color w:val="auto"/>
          <w:sz w:val="32"/>
          <w:szCs w:val="32"/>
          <w:highlight w:val="none"/>
          <w:shd w:val="clear" w:color="auto" w:fill="FFFFFF"/>
        </w:rPr>
        <w:t>万元（含）以上专用设备</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Times New Roman" w:eastAsia="方正仿宋_GBK" w:cs="方正仿宋_GBK"/>
          <w:b w:val="0"/>
          <w:bCs w:val="0"/>
          <w:color w:val="auto"/>
          <w:sz w:val="32"/>
          <w:szCs w:val="32"/>
          <w:highlight w:val="none"/>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Times New Roman" w:eastAsia="方正仿宋_GBK" w:cs="方正仿宋_GBK"/>
          <w:b w:val="0"/>
          <w:bCs w:val="0"/>
          <w:color w:val="auto"/>
          <w:sz w:val="32"/>
          <w:szCs w:val="32"/>
          <w:highlight w:val="none"/>
          <w:shd w:val="clear" w:color="auto" w:fill="FFFFFF"/>
        </w:rPr>
        <w:t>年度</w:t>
      </w:r>
      <w:r>
        <w:rPr>
          <w:rFonts w:hint="default" w:ascii="Times New Roman" w:hAnsi="Times New Roman" w:eastAsia="方正仿宋_GBK" w:cs="Times New Roman"/>
          <w:color w:val="auto"/>
          <w:sz w:val="32"/>
          <w:szCs w:val="32"/>
          <w:shd w:val="clear" w:color="auto" w:fill="FFFFFF"/>
        </w:rPr>
        <w:t>我单位未发生政府采购事项，无相关经费支出</w:t>
      </w:r>
      <w:r>
        <w:rPr>
          <w:rFonts w:hint="eastAsia"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eastAsia="zh-CN"/>
        </w:rPr>
        <w:t>五、预算</w:t>
      </w:r>
      <w:r>
        <w:rPr>
          <w:rStyle w:val="11"/>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atLeas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单位整体开展了绩效自评，涉及财政拨款资金103.03万元。单位整体绩效自评表见附件2。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atLeas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atLeas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atLeas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社区事务服务中心</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atLeast"/>
        <w:ind w:left="1596" w:leftChars="665" w:firstLine="0" w:firstLineChars="0"/>
        <w:jc w:val="both"/>
        <w:textAlignment w:val="auto"/>
        <w:rPr>
          <w:rFonts w:hint="default" w:ascii="Times New Roman" w:hAnsi="Times New Roman" w:eastAsia="方正仿宋_GBK" w:cs="Times New Roman"/>
          <w:b w:val="0"/>
          <w:kern w:val="0"/>
          <w:sz w:val="32"/>
          <w:szCs w:val="32"/>
          <w:shd w:val="clear" w:fill="FFFFFF"/>
          <w:lang w:val="en-US" w:eastAsia="zh-CN"/>
        </w:r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b w:val="0"/>
          <w:kern w:val="0"/>
          <w:sz w:val="32"/>
          <w:szCs w:val="32"/>
          <w:shd w:val="clear" w:fill="FFFFFF"/>
          <w:lang w:val="en-US" w:eastAsia="zh-CN"/>
        </w:rPr>
        <w:t>社区事务服务中心</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单位整体绩效自评表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附件1：重庆市荣昌区人民政府广顺街道社区事务服务中心2024年度单位决算公开报表（公开01—09表）</w:t>
      </w:r>
    </w:p>
    <w:tbl>
      <w:tblPr>
        <w:tblStyle w:val="8"/>
        <w:tblpPr w:leftFromText="180" w:rightFromText="180" w:vertAnchor="text" w:horzAnchor="page" w:tblpX="1470" w:tblpY="22"/>
        <w:tblOverlap w:val="never"/>
        <w:tblW w:w="13845" w:type="dxa"/>
        <w:tblInd w:w="0" w:type="dxa"/>
        <w:tblLayout w:type="fixed"/>
        <w:tblCellMar>
          <w:top w:w="0" w:type="dxa"/>
          <w:left w:w="0" w:type="dxa"/>
          <w:bottom w:w="0" w:type="dxa"/>
          <w:right w:w="0" w:type="dxa"/>
        </w:tblCellMar>
      </w:tblPr>
      <w:tblGrid>
        <w:gridCol w:w="3628"/>
        <w:gridCol w:w="3347"/>
        <w:gridCol w:w="3805"/>
        <w:gridCol w:w="3065"/>
      </w:tblGrid>
      <w:tr>
        <w:tblPrEx>
          <w:tblLayout w:type="fixed"/>
          <w:tblCellMar>
            <w:top w:w="0" w:type="dxa"/>
            <w:left w:w="0" w:type="dxa"/>
            <w:bottom w:w="0" w:type="dxa"/>
            <w:right w:w="0" w:type="dxa"/>
          </w:tblCellMar>
        </w:tblPrEx>
        <w:trPr>
          <w:trHeight w:val="232" w:hRule="atLeast"/>
        </w:trPr>
        <w:tc>
          <w:tcPr>
            <w:tcW w:w="13845"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62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975"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重庆市荣昌区广顺街道社区事务服务中心</w:t>
            </w: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6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7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6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103.03</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775"/>
        <w:gridCol w:w="1596"/>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重庆市荣昌区广顺街道社区事务服务中心</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519"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重庆市荣昌区广顺街道社区事务服务中心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重庆市荣昌区广顺街道社区事务服务中心</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80.34</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80.34</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重庆市荣昌区广顺街道社区事务服务中心</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4.38</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80.34</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80.34</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重庆市荣昌区广顺街道社区事务服务中心</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83.86</w:t>
            </w:r>
            <w:r>
              <w:rPr>
                <w:rFonts w:ascii="Times New Roman" w:hAnsi="Times New Roman"/>
                <w:color w:val="000000"/>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重庆市荣昌区广顺街道社区事务服务中心</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重庆市荣昌区广顺街道社区事务服务中心</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重庆市荣昌区广顺街道社区事务服务中心</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rPr>
          <w:rFonts w:cs="宋体"/>
          <w:sz w:val="18"/>
          <w:szCs w:val="1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附件2：重庆市荣昌区人民政府广顺街道社区事务服务中心2024年度单位整体绩效自评表</w:t>
      </w:r>
    </w:p>
    <w:tbl>
      <w:tblPr>
        <w:tblStyle w:val="8"/>
        <w:tblpPr w:leftFromText="180" w:rightFromText="180" w:vertAnchor="text" w:horzAnchor="page" w:tblpX="1460" w:tblpY="574"/>
        <w:tblOverlap w:val="never"/>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60"/>
        <w:gridCol w:w="278"/>
        <w:gridCol w:w="1024"/>
        <w:gridCol w:w="483"/>
        <w:gridCol w:w="624"/>
        <w:gridCol w:w="258"/>
        <w:gridCol w:w="1188"/>
        <w:gridCol w:w="183"/>
        <w:gridCol w:w="801"/>
        <w:gridCol w:w="462"/>
        <w:gridCol w:w="13"/>
        <w:gridCol w:w="176"/>
        <w:gridCol w:w="1455"/>
        <w:gridCol w:w="93"/>
        <w:gridCol w:w="96"/>
        <w:gridCol w:w="838"/>
        <w:gridCol w:w="233"/>
        <w:gridCol w:w="543"/>
        <w:gridCol w:w="209"/>
        <w:gridCol w:w="418"/>
        <w:gridCol w:w="199"/>
        <w:gridCol w:w="545"/>
        <w:gridCol w:w="73"/>
        <w:gridCol w:w="308"/>
        <w:gridCol w:w="604"/>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auto"/>
                <w:sz w:val="36"/>
                <w:szCs w:val="36"/>
                <w:u w:val="none"/>
              </w:rPr>
            </w:pPr>
            <w:r>
              <w:rPr>
                <w:rFonts w:hint="eastAsia" w:ascii="微软雅黑" w:hAnsi="微软雅黑" w:eastAsia="微软雅黑" w:cs="微软雅黑"/>
                <w:i w:val="0"/>
                <w:color w:val="auto"/>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385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重庆市荣昌区人民政府广顺街道社区事务服务中心整体自评</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100.00 </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auto"/>
                <w:sz w:val="22"/>
                <w:szCs w:val="22"/>
                <w:u w:val="none"/>
              </w:rPr>
            </w:pP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项目主管单位：</w:t>
            </w:r>
          </w:p>
        </w:tc>
        <w:tc>
          <w:tcPr>
            <w:tcW w:w="385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903002-重庆市荣昌区人民政府广顺街道社区事务服务中心</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002-预算科</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单位联系人：</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董平</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219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1,037,528.24 </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219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1,037,528.24 </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219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1,037,528.24 </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219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1,030,317.47 </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3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34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351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6904"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40" w:hRule="atLeast"/>
        </w:trPr>
        <w:tc>
          <w:tcPr>
            <w:tcW w:w="34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在本年的收支预算内，广顺街道社区事务服务中心主要负责辖区平安建设、社会治理、信访稳定、舆情险情处置、便民服务、矛盾纠纷排查调处、社情民意收集与引导、综合信息收集与管理和社区服务队伍建设、社区服务信息化建设、社区品牌创建以及协调物业管理等方面的事务性服务工作。</w:t>
            </w:r>
          </w:p>
        </w:tc>
        <w:tc>
          <w:tcPr>
            <w:tcW w:w="351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auto"/>
                <w:sz w:val="22"/>
                <w:szCs w:val="22"/>
                <w:u w:val="none"/>
              </w:rPr>
            </w:pPr>
          </w:p>
        </w:tc>
        <w:tc>
          <w:tcPr>
            <w:tcW w:w="6904"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2024年，在区委、区政府、街道办事处的坚强领导下，深入学习贯彻党的二十届三中全会精神和习近平总书记视察重庆重要讲话重要指示批示精神，紧密围绕市委、市政府决策部署，全面落实区委、区政府工作安排，构建“1+9”调解体系和“1+3+N”大调解工作格局，推动党政领导干部下访接访群众461人次，调处各类矛盾纠纷1434件，调解成功率100%，全街道刑事案件同比下降57%，治安案件同比下降27%。动态分级分色在册管理特殊人群1020人。联合开展校园、银行、铁路等重点领域巡查排查，群众安全感持续提升。贯彻落实总体国家安全观，制定《广顺街道安全生产治本攻坚三年行动实施方案（2024–2026年）》，全年开展安全隐患排查整改1400余处，未发生较大及以上生产安全事故，“安全清单”全区镇街排名A档。增强自然灾害风险管控能力，应急救援队伍、装备专业化水平整体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辖区舆情险情处置及时率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安全维稳综合治理等社会事务应急处理及时率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辖区隐患整改数量</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基本公共服务保障率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6"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1"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sz w:val="18"/>
          <w:szCs w:val="18"/>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E008AA"/>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4D26685"/>
    <w:rsid w:val="14E55700"/>
    <w:rsid w:val="163A6CEE"/>
    <w:rsid w:val="17194C2C"/>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E17FBE"/>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1E3596"/>
    <w:rsid w:val="2A73162E"/>
    <w:rsid w:val="2B167953"/>
    <w:rsid w:val="2B200583"/>
    <w:rsid w:val="2B8209DE"/>
    <w:rsid w:val="2B821C91"/>
    <w:rsid w:val="2BF81A22"/>
    <w:rsid w:val="2C636760"/>
    <w:rsid w:val="2C6762A3"/>
    <w:rsid w:val="2DF41D09"/>
    <w:rsid w:val="2EFE5AF1"/>
    <w:rsid w:val="2FCA4B37"/>
    <w:rsid w:val="2FE029D7"/>
    <w:rsid w:val="2FF06E00"/>
    <w:rsid w:val="30586FEC"/>
    <w:rsid w:val="315F0B22"/>
    <w:rsid w:val="31D84415"/>
    <w:rsid w:val="31DD4BBF"/>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B295C"/>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3A3DC5"/>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00D4B"/>
    <w:rsid w:val="578867FC"/>
    <w:rsid w:val="5842572D"/>
    <w:rsid w:val="595D6D10"/>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B7F01B0"/>
    <w:rsid w:val="6C0A5AC5"/>
    <w:rsid w:val="6C560CAE"/>
    <w:rsid w:val="6C576495"/>
    <w:rsid w:val="6D903FF5"/>
    <w:rsid w:val="6DA955B8"/>
    <w:rsid w:val="6DE346AB"/>
    <w:rsid w:val="6DE5391A"/>
    <w:rsid w:val="6EE565FF"/>
    <w:rsid w:val="6EFD1324"/>
    <w:rsid w:val="6F5A53AC"/>
    <w:rsid w:val="6FAC003D"/>
    <w:rsid w:val="6FD926BF"/>
    <w:rsid w:val="6FE55E12"/>
    <w:rsid w:val="6FFB2E76"/>
    <w:rsid w:val="708F6F7F"/>
    <w:rsid w:val="70D94BD3"/>
    <w:rsid w:val="71574775"/>
    <w:rsid w:val="71C34D91"/>
    <w:rsid w:val="72111287"/>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2025-09-29T01:37:12Z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