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sz w:val="27"/>
          <w:szCs w:val="27"/>
          <w:shd w:val="clear" w:color="auto" w:fill="FFFF00"/>
        </w:rPr>
      </w:pPr>
      <w:r>
        <w:rPr>
          <w:rFonts w:ascii="方正小标宋_GBK" w:hAnsi="方正小标宋_GBK" w:eastAsia="方正小标宋_GBK" w:cs="方正小标宋_GBK"/>
          <w:sz w:val="36"/>
          <w:szCs w:val="36"/>
        </w:rPr>
        <w:t>重庆市荣昌区清升镇综合行政执法大队</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8"/>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镇政府管理的正科级全额技款事业单位(公益一类)。宗旨:弘扬法治精神，建设法治政府、法治国家、法治社会。主要职责:集中行使依法授权或委托的农林水利、规划建设、环境保护、卫生计生、文化旅游、民政管理等领域的行政执法权。协调、配合区级有关部门及派驻机构开展其他领域的联合执法。</w:t>
      </w:r>
    </w:p>
    <w:p>
      <w:pPr>
        <w:pStyle w:val="6"/>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从预算单位构成看，纳入本部门2023年度决算编制的二级预算单位主要包括重庆市荣昌区清升镇人民政府综合行政执法大队。</w:t>
      </w:r>
    </w:p>
    <w:p>
      <w:pPr>
        <w:pStyle w:val="6"/>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lang w:val="en-US"/>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2023年度收入总计75.65万元，支出总计</w:t>
      </w:r>
      <w:r>
        <w:rPr>
          <w:rFonts w:ascii="方正仿宋_GBK" w:hAnsi="方正仿宋_GBK" w:eastAsia="方正仿宋_GBK" w:cs="方正仿宋_GBK"/>
          <w:sz w:val="32"/>
          <w:szCs w:val="32"/>
        </w:rPr>
        <w:t>75.65</w:t>
      </w:r>
      <w:r>
        <w:rPr>
          <w:rFonts w:ascii="方正仿宋_GBK" w:hAnsi="方正仿宋_GBK" w:eastAsia="方正仿宋_GBK" w:cs="方正仿宋_GBK"/>
          <w:sz w:val="32"/>
          <w:szCs w:val="32"/>
          <w:shd w:val="clear" w:color="auto" w:fill="FFFFFF"/>
        </w:rPr>
        <w:t>万元。收支较上年决算数增加8.92万元，增长13.37%，主要原因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财政拨付本单位的专项资金中，一般公共预算财政拨款收入增加8.92万元</w:t>
      </w:r>
      <w:r>
        <w:rPr>
          <w:rFonts w:hint="eastAsia" w:ascii="方正仿宋_GBK" w:hAnsi="方正仿宋_GBK" w:eastAsia="方正仿宋_GBK" w:cs="方正仿宋_GBK"/>
          <w:sz w:val="32"/>
          <w:szCs w:val="32"/>
          <w:shd w:val="clear" w:color="auto" w:fill="FFFFFF"/>
          <w:lang w:eastAsia="zh-CN"/>
        </w:rPr>
        <w:t>；二是本单位本年度调出</w:t>
      </w:r>
      <w:r>
        <w:rPr>
          <w:rFonts w:hint="eastAsia" w:ascii="方正仿宋_GBK" w:hAnsi="方正仿宋_GBK" w:eastAsia="方正仿宋_GBK" w:cs="方正仿宋_GBK"/>
          <w:sz w:val="32"/>
          <w:szCs w:val="32"/>
          <w:shd w:val="clear" w:color="auto" w:fill="FFFFFF"/>
          <w:lang w:val="en-US" w:eastAsia="zh-CN"/>
        </w:rPr>
        <w:t>1名人员，</w:t>
      </w:r>
      <w:r>
        <w:rPr>
          <w:rFonts w:hint="eastAsia" w:ascii="方正仿宋_GBK" w:hAnsi="方正仿宋_GBK" w:eastAsia="方正仿宋_GBK" w:cs="方正仿宋_GBK"/>
          <w:sz w:val="32"/>
          <w:szCs w:val="32"/>
          <w:shd w:val="clear" w:color="auto" w:fill="FFFFFF"/>
          <w:lang w:eastAsia="zh-CN"/>
        </w:rPr>
        <w:t>新进</w:t>
      </w:r>
      <w:r>
        <w:rPr>
          <w:rFonts w:hint="eastAsia" w:ascii="方正仿宋_GBK" w:hAnsi="方正仿宋_GBK" w:eastAsia="方正仿宋_GBK" w:cs="方正仿宋_GBK"/>
          <w:sz w:val="32"/>
          <w:szCs w:val="32"/>
          <w:shd w:val="clear" w:color="auto" w:fill="FFFFFF"/>
          <w:lang w:val="en-US" w:eastAsia="zh-CN"/>
        </w:rPr>
        <w:t>2名人员，人员经费和公用经费增加。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2023年度收入合计75.65万元，较上年决算数增加8.92万元，增长13.37%，主要原因是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财政拨付本单位的专项资金中，一般公共预算财政拨款收入增加8.92万元。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75.65</w:t>
      </w:r>
      <w:r>
        <w:rPr>
          <w:rFonts w:ascii="方正仿宋_GBK" w:hAnsi="方正仿宋_GBK" w:eastAsia="方正仿宋_GBK" w:cs="方正仿宋_GBK"/>
          <w:sz w:val="32"/>
          <w:szCs w:val="32"/>
          <w:shd w:val="clear" w:color="auto" w:fill="FFFFFF"/>
        </w:rPr>
        <w:t>万元，较上年决算数增加8.92万元，增长13.37%，主要原因是</w:t>
      </w:r>
      <w:r>
        <w:rPr>
          <w:rFonts w:hint="eastAsia" w:ascii="方正仿宋_GBK" w:hAnsi="方正仿宋_GBK" w:eastAsia="方正仿宋_GBK" w:cs="方正仿宋_GBK"/>
          <w:sz w:val="32"/>
          <w:szCs w:val="32"/>
          <w:shd w:val="clear" w:color="auto" w:fill="FFFFFF"/>
          <w:lang w:eastAsia="zh-CN"/>
        </w:rPr>
        <w:t>本单位本年度调出</w:t>
      </w:r>
      <w:r>
        <w:rPr>
          <w:rFonts w:hint="eastAsia" w:ascii="方正仿宋_GBK" w:hAnsi="方正仿宋_GBK" w:eastAsia="方正仿宋_GBK" w:cs="方正仿宋_GBK"/>
          <w:sz w:val="32"/>
          <w:szCs w:val="32"/>
          <w:shd w:val="clear" w:color="auto" w:fill="FFFFFF"/>
          <w:lang w:val="en-US" w:eastAsia="zh-CN"/>
        </w:rPr>
        <w:t>1名人员，</w:t>
      </w:r>
      <w:r>
        <w:rPr>
          <w:rFonts w:hint="eastAsia" w:ascii="方正仿宋_GBK" w:hAnsi="方正仿宋_GBK" w:eastAsia="方正仿宋_GBK" w:cs="方正仿宋_GBK"/>
          <w:sz w:val="32"/>
          <w:szCs w:val="32"/>
          <w:shd w:val="clear" w:color="auto" w:fill="FFFFFF"/>
          <w:lang w:eastAsia="zh-CN"/>
        </w:rPr>
        <w:t>新进</w:t>
      </w:r>
      <w:r>
        <w:rPr>
          <w:rFonts w:hint="eastAsia" w:ascii="方正仿宋_GBK" w:hAnsi="方正仿宋_GBK" w:eastAsia="方正仿宋_GBK" w:cs="方正仿宋_GBK"/>
          <w:sz w:val="32"/>
          <w:szCs w:val="32"/>
          <w:shd w:val="clear" w:color="auto" w:fill="FFFFFF"/>
          <w:lang w:val="en-US" w:eastAsia="zh-CN"/>
        </w:rPr>
        <w:t>2名人员，人员经费和公用经费增加。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75.65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autoSpaceDE w:val="0"/>
        <w:ind w:firstLine="643"/>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lang w:val="en-US" w:eastAsia="zh-CN"/>
        </w:rPr>
        <w:t>年末结转和结余。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2023年度财政拨款收、支总计75.65万元。与2022年相比，财政拨款收、支总计各增加8.92万元，增长13.37%。主要原因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财政拨付本单位的专项资金中，一般公共预算财政拨款收入增加8.92万元</w:t>
      </w:r>
      <w:r>
        <w:rPr>
          <w:rFonts w:hint="eastAsia" w:ascii="方正仿宋_GBK" w:hAnsi="方正仿宋_GBK" w:eastAsia="方正仿宋_GBK" w:cs="方正仿宋_GBK"/>
          <w:sz w:val="32"/>
          <w:szCs w:val="32"/>
          <w:shd w:val="clear" w:color="auto" w:fill="FFFFFF"/>
          <w:lang w:eastAsia="zh-CN"/>
        </w:rPr>
        <w:t>；二是本单位本年度调出</w:t>
      </w:r>
      <w:r>
        <w:rPr>
          <w:rFonts w:hint="eastAsia" w:ascii="方正仿宋_GBK" w:hAnsi="方正仿宋_GBK" w:eastAsia="方正仿宋_GBK" w:cs="方正仿宋_GBK"/>
          <w:sz w:val="32"/>
          <w:szCs w:val="32"/>
          <w:shd w:val="clear" w:color="auto" w:fill="FFFFFF"/>
          <w:lang w:val="en-US" w:eastAsia="zh-CN"/>
        </w:rPr>
        <w:t>1名人员，</w:t>
      </w:r>
      <w:r>
        <w:rPr>
          <w:rFonts w:hint="eastAsia" w:ascii="方正仿宋_GBK" w:hAnsi="方正仿宋_GBK" w:eastAsia="方正仿宋_GBK" w:cs="方正仿宋_GBK"/>
          <w:sz w:val="32"/>
          <w:szCs w:val="32"/>
          <w:shd w:val="clear" w:color="auto" w:fill="FFFFFF"/>
          <w:lang w:eastAsia="zh-CN"/>
        </w:rPr>
        <w:t>新进</w:t>
      </w:r>
      <w:r>
        <w:rPr>
          <w:rFonts w:hint="eastAsia" w:ascii="方正仿宋_GBK" w:hAnsi="方正仿宋_GBK" w:eastAsia="方正仿宋_GBK" w:cs="方正仿宋_GBK"/>
          <w:sz w:val="32"/>
          <w:szCs w:val="32"/>
          <w:shd w:val="clear" w:color="auto" w:fill="FFFFFF"/>
          <w:lang w:val="en-US" w:eastAsia="zh-CN"/>
        </w:rPr>
        <w:t>2名人员，人员经费和公用经费增加。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75.65</w:t>
      </w:r>
      <w:r>
        <w:rPr>
          <w:rFonts w:ascii="方正仿宋_GBK" w:hAnsi="方正仿宋_GBK" w:eastAsia="方正仿宋_GBK" w:cs="方正仿宋_GBK"/>
          <w:sz w:val="32"/>
          <w:szCs w:val="32"/>
          <w:shd w:val="clear" w:color="auto" w:fill="FFFFFF"/>
        </w:rPr>
        <w:t>万元，较上年决算数增加8.92万元，增长13.37%。主要原因是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财政拨付本单位的专项资金中，一般公共预算财政拨款收入增加8.92万元。</w:t>
      </w:r>
      <w:r>
        <w:rPr>
          <w:rFonts w:ascii="方正仿宋_GBK" w:hAnsi="方正仿宋_GBK" w:eastAsia="方正仿宋_GBK" w:cs="方正仿宋_GBK"/>
          <w:sz w:val="32"/>
          <w:szCs w:val="32"/>
          <w:shd w:val="clear" w:color="auto" w:fill="FFFFFF"/>
        </w:rPr>
        <w:t>较年初预算数减少0.48万元，下降0.63%。主要原因是</w:t>
      </w:r>
      <w:r>
        <w:rPr>
          <w:rFonts w:hint="eastAsia" w:ascii="方正仿宋_GBK" w:hAnsi="方正仿宋_GBK" w:eastAsia="方正仿宋_GBK" w:cs="方正仿宋_GBK"/>
          <w:sz w:val="32"/>
          <w:szCs w:val="32"/>
          <w:shd w:val="clear" w:color="auto" w:fill="FFFFFF"/>
          <w:lang w:val="en-US" w:eastAsia="zh-CN"/>
        </w:rPr>
        <w:t>厉行节约，压减公用经费开支。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75.65</w:t>
      </w:r>
      <w:r>
        <w:rPr>
          <w:rFonts w:ascii="方正仿宋_GBK" w:hAnsi="方正仿宋_GBK" w:eastAsia="方正仿宋_GBK" w:cs="方正仿宋_GBK"/>
          <w:sz w:val="32"/>
          <w:szCs w:val="32"/>
          <w:shd w:val="clear" w:color="auto" w:fill="FFFFFF"/>
        </w:rPr>
        <w:t>万元，较上年决算数增加8.92万元，增长13.37%。主要原因是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财政拨付本单位的专项资金中，一般公共预算财政拨款收入增加8.92万元。</w:t>
      </w:r>
      <w:r>
        <w:rPr>
          <w:rFonts w:ascii="方正仿宋_GBK" w:hAnsi="方正仿宋_GBK" w:eastAsia="方正仿宋_GBK" w:cs="方正仿宋_GBK"/>
          <w:sz w:val="32"/>
          <w:szCs w:val="32"/>
          <w:shd w:val="clear" w:color="auto" w:fill="FFFFFF"/>
        </w:rPr>
        <w:t>较年初预算数减少0.48万元，下降0.63%。主要原因是</w:t>
      </w:r>
      <w:r>
        <w:rPr>
          <w:rFonts w:hint="eastAsia" w:ascii="方正仿宋_GBK" w:hAnsi="方正仿宋_GBK" w:eastAsia="方正仿宋_GBK" w:cs="方正仿宋_GBK"/>
          <w:sz w:val="32"/>
          <w:szCs w:val="32"/>
          <w:shd w:val="clear" w:color="auto" w:fill="FFFFFF"/>
          <w:lang w:val="en-US" w:eastAsia="zh-CN"/>
        </w:rPr>
        <w:t>厉行节约，压减公用经费开支。</w:t>
      </w:r>
    </w:p>
    <w:p>
      <w:pPr>
        <w:pStyle w:val="11"/>
        <w:autoSpaceDE w:val="0"/>
        <w:ind w:firstLine="643"/>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lang w:val="en-US" w:eastAsia="zh-CN"/>
        </w:rPr>
        <w:t>年末结转和结余。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59.60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78.78</w:t>
      </w:r>
      <w:r>
        <w:rPr>
          <w:rFonts w:ascii="方正仿宋_GBK" w:hAnsi="方正仿宋_GBK" w:eastAsia="方正仿宋_GBK" w:cs="方正仿宋_GBK"/>
          <w:sz w:val="32"/>
          <w:szCs w:val="32"/>
          <w:shd w:val="clear" w:color="auto" w:fill="FFFFFF"/>
        </w:rPr>
        <w:t>%，较年初预算数减少2.25万元，下降3.64%，主要原因是</w:t>
      </w:r>
      <w:r>
        <w:rPr>
          <w:rFonts w:hint="eastAsia" w:ascii="方正仿宋_GBK" w:hAnsi="方正仿宋_GBK" w:eastAsia="方正仿宋_GBK" w:cs="方正仿宋_GBK"/>
          <w:sz w:val="32"/>
          <w:szCs w:val="32"/>
          <w:shd w:val="clear" w:color="auto" w:fill="FFFFFF"/>
          <w:lang w:val="en-US" w:eastAsia="zh-CN"/>
        </w:rPr>
        <w:t>厉行节约，压减公用经费开支。</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8.22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10.87</w:t>
      </w:r>
      <w:r>
        <w:rPr>
          <w:rFonts w:ascii="方正仿宋_GBK" w:hAnsi="方正仿宋_GBK" w:eastAsia="方正仿宋_GBK" w:cs="方正仿宋_GBK"/>
          <w:sz w:val="32"/>
          <w:szCs w:val="32"/>
          <w:shd w:val="clear" w:color="auto" w:fill="FFFFFF"/>
        </w:rPr>
        <w:t>%，较年初预算数增加1.10万元，增长15.45%，主要原因是</w:t>
      </w:r>
      <w:r>
        <w:rPr>
          <w:rFonts w:hint="eastAsia" w:ascii="方正仿宋_GBK" w:hAnsi="方正仿宋_GBK" w:eastAsia="方正仿宋_GBK" w:cs="方正仿宋_GBK"/>
          <w:sz w:val="32"/>
          <w:szCs w:val="32"/>
          <w:shd w:val="clear" w:color="auto" w:fill="FFFFFF"/>
          <w:lang w:eastAsia="zh-CN"/>
        </w:rPr>
        <w:t>人员增加，养老保险费用增加。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5.08</w:t>
      </w:r>
      <w:r>
        <w:rPr>
          <w:rFonts w:ascii="方正仿宋_GBK" w:hAnsi="方正仿宋_GBK" w:eastAsia="方正仿宋_GBK" w:cs="方正仿宋_GBK"/>
          <w:sz w:val="32"/>
          <w:szCs w:val="32"/>
          <w:shd w:val="clear" w:color="auto" w:fill="FFFFFF"/>
        </w:rPr>
        <w:t>%，较年初预算数增加0.23万元，增长6.37%，主要原因是</w:t>
      </w:r>
      <w:r>
        <w:rPr>
          <w:rFonts w:hint="eastAsia" w:ascii="方正仿宋_GBK" w:hAnsi="方正仿宋_GBK" w:eastAsia="方正仿宋_GBK" w:cs="方正仿宋_GBK"/>
          <w:sz w:val="32"/>
          <w:szCs w:val="32"/>
          <w:shd w:val="clear" w:color="auto" w:fill="FFFFFF"/>
          <w:lang w:eastAsia="zh-CN"/>
        </w:rPr>
        <w:t>人员增加，医疗</w:t>
      </w:r>
      <w:r>
        <w:rPr>
          <w:rFonts w:hint="eastAsia" w:ascii="方正仿宋_GBK" w:hAnsi="方正仿宋_GBK" w:eastAsia="方正仿宋_GBK" w:cs="方正仿宋_GBK"/>
          <w:sz w:val="32"/>
          <w:szCs w:val="32"/>
          <w:shd w:val="clear" w:color="auto" w:fill="FFFFFF"/>
        </w:rPr>
        <w:t>保险</w:t>
      </w:r>
      <w:r>
        <w:rPr>
          <w:rFonts w:hint="eastAsia" w:ascii="方正仿宋_GBK" w:hAnsi="方正仿宋_GBK" w:eastAsia="方正仿宋_GBK" w:cs="方正仿宋_GBK"/>
          <w:sz w:val="32"/>
          <w:szCs w:val="32"/>
          <w:shd w:val="clear" w:color="auto" w:fill="FFFFFF"/>
          <w:lang w:eastAsia="zh-CN"/>
        </w:rPr>
        <w:t>费用增加。</w:t>
      </w:r>
    </w:p>
    <w:p>
      <w:pPr>
        <w:ind w:firstLine="640" w:firstLineChars="20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5.27</w:t>
      </w:r>
      <w:r>
        <w:rPr>
          <w:rFonts w:ascii="方正仿宋_GBK" w:hAnsi="方正仿宋_GBK" w:eastAsia="方正仿宋_GBK" w:cs="方正仿宋_GBK"/>
          <w:sz w:val="32"/>
          <w:szCs w:val="32"/>
          <w:shd w:val="clear" w:color="auto" w:fill="FFFFFF"/>
        </w:rPr>
        <w:t>%，较年初预算数增加0.43万元，增长12.08%，主要原因是</w:t>
      </w:r>
      <w:r>
        <w:rPr>
          <w:rFonts w:hint="eastAsia" w:ascii="方正仿宋_GBK" w:hAnsi="方正仿宋_GBK" w:eastAsia="方正仿宋_GBK" w:cs="方正仿宋_GBK"/>
          <w:sz w:val="32"/>
          <w:szCs w:val="32"/>
          <w:shd w:val="clear" w:color="auto" w:fill="FFFFFF"/>
          <w:lang w:eastAsia="zh-CN"/>
        </w:rPr>
        <w:t>人员增加，住房公积金支出增加。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75.65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73.01</w:t>
      </w:r>
      <w:r>
        <w:rPr>
          <w:rFonts w:ascii="方正仿宋_GBK" w:hAnsi="方正仿宋_GBK" w:eastAsia="方正仿宋_GBK" w:cs="方正仿宋_GBK"/>
          <w:sz w:val="32"/>
          <w:szCs w:val="32"/>
          <w:shd w:val="clear" w:color="auto" w:fill="FFFFFF"/>
        </w:rPr>
        <w:t>万元，较上年决算数增加17.71万元，增长32.03%，主要原因是</w:t>
      </w:r>
      <w:r>
        <w:rPr>
          <w:rFonts w:hint="eastAsia" w:ascii="方正仿宋_GBK" w:hAnsi="方正仿宋_GBK" w:eastAsia="方正仿宋_GBK" w:cs="方正仿宋_GBK"/>
          <w:sz w:val="32"/>
          <w:szCs w:val="32"/>
          <w:shd w:val="clear" w:color="auto" w:fill="FFFFFF"/>
          <w:lang w:eastAsia="zh-CN"/>
        </w:rPr>
        <w:t>本单位本年度调出</w:t>
      </w:r>
      <w:r>
        <w:rPr>
          <w:rFonts w:hint="eastAsia" w:ascii="方正仿宋_GBK" w:hAnsi="方正仿宋_GBK" w:eastAsia="方正仿宋_GBK" w:cs="方正仿宋_GBK"/>
          <w:sz w:val="32"/>
          <w:szCs w:val="32"/>
          <w:shd w:val="clear" w:color="auto" w:fill="FFFFFF"/>
          <w:lang w:val="en-US" w:eastAsia="zh-CN"/>
        </w:rPr>
        <w:t>1名人员，</w:t>
      </w:r>
      <w:r>
        <w:rPr>
          <w:rFonts w:hint="eastAsia" w:ascii="方正仿宋_GBK" w:hAnsi="方正仿宋_GBK" w:eastAsia="方正仿宋_GBK" w:cs="方正仿宋_GBK"/>
          <w:sz w:val="32"/>
          <w:szCs w:val="32"/>
          <w:shd w:val="clear" w:color="auto" w:fill="FFFFFF"/>
          <w:lang w:eastAsia="zh-CN"/>
        </w:rPr>
        <w:t>新进</w:t>
      </w:r>
      <w:r>
        <w:rPr>
          <w:rFonts w:hint="eastAsia" w:ascii="方正仿宋_GBK" w:hAnsi="方正仿宋_GBK" w:eastAsia="方正仿宋_GBK" w:cs="方正仿宋_GBK"/>
          <w:sz w:val="32"/>
          <w:szCs w:val="32"/>
          <w:shd w:val="clear" w:color="auto" w:fill="FFFFFF"/>
          <w:lang w:val="en-US" w:eastAsia="zh-CN"/>
        </w:rPr>
        <w:t>2名人员，人员经费增加。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基本工资、绩效工资、津贴补贴、各项奖金、社会保障缴费以及部分离退休人员经费支出等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万元，较上年决算数减少8.79万元，下降76.90%，主要原因是</w:t>
      </w:r>
      <w:r>
        <w:rPr>
          <w:rFonts w:hint="eastAsia" w:ascii="方正仿宋_GBK" w:hAnsi="方正仿宋_GBK" w:eastAsia="方正仿宋_GBK" w:cs="方正仿宋_GBK"/>
          <w:sz w:val="32"/>
          <w:szCs w:val="32"/>
          <w:shd w:val="clear" w:color="auto" w:fill="FFFFFF"/>
          <w:lang w:eastAsia="zh-CN"/>
        </w:rPr>
        <w:t>厉行节约，压减公用经费开支。</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本部门2023年度无政府性基金预算财政拨款收支。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bidi="ar-SA"/>
        </w:rPr>
        <w:t>本部门2023年度无国有资本经营预算财政拨款支出。</w:t>
      </w:r>
    </w:p>
    <w:p>
      <w:pPr>
        <w:pStyle w:val="6"/>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万元，较年初预算数无增减，较上年支出数无增减，主要原因是</w:t>
      </w:r>
      <w:r>
        <w:rPr>
          <w:rFonts w:hint="eastAsia" w:ascii="方正仿宋_GBK" w:hAnsi="方正仿宋_GBK" w:eastAsia="方正仿宋_GBK" w:cs="方正仿宋_GBK"/>
          <w:sz w:val="32"/>
          <w:szCs w:val="32"/>
          <w:shd w:val="clear" w:color="auto" w:fill="FFFFFF"/>
          <w:lang w:eastAsia="zh-CN"/>
        </w:rPr>
        <w:t>本年度未发生三公经费支出。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本单位2023年度未发生因公出国（境）费用支出。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本单位2023年度未发生</w:t>
      </w:r>
      <w:r>
        <w:rPr>
          <w:rFonts w:ascii="方正仿宋_GBK" w:hAnsi="方正仿宋_GBK" w:eastAsia="方正仿宋_GBK" w:cs="方正仿宋_GBK"/>
          <w:sz w:val="32"/>
          <w:szCs w:val="32"/>
          <w:shd w:val="clear" w:color="auto" w:fill="FFFFFF"/>
        </w:rPr>
        <w:t>公务车购置</w:t>
      </w:r>
      <w:r>
        <w:rPr>
          <w:rFonts w:hint="eastAsia" w:ascii="方正仿宋_GBK" w:hAnsi="方正仿宋_GBK" w:eastAsia="方正仿宋_GBK" w:cs="方正仿宋_GBK"/>
          <w:sz w:val="32"/>
          <w:szCs w:val="32"/>
          <w:shd w:val="clear" w:color="auto" w:fill="FFFFFF"/>
          <w:lang w:eastAsia="zh-CN"/>
        </w:rPr>
        <w:t>费用支出。</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本单位2023年度未发生</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本单位2023年度未发生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2023年度本单位多使用线上会议，未发生会议费支出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万元，较上年决算数增加0.20万元，增长100.00%，主要原因是</w:t>
      </w:r>
      <w:r>
        <w:rPr>
          <w:rFonts w:hint="eastAsia" w:ascii="方正仿宋_GBK" w:hAnsi="方正仿宋_GBK" w:eastAsia="方正仿宋_GBK" w:cs="方正仿宋_GBK"/>
          <w:sz w:val="32"/>
          <w:szCs w:val="32"/>
          <w:shd w:val="clear" w:color="auto" w:fill="FFFFFF"/>
          <w:lang w:val="en-US" w:eastAsia="zh-CN"/>
        </w:rPr>
        <w:t>2023年本单位人员进行了业务培训，合理开支。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autoSpaceDE w:val="0"/>
        <w:ind w:firstLine="960" w:firstLineChars="3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color w:val="auto"/>
          <w:sz w:val="32"/>
          <w:szCs w:val="32"/>
          <w:shd w:val="clear" w:color="auto" w:fill="FFFFFF"/>
        </w:rPr>
        <w:t>2023年度我单位未发生政府采购事项，无相关经费支出。</w:t>
      </w:r>
    </w:p>
    <w:p>
      <w:pPr>
        <w:pStyle w:val="6"/>
        <w:numPr>
          <w:ilvl w:val="0"/>
          <w:numId w:val="1"/>
        </w:numPr>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1"/>
        <w:numPr>
          <w:ilvl w:val="0"/>
          <w:numId w:val="2"/>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11"/>
        <w:numPr>
          <w:ilvl w:val="0"/>
          <w:numId w:val="0"/>
        </w:numPr>
        <w:autoSpaceDE w:val="0"/>
        <w:ind w:firstLine="960" w:firstLineChars="3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960" w:firstLineChars="3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pPr>
        <w:pStyle w:val="6"/>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bidi="ar-SA"/>
        </w:rPr>
        <w:t>罗橙 023-81069618</w:t>
      </w: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pP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pP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pP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pP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pPr>
    </w:p>
    <w:p>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bidi="ar-SA"/>
        </w:rPr>
      </w:pPr>
    </w:p>
    <w:tbl>
      <w:tblPr>
        <w:tblStyle w:val="9"/>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64" w:hRule="atLeast"/>
        </w:trPr>
        <w:tc>
          <w:tcPr>
            <w:tcW w:w="512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0"/>
                <w:szCs w:val="20"/>
              </w:rPr>
            </w:pP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358" w:hRule="atLeast"/>
        </w:trPr>
        <w:tc>
          <w:tcPr>
            <w:tcW w:w="7142"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2"/>
                <w:szCs w:val="22"/>
              </w:rPr>
            </w:pPr>
            <w:r>
              <w:rPr>
                <w:rFonts w:cs="宋体"/>
                <w:color w:val="000000"/>
                <w:sz w:val="20"/>
                <w:szCs w:val="20"/>
              </w:rPr>
              <w:t>公开单位：</w:t>
            </w:r>
            <w:r>
              <w:rPr>
                <w:color w:val="000000"/>
                <w:sz w:val="20"/>
                <w:u w:color="auto"/>
              </w:rPr>
              <w:t>重庆市荣昌区清升镇综合行政执法大队</w:t>
            </w:r>
          </w:p>
        </w:tc>
        <w:tc>
          <w:tcPr>
            <w:tcW w:w="480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2"/>
                <w:szCs w:val="22"/>
              </w:rPr>
            </w:pP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75.65</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59.60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8.22</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3.84</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3.99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rPr>
                <w:rFonts w:hint="default" w:cs="宋体"/>
                <w:b/>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75.65</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75.65</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75.65</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75.65</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06"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公开单位：</w:t>
            </w:r>
            <w:r>
              <w:rPr>
                <w:color w:val="000000"/>
                <w:sz w:val="20"/>
                <w:u w:color="auto"/>
              </w:rPr>
              <w:t>重庆市荣昌区清升镇综合行政执法大队</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106"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75.65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75.65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ascii="宋体" w:hAnsi="宋体" w:eastAsia="宋体" w:cs="宋体"/>
          <w:sz w:val="20"/>
          <w:szCs w:val="20"/>
          <w:lang w:val="en-US" w:eastAsia="zh-CN" w:bidi="ar-SA"/>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59"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公开单位</w:t>
            </w:r>
            <w:r>
              <w:rPr>
                <w:rFonts w:cs="宋体"/>
                <w:color w:val="000000"/>
                <w:sz w:val="20"/>
                <w:szCs w:val="20"/>
              </w:rPr>
              <w:t xml:space="preserve">： </w:t>
            </w:r>
            <w:r>
              <w:rPr>
                <w:color w:val="000000"/>
                <w:sz w:val="20"/>
                <w:u w:color="auto"/>
              </w:rPr>
              <w:t xml:space="preserve">重庆市荣昌区清升镇综合行政执法大队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59"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75.65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75.65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59.60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59.60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59.60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8.22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3.99</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3.99</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3110"/>
        <w:gridCol w:w="1593"/>
        <w:gridCol w:w="3330"/>
        <w:gridCol w:w="1"/>
        <w:gridCol w:w="1774"/>
        <w:gridCol w:w="1"/>
        <w:gridCol w:w="1774"/>
        <w:gridCol w:w="1774"/>
        <w:gridCol w:w="1"/>
        <w:gridCol w:w="2020"/>
      </w:tblGrid>
      <w:tr>
        <w:tblPrEx>
          <w:tblLayout w:type="fixed"/>
          <w:tblCellMar>
            <w:top w:w="0" w:type="dxa"/>
            <w:left w:w="0" w:type="dxa"/>
            <w:bottom w:w="0" w:type="dxa"/>
            <w:right w:w="0" w:type="dxa"/>
          </w:tblCellMar>
        </w:tblPrEx>
        <w:trPr>
          <w:trHeight w:val="90" w:hRule="atLeast"/>
        </w:trPr>
        <w:tc>
          <w:tcPr>
            <w:tcW w:w="15378" w:type="dxa"/>
            <w:gridSpan w:val="10"/>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8033"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r>
              <w:rPr>
                <w:rFonts w:cs="宋体"/>
                <w:color w:val="000000"/>
                <w:sz w:val="20"/>
                <w:szCs w:val="20"/>
              </w:rPr>
              <w:t>公开单位</w:t>
            </w:r>
            <w:r>
              <w:rPr>
                <w:rFonts w:cs="宋体"/>
                <w:color w:val="000000"/>
                <w:sz w:val="20"/>
                <w:szCs w:val="20"/>
              </w:rPr>
              <w:t xml:space="preserve">： </w:t>
            </w:r>
            <w:r>
              <w:rPr>
                <w:color w:val="000000"/>
                <w:sz w:val="20"/>
                <w:u w:color="auto"/>
              </w:rPr>
              <w:t>重庆市荣昌区清升镇综合行政执法大队</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202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803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202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90" w:hRule="atLeast"/>
        </w:trPr>
        <w:tc>
          <w:tcPr>
            <w:tcW w:w="4703"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675" w:type="dxa"/>
            <w:gridSpan w:val="8"/>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3110"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9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331" w:type="dxa"/>
            <w:gridSpan w:val="2"/>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344" w:type="dxa"/>
            <w:gridSpan w:val="6"/>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311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59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3331"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7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75"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02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75.65</w:t>
            </w: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59.60</w:t>
            </w: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59.60</w:t>
            </w: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8.22</w:t>
            </w: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8.22</w:t>
            </w: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3.84</w:t>
            </w: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3.84</w:t>
            </w: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3.99</w:t>
            </w: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3.99</w:t>
            </w: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75.65</w:t>
            </w: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75.65</w:t>
            </w: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75.65</w:t>
            </w: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11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75.65</w:t>
            </w:r>
            <w:r>
              <w:rPr>
                <w:color w:val="000000"/>
                <w:sz w:val="18"/>
                <w:u w:color="auto"/>
              </w:rPr>
              <w:t xml:space="preserve"> </w:t>
            </w:r>
          </w:p>
        </w:tc>
        <w:tc>
          <w:tcPr>
            <w:tcW w:w="333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75.65</w:t>
            </w:r>
            <w:r>
              <w:rPr>
                <w:color w:val="000000"/>
                <w:sz w:val="18"/>
                <w:u w:color="auto"/>
              </w:rPr>
              <w:t xml:space="preserve"> </w:t>
            </w:r>
          </w:p>
        </w:tc>
        <w:tc>
          <w:tcPr>
            <w:tcW w:w="177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75.65</w:t>
            </w:r>
            <w:r>
              <w:rPr>
                <w:color w:val="000000"/>
                <w:sz w:val="18"/>
                <w:u w:color="auto"/>
              </w:rPr>
              <w:t xml:space="preserve"> </w:t>
            </w:r>
          </w:p>
        </w:tc>
        <w:tc>
          <w:tcPr>
            <w:tcW w:w="17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ascii="宋体" w:hAnsi="宋体" w:eastAsia="宋体" w:cs="宋体"/>
          <w:sz w:val="21"/>
          <w:szCs w:val="21"/>
          <w:lang w:val="en-US" w:eastAsia="zh-CN" w:bidi="ar-SA"/>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5"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公开单位</w:t>
            </w:r>
            <w:r>
              <w:rPr>
                <w:rFonts w:cs="宋体"/>
                <w:color w:val="000000"/>
                <w:sz w:val="20"/>
                <w:szCs w:val="20"/>
              </w:rPr>
              <w:t xml:space="preserve">： </w:t>
            </w:r>
            <w:r>
              <w:rPr>
                <w:color w:val="000000"/>
                <w:sz w:val="20"/>
                <w:u w:color="auto"/>
              </w:rPr>
              <w:t>重庆市荣昌区清升镇综合行政执法大队</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725"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75.65</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75.65</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59.60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59.60</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59.60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59.60</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59.60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59.60</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8.22</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8.22</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8.22</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8.22</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5.48</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5.48</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2.74</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2.74</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3.84</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3.84</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3.84</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3.84</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2.72</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2.72</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1.12</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1.12</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3.99</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3.99</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3.99</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3.99</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3.99</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3.99</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5557"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r>
              <w:rPr>
                <w:rFonts w:cs="宋体"/>
                <w:color w:val="000000"/>
                <w:sz w:val="20"/>
                <w:szCs w:val="20"/>
              </w:rPr>
              <w:t>公开单位</w:t>
            </w:r>
            <w:r>
              <w:rPr>
                <w:rFonts w:cs="宋体"/>
                <w:color w:val="000000"/>
                <w:sz w:val="20"/>
                <w:szCs w:val="20"/>
              </w:rPr>
              <w:t xml:space="preserve">： </w:t>
            </w:r>
            <w:r>
              <w:rPr>
                <w:color w:val="000000"/>
                <w:sz w:val="20"/>
                <w:u w:color="auto"/>
              </w:rPr>
              <w:t>重庆市荣昌区清升镇综合行政执法大队</w:t>
            </w:r>
          </w:p>
        </w:tc>
        <w:tc>
          <w:tcPr>
            <w:tcW w:w="19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5557"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73.01</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2.64</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17.15</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0.09</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2.92</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36.27</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0.04</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0.02</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2.74</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2.72</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0.74</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2.19</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3.99</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0.64</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0.36</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73.01</w:t>
            </w:r>
            <w:r>
              <w:rPr>
                <w:color w:val="000000"/>
                <w:sz w:val="18"/>
                <w:u w:color="auto"/>
              </w:rPr>
              <w:t xml:space="preserve"> </w:t>
            </w:r>
          </w:p>
        </w:tc>
        <w:tc>
          <w:tcPr>
            <w:tcW w:w="8750" w:type="dxa"/>
            <w:gridSpan w:val="5"/>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2.64</w:t>
            </w:r>
            <w:r>
              <w:rPr>
                <w:color w:val="000000"/>
                <w:sz w:val="18"/>
                <w:u w:color="auto"/>
              </w:rPr>
              <w:t xml:space="preserve"> </w:t>
            </w:r>
          </w:p>
        </w:tc>
      </w:tr>
    </w:tbl>
    <w:p>
      <w:pPr>
        <w:spacing w:line="280" w:lineRule="exact"/>
        <w:rPr>
          <w:rFonts w:hint="default" w:ascii="宋体" w:hAnsi="宋体" w:eastAsia="宋体" w:cs="宋体"/>
          <w:sz w:val="21"/>
          <w:szCs w:val="21"/>
          <w:lang w:val="en-US" w:eastAsia="zh-CN" w:bidi="ar-SA"/>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9"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公开单位</w:t>
            </w:r>
            <w:r>
              <w:rPr>
                <w:rFonts w:cs="宋体"/>
                <w:color w:val="000000"/>
                <w:sz w:val="20"/>
                <w:szCs w:val="20"/>
              </w:rPr>
              <w:t xml:space="preserve">： </w:t>
            </w:r>
            <w:r>
              <w:rPr>
                <w:color w:val="000000"/>
                <w:sz w:val="20"/>
                <w:u w:color="auto"/>
              </w:rPr>
              <w:t>重庆市荣昌区清升镇综合行政执法大队</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49"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ascii="宋体" w:hAnsi="宋体" w:eastAsia="宋体" w:cs="宋体"/>
          <w:sz w:val="21"/>
          <w:szCs w:val="21"/>
          <w:lang w:val="en-US" w:eastAsia="zh-CN" w:bidi="ar-SA"/>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8"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公开单位</w:t>
            </w:r>
            <w:r>
              <w:rPr>
                <w:rFonts w:cs="宋体"/>
                <w:color w:val="000000"/>
                <w:sz w:val="20"/>
                <w:szCs w:val="20"/>
              </w:rPr>
              <w:t xml:space="preserve">： </w:t>
            </w:r>
            <w:r>
              <w:rPr>
                <w:color w:val="000000"/>
                <w:sz w:val="20"/>
                <w:u w:color="auto"/>
              </w:rPr>
              <w:t>重庆市荣昌区清升镇综合行政执法大队</w:t>
            </w:r>
          </w:p>
        </w:tc>
        <w:tc>
          <w:tcPr>
            <w:tcW w:w="3752"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4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218"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752"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4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7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right"/>
              <w:rPr>
                <w:rFonts w:hint="default" w:cs="宋体"/>
                <w:b/>
                <w:color w:val="000000"/>
                <w:sz w:val="20"/>
                <w:szCs w:val="20"/>
              </w:rPr>
            </w:pPr>
          </w:p>
        </w:tc>
        <w:tc>
          <w:tcPr>
            <w:tcW w:w="348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bookmarkStart w:id="0" w:name="_GoBack"/>
      <w:bookmarkEnd w:id="0"/>
    </w:p>
    <w:tbl>
      <w:tblPr>
        <w:tblStyle w:val="9"/>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Layout w:type="fixed"/>
          <w:tblCellMar>
            <w:top w:w="0" w:type="dxa"/>
            <w:left w:w="170" w:type="dxa"/>
            <w:bottom w:w="0" w:type="dxa"/>
            <w:right w:w="170" w:type="dxa"/>
          </w:tblCellMar>
        </w:tblPrEx>
        <w:trPr>
          <w:trHeight w:val="343" w:hRule="atLeast"/>
        </w:trPr>
        <w:tc>
          <w:tcPr>
            <w:tcW w:w="15000" w:type="dxa"/>
            <w:gridSpan w:val="5"/>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4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center"/>
              <w:rPr>
                <w:rFonts w:hint="default" w:cs="宋体"/>
                <w:color w:val="000000"/>
                <w:sz w:val="20"/>
                <w:szCs w:val="20"/>
              </w:rPr>
            </w:pP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170" w:type="dxa"/>
            <w:bottom w:w="0" w:type="dxa"/>
            <w:right w:w="170" w:type="dxa"/>
          </w:tblCellMar>
        </w:tblPrEx>
        <w:trPr>
          <w:trHeight w:val="244" w:hRule="atLeast"/>
        </w:trPr>
        <w:tc>
          <w:tcPr>
            <w:tcW w:w="6207"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r>
              <w:rPr>
                <w:rFonts w:cs="宋体"/>
                <w:color w:val="000000"/>
                <w:sz w:val="20"/>
                <w:szCs w:val="20"/>
              </w:rPr>
              <w:t>公开单位</w:t>
            </w:r>
            <w:r>
              <w:rPr>
                <w:rFonts w:cs="宋体"/>
                <w:color w:val="000000"/>
                <w:sz w:val="20"/>
                <w:szCs w:val="20"/>
              </w:rPr>
              <w:t xml:space="preserve">： </w:t>
            </w:r>
            <w:r>
              <w:rPr>
                <w:color w:val="000000"/>
                <w:sz w:val="20"/>
                <w:u w:color="auto"/>
              </w:rPr>
              <w:t>重庆市荣昌区清升镇综合行政执法大队</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color w:val="000000"/>
                <w:sz w:val="20"/>
                <w:szCs w:val="20"/>
              </w:rPr>
              <w:t>万元</w:t>
            </w:r>
          </w:p>
        </w:tc>
      </w:tr>
      <w:tr>
        <w:tblPrEx>
          <w:tblLayout w:type="fixed"/>
          <w:tblCellMar>
            <w:top w:w="0" w:type="dxa"/>
            <w:left w:w="170" w:type="dxa"/>
            <w:bottom w:w="0" w:type="dxa"/>
            <w:right w:w="170" w:type="dxa"/>
          </w:tblCellMar>
        </w:tblPrEx>
        <w:trPr>
          <w:trHeight w:val="28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tblPrEx>
          <w:tblLayout w:type="fixed"/>
          <w:tblCellMar>
            <w:top w:w="0" w:type="dxa"/>
            <w:left w:w="170" w:type="dxa"/>
            <w:bottom w:w="0" w:type="dxa"/>
            <w:right w:w="170" w:type="dxa"/>
          </w:tblCellMar>
        </w:tblPrEx>
        <w:trPr>
          <w:trHeight w:val="28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二、会议费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rPr>
                <w:rFonts w:hint="default" w:cs="宋体"/>
                <w:color w:val="000000"/>
                <w:sz w:val="16"/>
                <w:szCs w:val="16"/>
              </w:rPr>
            </w:pPr>
          </w:p>
        </w:tc>
      </w:tr>
      <w:tr>
        <w:tblPrEx>
          <w:tblLayout w:type="fixed"/>
          <w:tblCellMar>
            <w:top w:w="0" w:type="dxa"/>
            <w:left w:w="170" w:type="dxa"/>
            <w:bottom w:w="0" w:type="dxa"/>
            <w:right w:w="170" w:type="dxa"/>
          </w:tblCellMar>
        </w:tblPrEx>
        <w:trPr>
          <w:trHeight w:val="389"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三、培训费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0.20</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rPr>
                <w:rFonts w:hint="default" w:cs="宋体"/>
                <w:color w:val="000000"/>
                <w:sz w:val="16"/>
                <w:szCs w:val="16"/>
              </w:rPr>
            </w:pPr>
          </w:p>
        </w:tc>
      </w:tr>
    </w:tbl>
    <w:p>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1EA1319F"/>
    <w:multiLevelType w:val="singleLevel"/>
    <w:tmpl w:val="1EA1319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3016BE"/>
    <w:rsid w:val="12C921C4"/>
    <w:rsid w:val="13871C70"/>
    <w:rsid w:val="13A71CB4"/>
    <w:rsid w:val="13AF1D43"/>
    <w:rsid w:val="13CE1647"/>
    <w:rsid w:val="13FD55AB"/>
    <w:rsid w:val="14200702"/>
    <w:rsid w:val="14746ABB"/>
    <w:rsid w:val="16085A30"/>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624312"/>
    <w:rsid w:val="25791755"/>
    <w:rsid w:val="26396DF4"/>
    <w:rsid w:val="27167136"/>
    <w:rsid w:val="271B442C"/>
    <w:rsid w:val="27B23302"/>
    <w:rsid w:val="29310A5F"/>
    <w:rsid w:val="29C37A35"/>
    <w:rsid w:val="2A076083"/>
    <w:rsid w:val="2A73162E"/>
    <w:rsid w:val="2AA35387"/>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176A7"/>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474A9E"/>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73661B"/>
    <w:rsid w:val="5C263CE4"/>
    <w:rsid w:val="5C5D2777"/>
    <w:rsid w:val="5CF66BF3"/>
    <w:rsid w:val="5D290C69"/>
    <w:rsid w:val="5F2D4A41"/>
    <w:rsid w:val="60B50030"/>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5E1B65"/>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7F92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4</TotalTime>
  <ScaleCrop>false</ScaleCrop>
  <LinksUpToDate>false</LinksUpToDate>
  <CharactersWithSpaces>26759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2024-09-30T08:21:48Z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BB46EABDBB2749749395447164B066B3_12</vt:lpwstr>
  </property>
</Properties>
</file>