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color w:val="auto"/>
          <w:sz w:val="36"/>
          <w:szCs w:val="36"/>
        </w:rPr>
      </w:pPr>
      <w:r>
        <w:rPr>
          <w:rFonts w:ascii="方正小标宋_GBK" w:hAnsi="方正小标宋_GBK" w:eastAsia="方正小标宋_GBK" w:cs="方正小标宋_GBK"/>
          <w:b w:val="0"/>
          <w:bCs w:val="0"/>
          <w:color w:val="auto"/>
          <w:sz w:val="36"/>
          <w:szCs w:val="36"/>
        </w:rPr>
        <w:t>重庆市荣昌区清升镇人民政府</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color w:val="auto"/>
          <w:sz w:val="36"/>
          <w:szCs w:val="36"/>
          <w:shd w:val="clear" w:color="auto" w:fill="FFFFFF"/>
        </w:rPr>
      </w:pPr>
      <w:r>
        <w:rPr>
          <w:rFonts w:hint="default" w:ascii="Times New Roman" w:hAnsi="Times New Roman" w:eastAsia="方正小标宋_GBK"/>
          <w:b w:val="0"/>
          <w:bCs w:val="0"/>
          <w:color w:val="auto"/>
          <w:sz w:val="36"/>
          <w:szCs w:val="36"/>
          <w:shd w:val="clear" w:color="auto" w:fill="FFFFFF"/>
        </w:rPr>
        <w:t>2024</w:t>
      </w:r>
      <w:r>
        <w:rPr>
          <w:rFonts w:ascii="方正小标宋_GBK" w:hAnsi="方正小标宋_GBK" w:eastAsia="方正小标宋_GBK" w:cs="方正小标宋_GBK"/>
          <w:b w:val="0"/>
          <w:bCs w:val="0"/>
          <w:color w:val="auto"/>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部门</w:t>
      </w:r>
      <w:r>
        <w:rPr>
          <w:rStyle w:val="10"/>
          <w:rFonts w:ascii="黑体" w:hAnsi="黑体" w:eastAsia="黑体" w:cs="黑体"/>
          <w:color w:val="auto"/>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bookmarkStart w:id="0" w:name="_GoBack"/>
      <w:bookmarkEnd w:id="0"/>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（1）制定和组织实施经济、科技和社会发展计划，组织指导各项生产，协调本镇与外地区经济交流与合作，抓好招商引资，不断培育市场体系，组织经济运行，促进经济发展。</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（2）制定并组织村镇建设规划，部署重点工程建设、地方道路及公共设施，水利设施的管理，负责土地、林木、水等自然资源和生态资源的保护，做好护林防火工作。</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（3）负责本区域内民政、计划生育、文化教育、卫生体育等社会公益事业的综合性工作，维护一切经济单位和个人的正当经济权益，调解和处理民事纠纷，打击刑事犯罪，维护社会稳定。</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（4）按计划组织本级财政收入和地方税的征收，完成国家财政计划，不断培植税源，管好财政资金，增强财政实力。</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bidi="ar-SA"/>
        </w:rPr>
        <w:t>（5）完成上级部门交办的其他事项。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2024</w:t>
      </w:r>
      <w:r>
        <w:rPr>
          <w:rFonts w:hint="default" w:ascii="方正仿宋_GBK" w:hAnsi="方正仿宋_GBK" w:eastAsia="方正仿宋_GBK" w:cs="方正仿宋_GBK"/>
          <w:color w:val="auto"/>
          <w:sz w:val="32"/>
          <w:szCs w:val="32"/>
          <w:shd w:val="clear" w:color="auto" w:fill="FFFFFF"/>
          <w:lang w:val="en-US" w:eastAsia="zh-CN" w:bidi="ar-SA"/>
        </w:rPr>
        <w:t>年末下设机构分别为：党政办公室、党群工作办公室、经济发展办公室（挂统计办公室、农村经营管理办公室牌子）、民政和社会事务办公室（挂卫生健康办公室牌子）、平安建设办公室、规划建设管理环保办公室、财政办公室、应急管理办公室。人大办公室单独设置，组建综合行政执法办公室。</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党政办公室：主要负责纪检、宣传、精神文明、统战、法制、武装、编制、人事、民宗侨台以及综合协调、文秘、目标管理等职责，负责承办政协工作方面的具体事务。</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党群工作办公室：主要负责基层党建、群团等工作。</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经济发展办公室（挂统计办公室、农村经营管理办公室牌子）：主要负责经济发展规划、农村经营管理、经济社会统计、扶贫开发、产业发展及产业扶贫等职责。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民政和社会事务办公室（挂卫生健康办公室牌子）：主要负责民政、教育、卫生、计生、老龄事业发展、文化、体育、社会救助、残疾人事业、劳动就业、社会保障、物业管理等职责，承担其他民政和社会事务管理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平安建设办公室：主要负责信访、人民调解、社会治安综合治理、维护社会稳定、防范和处理等职责。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规划建设管理环保办公室：主要负责村镇规划、村镇建设、市政公用、市容环卫、环境保护、农村公路建设养护管理等职责。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财政办公室：主要负责财政收支、预决算、总会计、惠农资金兑付、财政资金监督检查、绩效评价、村级财务管理等职责。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应急管理办公室：主要负责安全生产综合监管、应急管理等工作，协助开展煤矿、非煤矿山、危险化学品、烟花爆竹等安全生产日常监管工作。</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人大办公室：主要负责人大工作方面的具体事务。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综合行政执法办公室：集中行使依法授权或委托的农林水利、规划建设、环境保护、卫生计生、文化旅游、民政管理等领域的行政执法权；协调、配合区级有关部门及派驻机构开展其他领域的联合执法。</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部门</w:t>
      </w:r>
      <w:r>
        <w:rPr>
          <w:rStyle w:val="10"/>
          <w:rFonts w:ascii="黑体" w:hAnsi="黑体" w:eastAsia="黑体" w:cs="黑体"/>
          <w:color w:val="auto"/>
          <w:sz w:val="32"/>
          <w:szCs w:val="32"/>
          <w:shd w:val="clear" w:color="auto" w:fill="FFFFFF"/>
        </w:rPr>
        <w:t>决算</w:t>
      </w:r>
      <w:r>
        <w:rPr>
          <w:rStyle w:val="10"/>
          <w:rFonts w:hint="eastAsia" w:ascii="黑体" w:hAnsi="黑体" w:eastAsia="黑体" w:cs="黑体"/>
          <w:color w:val="auto"/>
          <w:sz w:val="32"/>
          <w:szCs w:val="32"/>
          <w:shd w:val="clear" w:color="auto" w:fill="FFFFFF"/>
          <w:lang w:eastAsia="zh-CN"/>
        </w:rPr>
        <w:t>收支</w:t>
      </w:r>
      <w:r>
        <w:rPr>
          <w:rStyle w:val="10"/>
          <w:rFonts w:ascii="黑体" w:hAnsi="黑体" w:eastAsia="黑体" w:cs="黑体"/>
          <w:color w:val="auto"/>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3390.97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收、支与2023年度相比，减少1108.19万元，下降24.6%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ascii="方正仿宋_GBK" w:hAnsi="方正仿宋_GBK" w:eastAsia="方正仿宋_GBK" w:cs="方正仿宋_GBK"/>
          <w:color w:val="auto"/>
          <w:sz w:val="32"/>
          <w:szCs w:val="32"/>
          <w:shd w:val="clear" w:color="auto" w:fill="FFFFFF"/>
        </w:rPr>
        <w:t>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3390.97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与2023年度相比，减少1103.19万元，下降24.6%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ascii="方正仿宋_GBK" w:hAnsi="方正仿宋_GBK" w:eastAsia="方正仿宋_GBK" w:cs="方正仿宋_GBK"/>
          <w:color w:val="auto"/>
          <w:sz w:val="32"/>
          <w:szCs w:val="32"/>
          <w:shd w:val="clear" w:color="auto" w:fill="FFFFFF"/>
        </w:rPr>
        <w:t>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3390.97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3390.97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与2023年度相比，减少1108.19万元，下降24.6%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ascii="方正仿宋_GBK" w:hAnsi="方正仿宋_GBK" w:eastAsia="方正仿宋_GBK" w:cs="方正仿宋_GBK"/>
          <w:color w:val="auto"/>
          <w:sz w:val="32"/>
          <w:szCs w:val="32"/>
          <w:shd w:val="clear" w:color="auto" w:fill="FFFFFF"/>
        </w:rPr>
        <w:t>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1501.74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44.3%</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1889.23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55.7%</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0"/>
          <w:rFonts w:hint="eastAsia" w:ascii="Times New Roman" w:hAnsi="Times New Roman" w:eastAsia="方正仿宋_GBK"/>
          <w:color w:val="auto"/>
          <w:sz w:val="32"/>
          <w:szCs w:val="32"/>
          <w:shd w:val="clear" w:color="auto" w:fill="FFFFFF"/>
          <w:lang w:val="en-US" w:eastAsia="zh-CN"/>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年末时财政收回了上年存量资金。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3390.97</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财政拨款收、支总计各减少1108.19万元，下降24.6%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ascii="方正仿宋_GBK" w:hAnsi="方正仿宋_GBK" w:eastAsia="方正仿宋_GBK" w:cs="方正仿宋_GBK"/>
          <w:color w:val="auto"/>
          <w:sz w:val="32"/>
          <w:szCs w:val="32"/>
          <w:shd w:val="clear" w:color="auto" w:fill="FFFFFF"/>
        </w:rPr>
        <w:t>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0"/>
          <w:rFonts w:hint="default" w:ascii="Times New Roman" w:hAnsi="Times New Roman" w:eastAsia="方正仿宋_GBK"/>
          <w:color w:val="auto"/>
          <w:sz w:val="32"/>
          <w:szCs w:val="32"/>
          <w:shd w:val="clear" w:color="auto" w:fill="FFFFFF"/>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2874.22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与2023年度相比，减少1420.34万元，下降33.1%</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b/>
          <w:bCs/>
          <w:color w:val="auto"/>
          <w:sz w:val="32"/>
          <w:szCs w:val="32"/>
          <w:shd w:val="clear" w:color="auto" w:fill="FFFFFF"/>
          <w:lang w:eastAsia="zh-CN"/>
        </w:rPr>
        <w:t>一是</w:t>
      </w:r>
      <w:r>
        <w:rPr>
          <w:rFonts w:hint="eastAsia" w:ascii="方正仿宋_GBK" w:hAnsi="方正仿宋_GBK" w:eastAsia="方正仿宋_GBK" w:cs="方正仿宋_GBK"/>
          <w:color w:val="auto"/>
          <w:sz w:val="32"/>
          <w:szCs w:val="32"/>
          <w:shd w:val="clear" w:color="auto" w:fill="FFFFFF"/>
          <w:lang w:eastAsia="zh-CN"/>
        </w:rPr>
        <w:t>本年度在职人员总数较上年减少</w:t>
      </w:r>
      <w:r>
        <w:rPr>
          <w:rFonts w:hint="eastAsia" w:ascii="方正仿宋_GBK" w:hAnsi="方正仿宋_GBK" w:eastAsia="方正仿宋_GBK" w:cs="方正仿宋_GBK"/>
          <w:color w:val="auto"/>
          <w:sz w:val="32"/>
          <w:szCs w:val="32"/>
          <w:shd w:val="clear" w:color="auto" w:fill="FFFFFF"/>
          <w:lang w:val="en-US" w:eastAsia="zh-CN"/>
        </w:rPr>
        <w:t>1人，人员经费和公用经费减少；</w:t>
      </w:r>
      <w:r>
        <w:rPr>
          <w:rFonts w:hint="eastAsia" w:ascii="方正仿宋_GBK" w:hAnsi="方正仿宋_GBK" w:eastAsia="方正仿宋_GBK" w:cs="方正仿宋_GBK"/>
          <w:b/>
          <w:bCs/>
          <w:color w:val="auto"/>
          <w:sz w:val="32"/>
          <w:szCs w:val="32"/>
          <w:shd w:val="clear" w:color="auto" w:fill="FFFFFF"/>
          <w:lang w:val="en-US" w:eastAsia="zh-CN"/>
        </w:rPr>
        <w:t>二是</w:t>
      </w:r>
      <w:r>
        <w:rPr>
          <w:rFonts w:hint="eastAsia" w:ascii="方正仿宋_GBK" w:hAnsi="方正仿宋_GBK" w:eastAsia="方正仿宋_GBK" w:cs="方正仿宋_GBK"/>
          <w:color w:val="auto"/>
          <w:sz w:val="32"/>
          <w:szCs w:val="32"/>
          <w:shd w:val="clear" w:color="auto" w:fill="FFFFFF"/>
          <w:lang w:eastAsia="zh-CN"/>
        </w:rPr>
        <w:t>本年度</w:t>
      </w:r>
      <w:r>
        <w:rPr>
          <w:rFonts w:ascii="方正仿宋_GBK" w:hAnsi="方正仿宋_GBK" w:eastAsia="方正仿宋_GBK" w:cs="方正仿宋_GBK"/>
          <w:color w:val="auto"/>
          <w:sz w:val="32"/>
          <w:szCs w:val="32"/>
          <w:shd w:val="clear" w:color="auto" w:fill="FFFFFF"/>
        </w:rPr>
        <w:t>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较年初预算数减少347.42万元，下降10.8%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b/>
          <w:bCs/>
          <w:color w:val="auto"/>
          <w:sz w:val="32"/>
          <w:szCs w:val="32"/>
          <w:shd w:val="clear" w:color="auto" w:fill="FFFFFF"/>
          <w:lang w:eastAsia="zh-CN"/>
        </w:rPr>
        <w:t>一是人员经费减少。</w:t>
      </w:r>
      <w:r>
        <w:rPr>
          <w:rFonts w:hint="eastAsia" w:ascii="方正仿宋_GBK" w:hAnsi="方正仿宋_GBK" w:eastAsia="方正仿宋_GBK" w:cs="方正仿宋_GBK"/>
          <w:color w:val="auto"/>
          <w:sz w:val="32"/>
          <w:szCs w:val="32"/>
          <w:shd w:val="clear" w:color="auto" w:fill="FFFFFF"/>
          <w:lang w:eastAsia="zh-CN"/>
        </w:rPr>
        <w:t>下属单位人员发生变动，年终存在人员退休或调离本单位的情况，导致相关人员经费支出低于预算；</w:t>
      </w:r>
      <w:r>
        <w:rPr>
          <w:rFonts w:hint="eastAsia" w:ascii="方正仿宋_GBK" w:hAnsi="方正仿宋_GBK" w:eastAsia="方正仿宋_GBK" w:cs="方正仿宋_GBK"/>
          <w:b/>
          <w:bCs/>
          <w:color w:val="auto"/>
          <w:sz w:val="32"/>
          <w:szCs w:val="32"/>
          <w:shd w:val="clear" w:color="auto" w:fill="FFFFFF"/>
          <w:lang w:eastAsia="zh-CN"/>
        </w:rPr>
        <w:t>二是公用经费减少。</w:t>
      </w:r>
      <w:r>
        <w:rPr>
          <w:rFonts w:hint="eastAsia" w:ascii="方正仿宋_GBK" w:hAnsi="方正仿宋_GBK" w:eastAsia="方正仿宋_GBK" w:cs="方正仿宋_GBK"/>
          <w:color w:val="auto"/>
          <w:sz w:val="32"/>
          <w:szCs w:val="32"/>
          <w:shd w:val="clear" w:color="auto" w:fill="FFFFFF"/>
          <w:lang w:eastAsia="zh-CN"/>
        </w:rPr>
        <w:t>年度中期按要求压减公用经费开支，直接降低了公用经费领域的预算执行金额。</w:t>
      </w:r>
      <w:r>
        <w:rPr>
          <w:rFonts w:hint="eastAsia" w:ascii="方正仿宋_GBK" w:hAnsi="方正仿宋_GBK" w:eastAsia="方正仿宋_GBK" w:cs="方正仿宋_GBK"/>
          <w:b/>
          <w:bCs/>
          <w:color w:val="auto"/>
          <w:sz w:val="32"/>
          <w:szCs w:val="32"/>
          <w:shd w:val="clear" w:color="auto" w:fill="FFFFFF"/>
          <w:lang w:eastAsia="zh-CN"/>
        </w:rPr>
        <w:t>三是项目款项未拨付。</w:t>
      </w:r>
      <w:r>
        <w:rPr>
          <w:rFonts w:hint="eastAsia" w:ascii="方正仿宋_GBK" w:hAnsi="方正仿宋_GBK" w:eastAsia="方正仿宋_GBK" w:cs="方正仿宋_GBK"/>
          <w:color w:val="auto"/>
          <w:sz w:val="32"/>
          <w:szCs w:val="32"/>
          <w:shd w:val="clear" w:color="auto" w:fill="FFFFFF"/>
          <w:lang w:eastAsia="zh-CN"/>
        </w:rPr>
        <w:t>本年度部分项目尚未完成竣工结算，项目尾款暂未支付，使得整体支出较年初预算有所减少。</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2874.22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与2023年度相比，减少1425.34万元，下降33.2%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ascii="方正仿宋_GBK" w:hAnsi="方正仿宋_GBK" w:eastAsia="方正仿宋_GBK" w:cs="方正仿宋_GBK"/>
          <w:color w:val="auto"/>
          <w:sz w:val="32"/>
          <w:szCs w:val="32"/>
          <w:shd w:val="clear" w:color="auto" w:fill="FFFFFF"/>
        </w:rPr>
        <w:t>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较年初预算数减少347.42万元，下降10.8%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b/>
          <w:bCs/>
          <w:color w:val="auto"/>
          <w:sz w:val="32"/>
          <w:szCs w:val="32"/>
          <w:shd w:val="clear" w:color="auto" w:fill="FFFFFF"/>
          <w:lang w:eastAsia="zh-CN"/>
        </w:rPr>
        <w:t>一是人员经费减少。</w:t>
      </w:r>
      <w:r>
        <w:rPr>
          <w:rFonts w:hint="eastAsia" w:ascii="方正仿宋_GBK" w:hAnsi="方正仿宋_GBK" w:eastAsia="方正仿宋_GBK" w:cs="方正仿宋_GBK"/>
          <w:color w:val="auto"/>
          <w:sz w:val="32"/>
          <w:szCs w:val="32"/>
          <w:shd w:val="clear" w:color="auto" w:fill="FFFFFF"/>
          <w:lang w:eastAsia="zh-CN"/>
        </w:rPr>
        <w:t>下属单位人员发生变动，年终存在人员退休或调离本单位的情况，导致相关人员经费支出低于预算；</w:t>
      </w:r>
      <w:r>
        <w:rPr>
          <w:rFonts w:hint="eastAsia" w:ascii="方正仿宋_GBK" w:hAnsi="方正仿宋_GBK" w:eastAsia="方正仿宋_GBK" w:cs="方正仿宋_GBK"/>
          <w:b/>
          <w:bCs/>
          <w:color w:val="auto"/>
          <w:sz w:val="32"/>
          <w:szCs w:val="32"/>
          <w:shd w:val="clear" w:color="auto" w:fill="FFFFFF"/>
          <w:lang w:eastAsia="zh-CN"/>
        </w:rPr>
        <w:t>二是公用经费减少</w:t>
      </w:r>
      <w:r>
        <w:rPr>
          <w:rFonts w:hint="eastAsia" w:ascii="方正仿宋_GBK" w:hAnsi="方正仿宋_GBK" w:eastAsia="方正仿宋_GBK" w:cs="方正仿宋_GBK"/>
          <w:color w:val="auto"/>
          <w:sz w:val="32"/>
          <w:szCs w:val="32"/>
          <w:shd w:val="clear" w:color="auto" w:fill="FFFFFF"/>
          <w:lang w:eastAsia="zh-CN"/>
        </w:rPr>
        <w:t>。年度中期按要求压减公用经费开支，直接降低了公用经费领域的预算执行金额。</w:t>
      </w:r>
      <w:r>
        <w:rPr>
          <w:rFonts w:hint="eastAsia" w:ascii="方正仿宋_GBK" w:hAnsi="方正仿宋_GBK" w:eastAsia="方正仿宋_GBK" w:cs="方正仿宋_GBK"/>
          <w:b/>
          <w:bCs/>
          <w:color w:val="auto"/>
          <w:sz w:val="32"/>
          <w:szCs w:val="32"/>
          <w:shd w:val="clear" w:color="auto" w:fill="FFFFFF"/>
          <w:lang w:eastAsia="zh-CN"/>
        </w:rPr>
        <w:t>三是项目款项未拨付。</w:t>
      </w:r>
      <w:r>
        <w:rPr>
          <w:rFonts w:hint="eastAsia" w:ascii="方正仿宋_GBK" w:hAnsi="方正仿宋_GBK" w:eastAsia="方正仿宋_GBK" w:cs="方正仿宋_GBK"/>
          <w:color w:val="auto"/>
          <w:sz w:val="32"/>
          <w:szCs w:val="32"/>
          <w:shd w:val="clear" w:color="auto" w:fill="FFFFFF"/>
          <w:lang w:eastAsia="zh-CN"/>
        </w:rPr>
        <w:t>本年度部分项目尚未完成竣工结算，项目尾款暂未支付，使得整体支出较年初预算有所减少。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864.66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较年初预算数减少493.77万元，下降36.4%</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年度中期按要求压减公用经费开支，直接降低了公用经费领域的预算执行金额；二是项目尚未完成竣工结算，项目尾款暂未支付，使得整体支出较年初预算有所减少。</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）国防支出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较年初预算数减少120.60万元，下降100.0%</w:t>
      </w:r>
      <w:r>
        <w:rPr>
          <w:rFonts w:ascii="方正仿宋_GBK" w:hAnsi="方正仿宋_GBK" w:eastAsia="方正仿宋_GBK" w:cs="方正仿宋_GBK"/>
          <w:color w:val="auto"/>
          <w:sz w:val="32"/>
          <w:szCs w:val="32"/>
          <w:shd w:val="clear" w:color="auto" w:fill="FFFFFF"/>
        </w:rPr>
        <w:t>，主要原因是上级拨付资金与项目实际协调所需资金存在较大差额，为保障项目资金使用的完整性与合规性，该部分款项计划等待来年资金到位后一并拨付。</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）公共安全支出</w:t>
      </w:r>
      <w:r>
        <w:rPr>
          <w:rFonts w:hint="default" w:ascii="Times New Roman" w:hAnsi="Times New Roman" w:eastAsia="方正仿宋_GBK"/>
          <w:color w:val="auto"/>
          <w:sz w:val="32"/>
          <w:szCs w:val="32"/>
          <w:shd w:val="clear" w:color="auto" w:fill="FFFFFF"/>
        </w:rPr>
        <w:t>0.99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较年初预算数减少1.51万元，下降60.4%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本年度未购买民兵拉练服装等。</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）教育支出</w:t>
      </w:r>
      <w:r>
        <w:rPr>
          <w:rFonts w:hint="default" w:ascii="Times New Roman" w:hAnsi="Times New Roman" w:eastAsia="方正仿宋_GBK"/>
          <w:color w:val="auto"/>
          <w:sz w:val="32"/>
          <w:szCs w:val="32"/>
          <w:shd w:val="clear" w:color="auto" w:fill="FFFFFF"/>
        </w:rPr>
        <w:t>3.46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较年初预算数减少7.48万元，下降68.4%</w:t>
      </w:r>
      <w:r>
        <w:rPr>
          <w:rFonts w:ascii="方正仿宋_GBK" w:hAnsi="方正仿宋_GBK" w:eastAsia="方正仿宋_GBK" w:cs="方正仿宋_GBK"/>
          <w:color w:val="auto"/>
          <w:sz w:val="32"/>
          <w:szCs w:val="32"/>
          <w:shd w:val="clear" w:color="auto" w:fill="FFFFFF"/>
        </w:rPr>
        <w:t>，主要原因是数字办公化</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相关培训通过线上形式开展，线下培训场次及对应支出大幅减少，</w:t>
      </w:r>
      <w:r>
        <w:rPr>
          <w:rFonts w:hint="eastAsia" w:ascii="方正仿宋_GBK" w:hAnsi="方正仿宋_GBK" w:eastAsia="方正仿宋_GBK" w:cs="方正仿宋_GBK"/>
          <w:color w:val="auto"/>
          <w:sz w:val="32"/>
          <w:szCs w:val="32"/>
          <w:shd w:val="clear" w:color="auto" w:fill="FFFFFF"/>
          <w:lang w:eastAsia="zh-CN"/>
        </w:rPr>
        <w:t>故</w:t>
      </w:r>
      <w:r>
        <w:rPr>
          <w:rFonts w:ascii="方正仿宋_GBK" w:hAnsi="方正仿宋_GBK" w:eastAsia="方正仿宋_GBK" w:cs="方正仿宋_GBK"/>
          <w:color w:val="auto"/>
          <w:sz w:val="32"/>
          <w:szCs w:val="32"/>
          <w:shd w:val="clear" w:color="auto" w:fill="FFFFFF"/>
        </w:rPr>
        <w:t>职工教育经费总支出低于预算。</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58.26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较年初预算数减少2.78万元，下降4.6%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特困人员死亡丧葬</w:t>
      </w:r>
      <w:r>
        <w:rPr>
          <w:rFonts w:hint="eastAsia" w:ascii="方正仿宋_GBK" w:hAnsi="方正仿宋_GBK" w:eastAsia="方正仿宋_GBK" w:cs="方正仿宋_GBK"/>
          <w:color w:val="auto"/>
          <w:sz w:val="32"/>
          <w:szCs w:val="32"/>
          <w:shd w:val="clear" w:color="auto" w:fill="FFFFFF"/>
          <w:lang w:eastAsia="zh-CN"/>
        </w:rPr>
        <w:t>、30年以上党龄村（社区）老党员生活补贴、百岁以上老人营养金等按实际发生情况据实发放，因本年度实际发生数与年初预算测算情况存在偏差，导致该项支出与年初预算有差异。</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418.43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较年初预算数增加22.44万元，增长5.7%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年中追加了退休一次性补贴、职业年金和养老保险补缴等预算。</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81.45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较年初预算数增加0.91万元，增长1.1%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年中追加基本医疗保险工作、医保服务工程建设等项目。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5.80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较年初预算数减少1.80万元，下降23.7%</w:t>
      </w:r>
      <w:r>
        <w:rPr>
          <w:rFonts w:ascii="方正仿宋_GBK" w:hAnsi="方正仿宋_GBK" w:eastAsia="方正仿宋_GBK" w:cs="方正仿宋_GBK"/>
          <w:color w:val="auto"/>
          <w:sz w:val="32"/>
          <w:szCs w:val="32"/>
          <w:shd w:val="clear" w:color="auto" w:fill="FFFFFF"/>
        </w:rPr>
        <w:t>，主要原因是年终计划拨付的款项，因收款方账号问题导致资金无法正常转出，为确保资金拨付安全与合规，该部分款项已结转至次年，待账号问题解决后完成拨付。</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100.09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较年初预算数减少148.88万元，下降59.8%</w:t>
      </w:r>
      <w:r>
        <w:rPr>
          <w:rFonts w:ascii="方正仿宋_GBK" w:hAnsi="方正仿宋_GBK" w:eastAsia="方正仿宋_GBK" w:cs="方正仿宋_GBK"/>
          <w:color w:val="auto"/>
          <w:sz w:val="32"/>
          <w:szCs w:val="32"/>
          <w:shd w:val="clear" w:color="auto" w:fill="FFFFFF"/>
        </w:rPr>
        <w:t>，主要原因是本年度尚未完成竣工结算工作，不符合资金拨付的流程要求，故当年未对该项目拨付资金，待后续竣工结算完成后按规定办理拨付。</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1047.95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36.5%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较年初预算数增加346.83万元，增长49.5%</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村干部工资标准上调，年中追加预算；二是年中追加动物防疫社会化服务、耕地“非粮化”整治补助、森林防火预防、荣昌区2024年清升镇“一事一议”特殊医疗救助帮扶、荣昌区2024年清升镇清升河河湖治理工程项目、荣昌区清升镇佐石坝堰塘（集体）黑臭水体治理、荣昌区2024年清升镇入院路建设等项目资金。</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147.79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较年初预算数减少9.16万元，下降5.8%</w:t>
      </w:r>
      <w:r>
        <w:rPr>
          <w:rFonts w:ascii="方正仿宋_GBK" w:hAnsi="方正仿宋_GBK" w:eastAsia="方正仿宋_GBK" w:cs="方正仿宋_GBK"/>
          <w:color w:val="auto"/>
          <w:sz w:val="32"/>
          <w:szCs w:val="32"/>
          <w:shd w:val="clear" w:color="auto" w:fill="FFFFFF"/>
        </w:rPr>
        <w:t>，主要原因是本年度公路建设项目尚未完成竣工结算，未达到尾款拨付的条件，为确保资金使用与项目进度、质量匹配，故当年未拨付该项目尾款，待竣工结算完成后按程序拨付。</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18</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自然资源海洋气象等支出</w:t>
      </w:r>
      <w:r>
        <w:rPr>
          <w:rFonts w:hint="default" w:ascii="Times New Roman" w:hAnsi="Times New Roman" w:eastAsia="方正仿宋_GBK"/>
          <w:color w:val="auto"/>
          <w:sz w:val="32"/>
          <w:szCs w:val="32"/>
          <w:shd w:val="clear" w:color="auto" w:fill="FFFFFF"/>
        </w:rPr>
        <w:t>67.95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较年初预算数增加67.95万元，增长100.0%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年中追加耕地缺口恢复补足项目资金。</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19</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77.39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较年初预算数增加0.43万元，增长0.6%</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是公积金基数调整，</w:t>
      </w:r>
      <w:r>
        <w:rPr>
          <w:rFonts w:ascii="方正仿宋_GBK" w:hAnsi="方正仿宋_GBK" w:eastAsia="方正仿宋_GBK" w:cs="方正仿宋_GBK"/>
          <w:color w:val="auto"/>
          <w:sz w:val="32"/>
          <w:szCs w:val="32"/>
          <w:shd w:val="clear" w:color="auto" w:fill="FFFFFF"/>
        </w:rPr>
        <w:t>年初预算</w:t>
      </w:r>
      <w:r>
        <w:rPr>
          <w:rFonts w:hint="eastAsia" w:ascii="方正仿宋_GBK" w:hAnsi="方正仿宋_GBK" w:eastAsia="方正仿宋_GBK" w:cs="方正仿宋_GBK"/>
          <w:color w:val="auto"/>
          <w:sz w:val="32"/>
          <w:szCs w:val="32"/>
          <w:shd w:val="clear" w:color="auto" w:fill="FFFFFF"/>
          <w:lang w:eastAsia="zh-CN"/>
        </w:rPr>
        <w:t>的公积金</w:t>
      </w:r>
      <w:r>
        <w:rPr>
          <w:rFonts w:ascii="方正仿宋_GBK" w:hAnsi="方正仿宋_GBK" w:eastAsia="方正仿宋_GBK" w:cs="方正仿宋_GBK"/>
          <w:color w:val="auto"/>
          <w:sz w:val="32"/>
          <w:szCs w:val="32"/>
          <w:shd w:val="clear" w:color="auto" w:fill="FFFFFF"/>
        </w:rPr>
        <w:t>测算值</w:t>
      </w:r>
      <w:r>
        <w:rPr>
          <w:rFonts w:hint="eastAsia" w:ascii="方正仿宋_GBK" w:hAnsi="方正仿宋_GBK" w:eastAsia="方正仿宋_GBK" w:cs="方正仿宋_GBK"/>
          <w:color w:val="auto"/>
          <w:sz w:val="32"/>
          <w:szCs w:val="32"/>
          <w:shd w:val="clear" w:color="auto" w:fill="FFFFFF"/>
          <w:lang w:eastAsia="zh-CN"/>
        </w:rPr>
        <w:t>与实际</w:t>
      </w:r>
      <w:r>
        <w:rPr>
          <w:rFonts w:ascii="方正仿宋_GBK" w:hAnsi="方正仿宋_GBK" w:eastAsia="方正仿宋_GBK" w:cs="方正仿宋_GBK"/>
          <w:color w:val="auto"/>
          <w:sz w:val="32"/>
          <w:szCs w:val="32"/>
          <w:shd w:val="clear" w:color="auto" w:fill="FFFFFF"/>
        </w:rPr>
        <w:t>存在小幅差异，导致该项支出略高于预算。</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1501.74</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1288.67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与2023年度相比，减少47.34万元，下降3.5%</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本年度较上年减少1人，人员经费减少，二是下属单位人员调动调整及退休，工资水平较上年下降。</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val="en-US" w:eastAsia="zh-CN"/>
        </w:rPr>
        <w:t>在编、在岗人员基本工资、绩效工资、津贴补贴各项奖金、社会保障缴费、单位其他长期聘用人员及部分离退休人员经费等。</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213.07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与2023年度相比，减少194.48万元，下降47.7%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厉行节约，年度中期按要求压减公用经费开支，直接降低了公用经费领域的预算执行金额。</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516.75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与2023年度相比，增加317.15万元，增长158.9%</w:t>
      </w:r>
      <w:r>
        <w:rPr>
          <w:rFonts w:ascii="方正仿宋_GBK" w:hAnsi="方正仿宋_GBK" w:eastAsia="方正仿宋_GBK" w:cs="方正仿宋_GBK"/>
          <w:color w:val="auto"/>
          <w:sz w:val="32"/>
          <w:szCs w:val="32"/>
          <w:shd w:val="clear" w:color="auto" w:fill="FFFFFF"/>
        </w:rPr>
        <w:t>，主要原因是本年度政府性基金预算财政拨款收入实现增长，核心原因是新增了荣昌区老旧小区改造工程项目，该项目相关资金纳入政府性基金预算管理，直接推动了财政拨款收入的增加。本年支出</w:t>
      </w:r>
      <w:r>
        <w:rPr>
          <w:rFonts w:hint="default" w:ascii="Times New Roman" w:hAnsi="Times New Roman" w:eastAsia="方正仿宋_GBK"/>
          <w:color w:val="auto"/>
          <w:sz w:val="32"/>
          <w:szCs w:val="32"/>
          <w:shd w:val="clear" w:color="auto" w:fill="FFFFFF"/>
        </w:rPr>
        <w:t>516.75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与2023年度相比，增加317.15万元，增长158.9%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依据按施工进度依规拨付工程进度款。</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shd w:val="clear" w:color="auto" w:fill="FFFFFF"/>
          <w:lang w:val="en-US" w:eastAsia="zh-CN"/>
        </w:rPr>
        <w:t>本</w:t>
      </w:r>
      <w:r>
        <w:rPr>
          <w:rFonts w:hint="eastAsia" w:ascii="方正仿宋_GBK" w:hAnsi="方正仿宋_GBK" w:eastAsia="方正仿宋_GBK" w:cs="方正仿宋_GBK"/>
          <w:color w:val="auto"/>
          <w:sz w:val="32"/>
          <w:szCs w:val="32"/>
          <w:shd w:val="clear" w:color="auto" w:fill="FFFFFF"/>
          <w:lang w:val="en-US" w:eastAsia="zh-CN"/>
        </w:rPr>
        <w:t>单位</w:t>
      </w:r>
      <w:r>
        <w:rPr>
          <w:rFonts w:hint="default" w:ascii="方正仿宋_GBK" w:hAnsi="方正仿宋_GBK" w:eastAsia="方正仿宋_GBK" w:cs="方正仿宋_GBK"/>
          <w:color w:val="auto"/>
          <w:sz w:val="32"/>
          <w:szCs w:val="32"/>
          <w:shd w:val="clear" w:color="auto" w:fill="FFFFFF"/>
          <w:lang w:val="en-US" w:eastAsia="zh-CN"/>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w:t>
      </w:r>
      <w:r>
        <w:rPr>
          <w:rStyle w:val="10"/>
          <w:rFonts w:hint="eastAsia" w:ascii="黑体" w:hAnsi="黑体" w:eastAsia="黑体" w:cs="黑体"/>
          <w:color w:val="auto"/>
          <w:sz w:val="32"/>
          <w:szCs w:val="32"/>
          <w:shd w:val="clear" w:color="auto" w:fill="FFFFFF"/>
          <w:lang w:eastAsia="zh-CN"/>
        </w:rPr>
        <w:t>财政拨款</w:t>
      </w:r>
      <w:r>
        <w:rPr>
          <w:rStyle w:val="10"/>
          <w:rFonts w:ascii="黑体" w:hAnsi="黑体" w:eastAsia="黑体" w:cs="黑体"/>
          <w:color w:val="auto"/>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11.56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较年初预算数减少10.44万元，下降47.5%</w:t>
      </w:r>
      <w:r>
        <w:rPr>
          <w:rFonts w:ascii="方正仿宋_GBK" w:hAnsi="方正仿宋_GBK" w:eastAsia="方正仿宋_GBK" w:cs="方正仿宋_GBK"/>
          <w:color w:val="auto"/>
          <w:sz w:val="32"/>
          <w:szCs w:val="32"/>
          <w:shd w:val="clear" w:color="auto" w:fill="FFFFFF"/>
        </w:rPr>
        <w:t>，主要原因是年初预算按“从严从紧”原则编制，且执行中严格控制非必要因公出国（境）、公务用车及公务接待支出，实际消耗低于预算额度</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较上年支出数增加0.22万元，增长1.9%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本年度举办大型活动，如栈道越野赛、刨猪宴等，导致公务接待费等支出较上年有所上升。</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hint="eastAsia" w:ascii="Times New Roman" w:hAnsi="Times New Roman" w:eastAsia="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2024年度本</w:t>
      </w:r>
      <w:r>
        <w:rPr>
          <w:rFonts w:ascii="方正仿宋_GBK" w:hAnsi="方正仿宋_GBK" w:eastAsia="方正仿宋_GBK" w:cs="方正仿宋_GBK"/>
          <w:color w:val="auto"/>
          <w:sz w:val="32"/>
          <w:szCs w:val="32"/>
          <w:shd w:val="clear" w:color="auto" w:fill="FFFFFF"/>
        </w:rPr>
        <w:t>部门</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支出。</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hint="eastAsia" w:ascii="Times New Roman" w:hAnsi="Times New Roman" w:eastAsia="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2024年度未购置公务车</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7.28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机要文件交换、因公出行、镇辖区管辖范围内各项业务检查等工作所需车辆的燃料费、维修费、过桥过路费、保险费等。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较年初预算数减少3.72万元，下降33.8%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w:t>
      </w:r>
      <w:r>
        <w:rPr>
          <w:rFonts w:hint="eastAsia" w:ascii="方正仿宋_GBK" w:hAnsi="方正仿宋_GBK" w:eastAsia="方正仿宋_GBK" w:cs="方正仿宋_GBK"/>
          <w:color w:val="auto"/>
          <w:sz w:val="32"/>
          <w:szCs w:val="32"/>
          <w:shd w:val="clear" w:color="auto" w:fill="FFFFFF"/>
          <w:lang w:val="en-US" w:eastAsia="zh-CN"/>
        </w:rPr>
        <w:t>单位内部加强管理。</w:t>
      </w:r>
      <w:r>
        <w:rPr>
          <w:rFonts w:hint="default" w:ascii="Times New Roman" w:hAnsi="Times New Roman" w:eastAsia="方正仿宋_GBK"/>
          <w:color w:val="auto"/>
          <w:sz w:val="32"/>
          <w:szCs w:val="32"/>
          <w:shd w:val="clear" w:color="auto" w:fill="FFFFFF"/>
        </w:rPr>
        <w:t>较上年支出数减少0.02万元，下降0.3%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严格执行公车使用审批制度，减少非必要公务出行，降低车辆使用频次</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4.28</w:t>
      </w:r>
      <w:r>
        <w:rPr>
          <w:rFonts w:ascii="方正仿宋_GBK" w:hAnsi="方正仿宋_GBK" w:eastAsia="方正仿宋_GBK" w:cs="方正仿宋_GBK"/>
          <w:color w:val="auto"/>
          <w:sz w:val="32"/>
          <w:szCs w:val="32"/>
          <w:shd w:val="clear" w:color="auto" w:fill="FFFFFF"/>
        </w:rPr>
        <w:t>万元，主要</w:t>
      </w:r>
      <w:r>
        <w:rPr>
          <w:rFonts w:hint="eastAsia" w:ascii="方正仿宋_GBK" w:hAnsi="方正仿宋_GBK" w:eastAsia="方正仿宋_GBK" w:cs="方正仿宋_GBK"/>
          <w:color w:val="auto"/>
          <w:sz w:val="32"/>
          <w:szCs w:val="32"/>
          <w:shd w:val="clear" w:color="auto" w:fill="FFFFFF"/>
          <w:lang w:eastAsia="zh-CN"/>
        </w:rPr>
        <w:t>用于接待</w:t>
      </w:r>
      <w:r>
        <w:rPr>
          <w:rFonts w:hint="eastAsia" w:ascii="方正仿宋_GBK" w:hAnsi="方正仿宋_GBK" w:eastAsia="方正仿宋_GBK" w:cs="方正仿宋_GBK"/>
          <w:color w:val="auto"/>
          <w:sz w:val="32"/>
          <w:szCs w:val="32"/>
          <w:shd w:val="clear" w:color="auto" w:fill="FFFFFF"/>
          <w:lang w:val="en-US" w:eastAsia="zh-CN"/>
        </w:rPr>
        <w:t>各部门到本单位学习调研各项政府工作，接受相关部门检查指导工作，本单位为发展招商引资等总部经济业务所发生的接待支出。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较年初预算数减少6.72万元，下降61.1%</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w:t>
      </w:r>
      <w:r>
        <w:rPr>
          <w:rFonts w:hint="eastAsia" w:ascii="方正仿宋_GBK" w:hAnsi="方正仿宋_GBK" w:eastAsia="方正仿宋_GBK" w:cs="方正仿宋_GBK"/>
          <w:color w:val="auto"/>
          <w:sz w:val="32"/>
          <w:szCs w:val="32"/>
          <w:shd w:val="clear" w:color="auto" w:fill="FFFFFF"/>
          <w:lang w:val="en-US" w:eastAsia="zh-CN"/>
        </w:rPr>
        <w:t>厉行节约，严格控制“三公”经费。</w:t>
      </w:r>
      <w:r>
        <w:rPr>
          <w:rFonts w:hint="default" w:ascii="Times New Roman" w:hAnsi="Times New Roman" w:eastAsia="方正仿宋_GBK"/>
          <w:color w:val="auto"/>
          <w:sz w:val="32"/>
          <w:szCs w:val="32"/>
          <w:shd w:val="clear" w:color="auto" w:fill="FFFFFF"/>
        </w:rPr>
        <w:t>较上年支出数增加0.24万元，增长5.9%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本年度开展栈道越野赛、刨猪宴等大型活动，标准范围内的支出有所增加。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7</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70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510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83.98</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1.04</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与2023年度相比，增加0.71万元，增长244.8%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本年度开展了</w:t>
      </w:r>
      <w:r>
        <w:rPr>
          <w:rFonts w:hint="eastAsia" w:ascii="方正仿宋_GBK" w:hAnsi="方正仿宋_GBK" w:eastAsia="方正仿宋_GBK" w:cs="方正仿宋_GBK"/>
          <w:color w:val="auto"/>
          <w:sz w:val="32"/>
          <w:szCs w:val="32"/>
          <w:shd w:val="clear" w:color="auto" w:fill="FFFFFF"/>
        </w:rPr>
        <w:t>动物防疫千场大培训</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1.50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与2023年度相比，减少1.71万元，下降53.3%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利用数字化平台，进行线上培训，减少线下支出。</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与2023年度相比，减少31.46万元，下降100.0%</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年度本部门机关运行经费支出</w:t>
      </w:r>
      <w:r>
        <w:rPr>
          <w:rFonts w:hint="default" w:ascii="Times New Roman" w:hAnsi="Times New Roman" w:eastAsia="方正仿宋_GBK"/>
          <w:color w:val="auto"/>
          <w:sz w:val="32"/>
          <w:szCs w:val="32"/>
          <w:shd w:val="clear" w:color="auto" w:fill="FFFFFF"/>
        </w:rPr>
        <w:t>99.08</w:t>
      </w:r>
      <w:r>
        <w:rPr>
          <w:rFonts w:ascii="方正仿宋_GBK" w:hAnsi="方正仿宋_GBK" w:eastAsia="方正仿宋_GBK" w:cs="方正仿宋_GBK"/>
          <w:color w:val="auto"/>
          <w:sz w:val="32"/>
          <w:szCs w:val="32"/>
          <w:shd w:val="clear" w:color="auto" w:fill="FFFFFF"/>
        </w:rPr>
        <w:t>万元，机关运行经费主要</w:t>
      </w:r>
      <w:r>
        <w:rPr>
          <w:rFonts w:hint="eastAsia" w:ascii="方正仿宋_GBK" w:hAnsi="方正仿宋_GBK" w:eastAsia="方正仿宋_GBK" w:cs="方正仿宋_GBK"/>
          <w:color w:val="auto"/>
          <w:sz w:val="32"/>
          <w:szCs w:val="32"/>
          <w:shd w:val="clear" w:color="auto" w:fill="FFFFFF"/>
          <w:lang w:eastAsia="zh-CN"/>
        </w:rPr>
        <w:t>用于开支</w:t>
      </w:r>
      <w:r>
        <w:rPr>
          <w:rFonts w:hint="eastAsia" w:ascii="方正仿宋_GBK" w:hAnsi="方正仿宋_GBK" w:eastAsia="方正仿宋_GBK" w:cs="方正仿宋_GBK"/>
          <w:color w:val="auto"/>
          <w:sz w:val="32"/>
          <w:szCs w:val="32"/>
          <w:shd w:val="clear" w:color="auto" w:fill="FFFFFF"/>
          <w:lang w:val="en-US" w:eastAsia="zh-CN"/>
        </w:rPr>
        <w:t>办公及印刷费、邮电费、差旅费、会议费、福利费、日常维护费、专用材料及一般设备购置费、办公用房水电费、办公用房取暖费、办公用房物业管理费、公务用车运行维护费以及其他费用等。</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较上年支出数减少285.27万元，下降74.2%</w:t>
      </w:r>
      <w:r>
        <w:rPr>
          <w:rFonts w:ascii="方正仿宋_GBK" w:hAnsi="方正仿宋_GBK" w:eastAsia="方正仿宋_GBK" w:cs="方正仿宋_GBK"/>
          <w:color w:val="auto"/>
          <w:sz w:val="32"/>
          <w:szCs w:val="32"/>
          <w:shd w:val="clear" w:color="auto" w:fill="FFFFFF"/>
        </w:rPr>
        <w:t>，主要原因是年度中期按要求压减公用经费开支，直接降低了公用经费领域的预算执行金额。</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7</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7</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年度本部门政府采购支出总额</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主要用于采购空调、打印机等办公设备。</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eastAsia="zh-CN"/>
        </w:rPr>
      </w:pPr>
      <w:r>
        <w:rPr>
          <w:rStyle w:val="10"/>
          <w:rFonts w:hint="eastAsia" w:ascii="黑体" w:hAnsi="黑体" w:eastAsia="黑体" w:cs="黑体"/>
          <w:sz w:val="32"/>
          <w:szCs w:val="32"/>
          <w:shd w:val="clear" w:color="auto" w:fill="FFFFFF"/>
          <w:lang w:eastAsia="zh-CN"/>
        </w:rPr>
        <w:t>五、预算绩效管理情况说明</w:t>
      </w:r>
    </w:p>
    <w:p>
      <w:pPr>
        <w:pStyle w:val="6"/>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eastAsia="zh-CN"/>
        </w:rPr>
        <w:t>（一）</w:t>
      </w:r>
      <w:r>
        <w:rPr>
          <w:rFonts w:hint="eastAsia" w:ascii="楷体" w:hAnsi="楷体" w:eastAsia="楷体" w:cs="楷体"/>
          <w:b/>
          <w:bCs/>
          <w:sz w:val="32"/>
          <w:szCs w:val="32"/>
          <w:shd w:val="clear" w:color="auto" w:fill="FFFFFF"/>
          <w:lang w:val="en-US" w:eastAsia="zh-CN"/>
        </w:rPr>
        <w:t>部门</w:t>
      </w:r>
      <w:r>
        <w:rPr>
          <w:rFonts w:hint="eastAsia" w:ascii="楷体" w:hAnsi="楷体" w:eastAsia="楷体" w:cs="楷体"/>
          <w:b/>
          <w:bCs/>
          <w:sz w:val="32"/>
          <w:szCs w:val="32"/>
          <w:shd w:val="clear" w:color="auto" w:fill="FFFFFF"/>
          <w:lang w:eastAsia="zh-CN"/>
        </w:rPr>
        <w:t>自评情况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根据预算绩效管理要求，我</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rPr>
        <w:t>对整体绩效开展了绩效自评，涉及财政拨款资金</w:t>
      </w:r>
      <w:r>
        <w:rPr>
          <w:rFonts w:hint="eastAsia" w:ascii="方正仿宋_GBK" w:hAnsi="方正仿宋_GBK" w:eastAsia="方正仿宋_GBK" w:cs="方正仿宋_GBK"/>
          <w:color w:val="auto"/>
          <w:sz w:val="32"/>
          <w:szCs w:val="32"/>
          <w:shd w:val="clear" w:color="auto" w:fill="FFFFFF"/>
          <w:lang w:val="en-US" w:eastAsia="zh-CN"/>
        </w:rPr>
        <w:t>3390.97</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val="en-US" w:eastAsia="zh-CN"/>
        </w:rPr>
        <w:t>,部门整体绩效自评表，详见附件。</w:t>
      </w:r>
    </w:p>
    <w:p>
      <w:pPr>
        <w:pStyle w:val="6"/>
        <w:snapToGrid w:val="0"/>
        <w:spacing w:before="0" w:beforeAutospacing="0" w:after="0" w:afterAutospacing="0" w:line="596" w:lineRule="exact"/>
        <w:ind w:firstLine="643" w:firstLineChars="200"/>
        <w:jc w:val="both"/>
        <w:rPr>
          <w:rFonts w:hint="eastAsia" w:ascii="楷体" w:hAnsi="楷体" w:eastAsia="楷体" w:cs="楷体"/>
          <w:b/>
          <w:bCs/>
          <w:sz w:val="32"/>
          <w:szCs w:val="32"/>
          <w:shd w:val="clear" w:color="auto" w:fill="FFFFFF"/>
          <w:lang w:eastAsia="zh-CN"/>
        </w:rPr>
      </w:pPr>
      <w:r>
        <w:rPr>
          <w:rFonts w:hint="eastAsia" w:ascii="楷体" w:hAnsi="楷体" w:eastAsia="楷体" w:cs="楷体"/>
          <w:b/>
          <w:bCs/>
          <w:sz w:val="32"/>
          <w:szCs w:val="32"/>
          <w:shd w:val="clear" w:color="auto" w:fill="FFFFFF"/>
          <w:lang w:eastAsia="zh-CN"/>
        </w:rPr>
        <w:t>（二）</w:t>
      </w:r>
      <w:r>
        <w:rPr>
          <w:rFonts w:hint="eastAsia" w:ascii="楷体" w:hAnsi="楷体" w:eastAsia="楷体" w:cs="楷体"/>
          <w:b/>
          <w:bCs/>
          <w:sz w:val="32"/>
          <w:szCs w:val="32"/>
          <w:shd w:val="clear" w:color="auto" w:fill="FFFFFF"/>
          <w:lang w:val="en-US" w:eastAsia="zh-CN"/>
        </w:rPr>
        <w:t>部门</w:t>
      </w:r>
      <w:r>
        <w:rPr>
          <w:rFonts w:hint="eastAsia" w:ascii="楷体" w:hAnsi="楷体" w:eastAsia="楷体" w:cs="楷体"/>
          <w:b/>
          <w:bCs/>
          <w:sz w:val="32"/>
          <w:szCs w:val="32"/>
          <w:shd w:val="clear" w:color="auto" w:fill="FFFFFF"/>
          <w:lang w:eastAsia="zh-CN"/>
        </w:rPr>
        <w:t>绩效评价情况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bidi="ar"/>
        </w:rPr>
      </w:pPr>
      <w:r>
        <w:rPr>
          <w:rFonts w:hint="eastAsia" w:ascii="方正仿宋_GBK" w:hAnsi="方正仿宋_GBK" w:eastAsia="方正仿宋_GBK" w:cs="方正仿宋_GBK"/>
          <w:color w:val="auto"/>
          <w:sz w:val="32"/>
          <w:szCs w:val="32"/>
          <w:shd w:val="clear" w:color="auto" w:fill="FFFFFF"/>
          <w:lang w:val="en-US" w:eastAsia="zh-CN" w:bidi="ar"/>
        </w:rPr>
        <w:t>我部门未组织开展绩效评价。</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bidi="ar"/>
        </w:rPr>
      </w:pPr>
      <w:r>
        <w:rPr>
          <w:rFonts w:hint="eastAsia" w:ascii="方正仿宋_GBK" w:hAnsi="方正仿宋_GBK" w:eastAsia="方正仿宋_GBK" w:cs="方正仿宋_GBK"/>
          <w:color w:val="auto"/>
          <w:sz w:val="32"/>
          <w:szCs w:val="32"/>
          <w:shd w:val="clear" w:color="auto" w:fill="FFFFFF"/>
          <w:lang w:val="en-US" w:eastAsia="zh-CN" w:bidi="ar"/>
        </w:rPr>
        <w:t xml:space="preserve"> </w:t>
      </w:r>
      <w:r>
        <w:rPr>
          <w:rFonts w:hint="eastAsia" w:ascii="楷体" w:hAnsi="楷体" w:eastAsia="楷体" w:cs="楷体"/>
          <w:b/>
          <w:bCs/>
          <w:sz w:val="32"/>
          <w:szCs w:val="32"/>
          <w:shd w:val="clear" w:color="auto" w:fill="FFFFFF"/>
          <w:lang w:val="en-US" w:eastAsia="zh-CN"/>
        </w:rPr>
        <w:t xml:space="preserve">（三）财政绩效评价情况 </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bidi="ar"/>
        </w:rPr>
      </w:pPr>
      <w:r>
        <w:rPr>
          <w:rFonts w:hint="eastAsia" w:ascii="方正仿宋_GBK" w:hAnsi="方正仿宋_GBK" w:eastAsia="方正仿宋_GBK" w:cs="方正仿宋_GBK"/>
          <w:color w:val="auto"/>
          <w:sz w:val="32"/>
          <w:szCs w:val="32"/>
          <w:shd w:val="clear" w:color="auto" w:fill="FFFFFF"/>
          <w:lang w:val="en-US" w:eastAsia="zh-CN" w:bidi="ar"/>
        </w:rPr>
        <w:t>区财政局未委托第三方对我部门开展绩效评价。</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bidi="ar"/>
        </w:rPr>
      </w:pP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本部门决算公开信息反馈和联系方式：</w:t>
      </w:r>
      <w:r>
        <w:rPr>
          <w:rFonts w:hint="eastAsia" w:ascii="方正仿宋_GBK" w:hAnsi="方正仿宋_GBK" w:eastAsia="方正仿宋_GBK" w:cs="方正仿宋_GBK"/>
          <w:sz w:val="32"/>
          <w:szCs w:val="32"/>
          <w:shd w:val="clear" w:color="auto" w:fill="FFFFFF"/>
          <w:lang w:val="en-US" w:eastAsia="zh-CN"/>
        </w:rPr>
        <w:t>023-81069618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重庆市荣昌区清升镇人民政府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2,874.22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516.75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3,390.97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3,390.97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3,390.97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重庆市荣昌区清升镇人民政府</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3,390.97</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3,390.97</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864.66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864.66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418.43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418.43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241.77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241.77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1,047.95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1,047.95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386.13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386.13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302.16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302.16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重庆市荣昌区清升镇人民政府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3,390.97</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1,501.74</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1,889.23</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864.66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268.15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418.43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347.87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241.77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241.77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1,047.95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386.13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302.16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302.16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重庆市荣昌区清升镇人民政府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2,874.22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516.75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503.50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3,390.97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3,390.97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2,874.22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516.75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3,390.97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3,390.97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2,874.22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516.75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重庆市荣昌区清升镇人民政府</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2,874.22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1,501.74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1,372.48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864.66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347.87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241.77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241.77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302.16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302.16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重庆市荣昌区清升镇人民政府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1,219.02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260.35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1,288.67</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213.07</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重庆市荣昌区清升镇人民政府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516.75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516.75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516.75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2296006</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重庆市荣昌区清升镇人民政府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重庆市荣昌区清升镇人民政府</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99.08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99.08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cs="宋体"/>
          <w:sz w:val="18"/>
          <w:szCs w:val="18"/>
        </w:rPr>
      </w:pPr>
      <w:r>
        <w:rPr>
          <w:rFonts w:cs="宋体"/>
          <w:sz w:val="18"/>
          <w:szCs w:val="18"/>
        </w:rPr>
        <w:br w:type="textWrapping"/>
      </w:r>
      <w:r>
        <w:rPr>
          <w:rFonts w:cs="宋体"/>
          <w:sz w:val="18"/>
          <w:szCs w:val="18"/>
        </w:rPr>
        <w:br w:type="textWrapping"/>
      </w:r>
    </w:p>
    <w:tbl>
      <w:tblPr>
        <w:tblStyle w:val="7"/>
        <w:tblW w:w="15372" w:type="dxa"/>
        <w:tblInd w:w="0" w:type="dxa"/>
        <w:tblLayout w:type="fixed"/>
        <w:tblCellMar>
          <w:top w:w="0" w:type="dxa"/>
          <w:left w:w="170" w:type="dxa"/>
          <w:bottom w:w="0" w:type="dxa"/>
          <w:right w:w="170" w:type="dxa"/>
        </w:tblCellMar>
      </w:tblPr>
      <w:tblGrid>
        <w:gridCol w:w="1712"/>
        <w:gridCol w:w="1128"/>
        <w:gridCol w:w="102"/>
        <w:gridCol w:w="1026"/>
        <w:gridCol w:w="1210"/>
        <w:gridCol w:w="651"/>
        <w:gridCol w:w="822"/>
        <w:gridCol w:w="725"/>
        <w:gridCol w:w="735"/>
        <w:gridCol w:w="681"/>
        <w:gridCol w:w="1460"/>
        <w:gridCol w:w="524"/>
        <w:gridCol w:w="695"/>
        <w:gridCol w:w="1606"/>
        <w:gridCol w:w="69"/>
        <w:gridCol w:w="2176"/>
        <w:gridCol w:w="50"/>
      </w:tblGrid>
      <w:tr>
        <w:tblPrEx>
          <w:tblLayout w:type="fixed"/>
          <w:tblCellMar>
            <w:top w:w="0" w:type="dxa"/>
            <w:left w:w="170" w:type="dxa"/>
            <w:bottom w:w="0" w:type="dxa"/>
            <w:right w:w="170" w:type="dxa"/>
          </w:tblCellMar>
        </w:tblPrEx>
        <w:trPr>
          <w:trHeight w:val="343" w:hRule="atLeast"/>
        </w:trPr>
        <w:tc>
          <w:tcPr>
            <w:tcW w:w="13077" w:type="dxa"/>
            <w:gridSpan w:val="14"/>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hint="eastAsia" w:cs="宋体"/>
                <w:b/>
                <w:color w:val="000000"/>
                <w:kern w:val="2"/>
                <w:sz w:val="32"/>
                <w:szCs w:val="32"/>
                <w:lang w:val="en-US" w:eastAsia="zh-CN"/>
              </w:rPr>
              <w:t>2024年度部门整体绩效自评表</w:t>
            </w:r>
          </w:p>
        </w:tc>
        <w:tc>
          <w:tcPr>
            <w:tcW w:w="2295" w:type="dxa"/>
            <w:gridSpan w:val="3"/>
            <w:shd w:val="clear" w:color="auto" w:fill="auto"/>
            <w:noWrap/>
            <w:tcMar>
              <w:top w:w="15" w:type="dxa"/>
              <w:left w:w="15" w:type="dxa"/>
              <w:right w:w="15" w:type="dxa"/>
            </w:tcMar>
            <w:vAlign w:val="bottom"/>
          </w:tcPr>
          <w:p>
            <w:pPr>
              <w:spacing w:line="400" w:lineRule="exact"/>
              <w:jc w:val="center"/>
              <w:textAlignment w:val="bottom"/>
              <w:rPr>
                <w:rFonts w:hint="eastAsia" w:cs="宋体"/>
                <w:b/>
                <w:color w:val="000000"/>
                <w:kern w:val="2"/>
                <w:sz w:val="32"/>
                <w:szCs w:val="32"/>
                <w:lang w:val="en-US" w:eastAsia="zh-CN"/>
              </w:rPr>
            </w:pPr>
          </w:p>
        </w:tc>
      </w:tr>
      <w:tr>
        <w:tblPrEx>
          <w:tblLayout w:type="fixed"/>
          <w:tblCellMar>
            <w:top w:w="0" w:type="dxa"/>
            <w:left w:w="170" w:type="dxa"/>
            <w:bottom w:w="0" w:type="dxa"/>
            <w:right w:w="170" w:type="dxa"/>
          </w:tblCellMar>
        </w:tblPrEx>
        <w:trPr>
          <w:trHeight w:val="244" w:hRule="atLeast"/>
        </w:trPr>
        <w:tc>
          <w:tcPr>
            <w:tcW w:w="2942" w:type="dxa"/>
            <w:gridSpan w:val="3"/>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36" w:type="dxa"/>
            <w:gridSpan w:val="2"/>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198" w:type="dxa"/>
            <w:gridSpan w:val="3"/>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400" w:type="dxa"/>
            <w:gridSpan w:val="4"/>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301" w:type="dxa"/>
            <w:gridSpan w:val="2"/>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p>
        </w:tc>
        <w:tc>
          <w:tcPr>
            <w:tcW w:w="2295" w:type="dxa"/>
            <w:gridSpan w:val="3"/>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eastAsia" w:ascii="Times New Roman" w:hAnsi="Times New Roman"/>
                <w:color w:val="000000"/>
                <w:kern w:val="2"/>
                <w:sz w:val="20"/>
                <w:szCs w:val="20"/>
                <w:lang w:val="en-US" w:eastAsia="zh-CN"/>
              </w:rPr>
              <w:t>10</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178" w:type="dxa"/>
            <w:gridSpan w:val="5"/>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重庆市荣昌区清升镇人民政府</w:t>
            </w:r>
          </w:p>
        </w:tc>
        <w:tc>
          <w:tcPr>
            <w:tcW w:w="2198" w:type="dxa"/>
            <w:gridSpan w:val="3"/>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400" w:type="dxa"/>
            <w:gridSpan w:val="4"/>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301"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p>
        </w:tc>
        <w:tc>
          <w:tcPr>
            <w:tcW w:w="2295" w:type="dxa"/>
            <w:gridSpan w:val="3"/>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62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2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重庆市荣昌区清升镇人民政府整体自评</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50015300024P000073</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62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2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909-重庆市荣昌区清升镇人民政府</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罗橙</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6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42,153,097.22 </w:t>
            </w:r>
          </w:p>
        </w:tc>
        <w:tc>
          <w:tcPr>
            <w:tcW w:w="8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33,909,713.97 </w:t>
            </w:r>
          </w:p>
        </w:tc>
        <w:tc>
          <w:tcPr>
            <w:tcW w:w="6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33,909,713.97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6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42,153,097.22 </w:t>
            </w:r>
          </w:p>
        </w:tc>
        <w:tc>
          <w:tcPr>
            <w:tcW w:w="8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33,909,713.97 </w:t>
            </w:r>
          </w:p>
        </w:tc>
        <w:tc>
          <w:tcPr>
            <w:tcW w:w="6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33,909,713.97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6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32,216,373.73 </w:t>
            </w:r>
          </w:p>
        </w:tc>
        <w:tc>
          <w:tcPr>
            <w:tcW w:w="8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28,742,214.43 </w:t>
            </w:r>
          </w:p>
        </w:tc>
        <w:tc>
          <w:tcPr>
            <w:tcW w:w="6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28,742,214.43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58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50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1210" w:hRule="atLeast"/>
        </w:trPr>
        <w:tc>
          <w:tcPr>
            <w:tcW w:w="58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就业、再就业、农村富余劳动力转移、劳动和社会保障、社会救助等方面的事务性服务工作。;完成规划建设、市政公用事业、房屋管理、市容环境、环境保护等领域的事务性服务工作。;完成辖区内文化体育阵地建设，组织开展文化体育、文化交流、全民健身活动，组织辖区内文艺培训， 负责广播电视、旅游等事务性服务工作，完成文化体育事业方面的其他服务工作。;完成纪检、宣传、精神文明、统战、法制、武装、编制、人事、民宗侨台以及综合协调、文秘、目标管理等职责，负责承办政协工作方面的具体事务。;完成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完成集中行使依法授权或委托的农林水利、规划建设、环境保护、卫生计生、文化旅游、民政管理等领域的行政执法权。协调、配合区级有关部门及派驻机构开展其他领域的联合执法。;完成人大工作方面的具体事务。;完成财政、法制、武装、编制、人事、民宗侨台以及综合协调、文秘、目标管理等职责，承办政协工作方面的具体事务。;实施动物疫病的防疫、强制免疫，协助做好动物、动物产品检疫、兽药、饲料等养殖业投入品及畜产品的技术服务等工作；负责动物疫情调查、监测、报告，畜牧生产指导，畜牧兽医技术推广和畜牧业生产信息统计等工作。;完成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tc>
        <w:tc>
          <w:tcPr>
            <w:tcW w:w="44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0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就业、再就业、农村富余劳动力转移、劳动和社会保障、社会救助等方面的事务性服务工作。;完成规划建设、市政公用事业、房屋管理、市容环境、环境保护等领域的事务性服务工作。;完成辖区内文化体育阵地建设，组织开展文化体育、文化交流、全民健身活动，组织辖区内文艺培训， 负责广播电视、旅游等事务性服务工作，完成文化体育事业方面的其他服务工作。;完成纪检、宣传、精神文明、统战、法制、武装、编制、人事、民宗侨台以及综合协调、文秘、目标管理等职责，负责承办政协工作方面的具体事务。;完成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完成集中行使依法授权或委托的农林水利、规划建设、环境保护、卫生计生、文化旅游、民政管理等领域的行政执法权。协调、配合区级有关部门及派驻机构开展其他领域的联合执法。;完成人大工作方面的具体事务。;完成财政、法制、武装、编制、人事、民宗侨台以及综合协调、文秘、目标管理等职责，承办政协工作方面的具体事务。;实施动物疫病的防疫、强制免疫，协助做好动物、动物产品检疫、兽药、饲料等养殖业投入品及畜产品的技术服务等工作；负责动物疫情调查、监测、报告，畜牧生产指导，畜牧兽医技术推广和畜牧业生产信息统计等工作。;完成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安全隐患排查问题整改到位率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重点工作完成率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企业好评率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招商引资完成率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惠农惠民政策知晓率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重大集访、越级上访事件</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“三保”支出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5322"/>
    <w:multiLevelType w:val="singleLevel"/>
    <w:tmpl w:val="023D53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3F67D41"/>
    <w:rsid w:val="044C50BA"/>
    <w:rsid w:val="05BC6D49"/>
    <w:rsid w:val="06194FF1"/>
    <w:rsid w:val="064E0422"/>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ED13F9D"/>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40042"/>
    <w:rsid w:val="25791755"/>
    <w:rsid w:val="26396DF4"/>
    <w:rsid w:val="26FF5CFA"/>
    <w:rsid w:val="27167136"/>
    <w:rsid w:val="27B23302"/>
    <w:rsid w:val="29310A5F"/>
    <w:rsid w:val="29C37A35"/>
    <w:rsid w:val="2A076083"/>
    <w:rsid w:val="2A73162E"/>
    <w:rsid w:val="2B167953"/>
    <w:rsid w:val="2B200583"/>
    <w:rsid w:val="2B220436"/>
    <w:rsid w:val="2B8209DE"/>
    <w:rsid w:val="2C1C62C0"/>
    <w:rsid w:val="2C6762A3"/>
    <w:rsid w:val="2E5F2E05"/>
    <w:rsid w:val="2EBF7B3E"/>
    <w:rsid w:val="2ED379CB"/>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557A7A"/>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32290A"/>
    <w:rsid w:val="4DAC4ACA"/>
    <w:rsid w:val="4DBE01D2"/>
    <w:rsid w:val="4EFC6D10"/>
    <w:rsid w:val="4F0C6BA3"/>
    <w:rsid w:val="4F10477D"/>
    <w:rsid w:val="4F186D58"/>
    <w:rsid w:val="4FEA65B7"/>
    <w:rsid w:val="501F53D2"/>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864750"/>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4783D"/>
    <w:rsid w:val="66EE5541"/>
    <w:rsid w:val="67924660"/>
    <w:rsid w:val="67B3608E"/>
    <w:rsid w:val="683200C2"/>
    <w:rsid w:val="68407834"/>
    <w:rsid w:val="6883293E"/>
    <w:rsid w:val="688412AD"/>
    <w:rsid w:val="68C766BF"/>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2025-11-03T07:28:56Z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