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color w:val="auto"/>
          <w:sz w:val="36"/>
          <w:szCs w:val="36"/>
        </w:rPr>
      </w:pPr>
      <w:r>
        <w:rPr>
          <w:rFonts w:ascii="方正小标宋_GBK" w:hAnsi="方正小标宋_GBK" w:eastAsia="方正小标宋_GBK" w:cs="方正小标宋_GBK"/>
          <w:color w:val="auto"/>
          <w:sz w:val="36"/>
          <w:szCs w:val="36"/>
        </w:rPr>
        <w:t>重庆市荣昌区清升</w:t>
      </w:r>
      <w:bookmarkStart w:id="0" w:name="_GoBack"/>
      <w:bookmarkEnd w:id="0"/>
      <w:r>
        <w:rPr>
          <w:rFonts w:ascii="方正小标宋_GBK" w:hAnsi="方正小标宋_GBK" w:eastAsia="方正小标宋_GBK" w:cs="方正小标宋_GBK"/>
          <w:color w:val="auto"/>
          <w:sz w:val="36"/>
          <w:szCs w:val="36"/>
        </w:rPr>
        <w:t>镇人民政府本级</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color w:val="auto"/>
          <w:sz w:val="36"/>
          <w:szCs w:val="36"/>
          <w:shd w:val="clear" w:color="auto" w:fill="FFFFFF"/>
        </w:rPr>
      </w:pPr>
      <w:r>
        <w:rPr>
          <w:rFonts w:hint="default" w:ascii="Times New Roman" w:hAnsi="Times New Roman" w:eastAsia="方正小标宋_GBK" w:cs="Times New Roman"/>
          <w:color w:val="auto"/>
          <w:sz w:val="36"/>
          <w:szCs w:val="36"/>
          <w:shd w:val="clear" w:color="auto" w:fill="FFFFFF"/>
        </w:rPr>
        <w:t>2024</w:t>
      </w:r>
      <w:r>
        <w:rPr>
          <w:rFonts w:ascii="方正小标宋_GBK" w:hAnsi="方正小标宋_GBK" w:eastAsia="方正小标宋_GBK" w:cs="方正小标宋_GBK"/>
          <w:color w:val="auto"/>
          <w:sz w:val="36"/>
          <w:szCs w:val="36"/>
          <w:shd w:val="clear" w:color="auto" w:fill="FFFFFF"/>
        </w:rPr>
        <w:t>年度决算公开说明</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textAlignment w:val="auto"/>
        <w:rPr>
          <w:rFonts w:hint="default"/>
          <w:color w:val="auto"/>
          <w:sz w:val="27"/>
          <w:szCs w:val="27"/>
          <w:shd w:val="clear" w:color="auto" w:fill="FFFF00"/>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color w:val="auto"/>
          <w:sz w:val="32"/>
          <w:szCs w:val="32"/>
          <w:shd w:val="clear" w:color="auto" w:fill="FFFFFF"/>
        </w:rPr>
      </w:pPr>
      <w:r>
        <w:rPr>
          <w:rStyle w:val="10"/>
          <w:rFonts w:ascii="黑体" w:hAnsi="黑体" w:eastAsia="黑体" w:cs="黑体"/>
          <w:color w:val="auto"/>
          <w:sz w:val="32"/>
          <w:szCs w:val="32"/>
          <w:shd w:val="clear" w:color="auto" w:fill="FFFFFF"/>
        </w:rPr>
        <w:t>一、</w:t>
      </w:r>
      <w:r>
        <w:rPr>
          <w:rStyle w:val="10"/>
          <w:rFonts w:hint="eastAsia" w:ascii="黑体" w:hAnsi="黑体" w:eastAsia="黑体" w:cs="黑体"/>
          <w:color w:val="auto"/>
          <w:sz w:val="32"/>
          <w:szCs w:val="32"/>
          <w:shd w:val="clear" w:color="auto" w:fill="FFFFFF"/>
          <w:lang w:eastAsia="zh-CN"/>
        </w:rPr>
        <w:t>单位</w:t>
      </w:r>
      <w:r>
        <w:rPr>
          <w:rStyle w:val="10"/>
          <w:rFonts w:ascii="黑体" w:hAnsi="黑体" w:eastAsia="黑体" w:cs="黑体"/>
          <w:color w:val="auto"/>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color w:val="auto"/>
          <w:sz w:val="32"/>
          <w:szCs w:val="32"/>
        </w:rPr>
      </w:pPr>
      <w:r>
        <w:rPr>
          <w:rStyle w:val="10"/>
          <w:rFonts w:ascii="楷体" w:hAnsi="楷体" w:eastAsia="楷体" w:cs="楷体"/>
          <w:color w:val="auto"/>
          <w:sz w:val="32"/>
          <w:szCs w:val="32"/>
          <w:shd w:val="clear" w:color="auto" w:fill="FFFFFF"/>
        </w:rPr>
        <w:t>（一）职能职责</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（1）制定和组织实施经济、科技和社会发展计划，组织指导各项生产，协调本镇与外地区经济交流与合作，抓好招商引资，不断培育市场体系，组织经济运行，促进经济发展。</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（2）制定并组织村镇建设规划，部署重点工程建设、地方道路及公共设施，水利设施的管理，负责土地、林木、水等自然资源和生态资源的保护，做好护林防火工作。</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（3）负责本区域内民政、计划生育、文化教育、卫生体育等社会公益事业的综合性工作，维护一切经济单位和个人的正当经济权益，调解和处理民事纠纷，打击刑事犯罪，维护社会稳定。</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val="en-US" w:eastAsia="zh-CN"/>
        </w:rPr>
        <w:t>（4）按计划组织本级财政收入和地方税的征收，完成国家财政计划，不断培植税源，管好财政资金，增强财政实力。</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color w:val="auto"/>
          <w:sz w:val="32"/>
          <w:szCs w:val="32"/>
        </w:rPr>
      </w:pPr>
      <w:r>
        <w:rPr>
          <w:rStyle w:val="10"/>
          <w:rFonts w:ascii="楷体" w:hAnsi="楷体" w:eastAsia="楷体" w:cs="楷体"/>
          <w:color w:val="auto"/>
          <w:sz w:val="32"/>
          <w:szCs w:val="32"/>
          <w:shd w:val="clear" w:color="auto" w:fill="FFFFFF"/>
        </w:rPr>
        <w:t>（二）机构设置</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2024</w:t>
      </w:r>
      <w:r>
        <w:rPr>
          <w:rFonts w:hint="default" w:ascii="方正仿宋_GBK" w:hAnsi="方正仿宋_GBK" w:eastAsia="方正仿宋_GBK" w:cs="方正仿宋_GBK"/>
          <w:color w:val="auto"/>
          <w:sz w:val="32"/>
          <w:szCs w:val="32"/>
          <w:shd w:val="clear" w:color="auto" w:fill="FFFFFF"/>
          <w:lang w:val="en-US" w:eastAsia="zh-CN"/>
        </w:rPr>
        <w:t>年末下设机构分别为：党政办公室、党群工作办公室、经济发展办公室（挂统计办公室、农村经营管理办公室牌子）、民政和社会事务办公室（挂卫生健康办公室牌子）、平安建设办公室、规划建设管理环保办公室、财政办公室、应急管理办公室。人大办公室单独设置，组建综合行政执法办公室。</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（1）</w:t>
      </w:r>
      <w:r>
        <w:rPr>
          <w:rFonts w:hint="default" w:ascii="方正仿宋_GBK" w:hAnsi="方正仿宋_GBK" w:eastAsia="方正仿宋_GBK" w:cs="方正仿宋_GBK"/>
          <w:color w:val="auto"/>
          <w:sz w:val="32"/>
          <w:szCs w:val="32"/>
          <w:shd w:val="clear" w:color="auto" w:fill="FFFFFF"/>
          <w:lang w:val="en-US" w:eastAsia="zh-CN"/>
        </w:rPr>
        <w:t>党政办公室：主要负责纪检、宣传、精神文明、统战、法制、武装、编制、人事、民宗侨台以及综合协调、文秘、目标管理等职责，负责承办政协工作方面的具体事务。</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（2）</w:t>
      </w:r>
      <w:r>
        <w:rPr>
          <w:rFonts w:hint="default" w:ascii="方正仿宋_GBK" w:hAnsi="方正仿宋_GBK" w:eastAsia="方正仿宋_GBK" w:cs="方正仿宋_GBK"/>
          <w:color w:val="auto"/>
          <w:sz w:val="32"/>
          <w:szCs w:val="32"/>
          <w:shd w:val="clear" w:color="auto" w:fill="FFFFFF"/>
          <w:lang w:val="en-US" w:eastAsia="zh-CN"/>
        </w:rPr>
        <w:t>党群工作办公室：主要负责基层党建、群团等工作。</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（3）</w:t>
      </w:r>
      <w:r>
        <w:rPr>
          <w:rFonts w:hint="default" w:ascii="方正仿宋_GBK" w:hAnsi="方正仿宋_GBK" w:eastAsia="方正仿宋_GBK" w:cs="方正仿宋_GBK"/>
          <w:color w:val="auto"/>
          <w:sz w:val="32"/>
          <w:szCs w:val="32"/>
          <w:shd w:val="clear" w:color="auto" w:fill="FFFFFF"/>
          <w:lang w:val="en-US" w:eastAsia="zh-CN"/>
        </w:rPr>
        <w:t>经济发展办公室（挂统计办公室、农村经营管理办公室牌子）：主要负责经济发展规划、农村经营管理、经济社会统计、扶贫开发、产业发展及产业扶贫等职责。</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（4）</w:t>
      </w:r>
      <w:r>
        <w:rPr>
          <w:rFonts w:hint="default" w:ascii="方正仿宋_GBK" w:hAnsi="方正仿宋_GBK" w:eastAsia="方正仿宋_GBK" w:cs="方正仿宋_GBK"/>
          <w:color w:val="auto"/>
          <w:sz w:val="32"/>
          <w:szCs w:val="32"/>
          <w:shd w:val="clear" w:color="auto" w:fill="FFFFFF"/>
          <w:lang w:val="en-US" w:eastAsia="zh-CN"/>
        </w:rPr>
        <w:t>民政和社会事务办公室（挂卫生健康办公室牌子）：主要负责民政、教育、卫生、计生、老龄事业发展、文化、体育、社会救助、残疾人事业、劳动就业、社会保障、物业管理等职责，承担其他民政和社会事务管理职责。</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（5）</w:t>
      </w:r>
      <w:r>
        <w:rPr>
          <w:rFonts w:hint="default" w:ascii="方正仿宋_GBK" w:hAnsi="方正仿宋_GBK" w:eastAsia="方正仿宋_GBK" w:cs="方正仿宋_GBK"/>
          <w:color w:val="auto"/>
          <w:sz w:val="32"/>
          <w:szCs w:val="32"/>
          <w:shd w:val="clear" w:color="auto" w:fill="FFFFFF"/>
          <w:lang w:val="en-US" w:eastAsia="zh-CN"/>
        </w:rPr>
        <w:t>平安建设办公室：主要负责信访、人民调解、社会治安综合治理、维护社会稳定、防范和处理等职责。</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（6）</w:t>
      </w:r>
      <w:r>
        <w:rPr>
          <w:rFonts w:hint="default" w:ascii="方正仿宋_GBK" w:hAnsi="方正仿宋_GBK" w:eastAsia="方正仿宋_GBK" w:cs="方正仿宋_GBK"/>
          <w:color w:val="auto"/>
          <w:sz w:val="32"/>
          <w:szCs w:val="32"/>
          <w:shd w:val="clear" w:color="auto" w:fill="FFFFFF"/>
          <w:lang w:val="en-US" w:eastAsia="zh-CN"/>
        </w:rPr>
        <w:t>规划建设管理环保办公室：主要负责村镇规划、村镇建设、市政公用、市容环卫、环境保护、农村公路建设养护管理等职责。</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（7）</w:t>
      </w:r>
      <w:r>
        <w:rPr>
          <w:rFonts w:hint="default" w:ascii="方正仿宋_GBK" w:hAnsi="方正仿宋_GBK" w:eastAsia="方正仿宋_GBK" w:cs="方正仿宋_GBK"/>
          <w:color w:val="auto"/>
          <w:sz w:val="32"/>
          <w:szCs w:val="32"/>
          <w:shd w:val="clear" w:color="auto" w:fill="FFFFFF"/>
          <w:lang w:val="en-US" w:eastAsia="zh-CN"/>
        </w:rPr>
        <w:t>财政办公室：主要负责财政收支、预决算、总会计、惠农资金兑付、财政资金监督检查、绩效评价、村级财务管理等职责。</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（8）</w:t>
      </w:r>
      <w:r>
        <w:rPr>
          <w:rFonts w:hint="default" w:ascii="方正仿宋_GBK" w:hAnsi="方正仿宋_GBK" w:eastAsia="方正仿宋_GBK" w:cs="方正仿宋_GBK"/>
          <w:color w:val="auto"/>
          <w:sz w:val="32"/>
          <w:szCs w:val="32"/>
          <w:shd w:val="clear" w:color="auto" w:fill="FFFFFF"/>
          <w:lang w:val="en-US" w:eastAsia="zh-CN"/>
        </w:rPr>
        <w:t>应急管理办公室：主要负责安全生产综合监管、应急管理等工作，协助开展煤矿、非煤矿山、危险化学品、烟花爆竹等安全生产日常监管工作。</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（9）</w:t>
      </w:r>
      <w:r>
        <w:rPr>
          <w:rFonts w:hint="default" w:ascii="方正仿宋_GBK" w:hAnsi="方正仿宋_GBK" w:eastAsia="方正仿宋_GBK" w:cs="方正仿宋_GBK"/>
          <w:color w:val="auto"/>
          <w:sz w:val="32"/>
          <w:szCs w:val="32"/>
          <w:shd w:val="clear" w:color="auto" w:fill="FFFFFF"/>
          <w:lang w:val="en-US" w:eastAsia="zh-CN"/>
        </w:rPr>
        <w:t>人大办公室：主要负责人大工作方面的具体事务。</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（10）</w:t>
      </w:r>
      <w:r>
        <w:rPr>
          <w:rFonts w:hint="default" w:ascii="方正仿宋_GBK" w:hAnsi="方正仿宋_GBK" w:eastAsia="方正仿宋_GBK" w:cs="方正仿宋_GBK"/>
          <w:color w:val="auto"/>
          <w:sz w:val="32"/>
          <w:szCs w:val="32"/>
          <w:shd w:val="clear" w:color="auto" w:fill="FFFFFF"/>
          <w:lang w:val="en-US" w:eastAsia="zh-CN"/>
        </w:rPr>
        <w:t>综合行政执法办公室：集中行使依法授权或委托的农林水利、规划建设、环境保护、卫生计生、文化旅游、民政管理等领域的行政执法权；协调、配合区级有关部门及派驻机构开展其他领域的联合执法。</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val="en-US" w:eastAsia="zh-CN"/>
        </w:rPr>
        <w:t>从预算单位构成看，纳入本部门2024年度决算编制的二级预算单位主要包括重庆市荣昌区清升镇人民政府本级</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color w:val="auto"/>
          <w:sz w:val="32"/>
          <w:szCs w:val="32"/>
          <w:shd w:val="clear" w:color="auto" w:fill="FFFFFF"/>
        </w:rPr>
      </w:pPr>
      <w:r>
        <w:rPr>
          <w:rStyle w:val="10"/>
          <w:rFonts w:ascii="黑体" w:hAnsi="黑体" w:eastAsia="黑体" w:cs="黑体"/>
          <w:color w:val="auto"/>
          <w:sz w:val="32"/>
          <w:szCs w:val="32"/>
          <w:shd w:val="clear" w:color="auto" w:fill="FFFFFF"/>
        </w:rPr>
        <w:t>二、</w:t>
      </w:r>
      <w:r>
        <w:rPr>
          <w:rStyle w:val="10"/>
          <w:rFonts w:hint="eastAsia" w:ascii="黑体" w:hAnsi="黑体" w:eastAsia="黑体" w:cs="黑体"/>
          <w:color w:val="auto"/>
          <w:sz w:val="32"/>
          <w:szCs w:val="32"/>
          <w:shd w:val="clear" w:color="auto" w:fill="FFFFFF"/>
          <w:lang w:eastAsia="zh-CN"/>
        </w:rPr>
        <w:t>单位</w:t>
      </w:r>
      <w:r>
        <w:rPr>
          <w:rStyle w:val="10"/>
          <w:rFonts w:ascii="黑体" w:hAnsi="黑体" w:eastAsia="黑体" w:cs="黑体"/>
          <w:color w:val="auto"/>
          <w:sz w:val="32"/>
          <w:szCs w:val="32"/>
          <w:shd w:val="clear" w:color="auto" w:fill="FFFFFF"/>
        </w:rPr>
        <w:t>决算</w:t>
      </w:r>
      <w:r>
        <w:rPr>
          <w:rStyle w:val="10"/>
          <w:rFonts w:hint="eastAsia" w:ascii="黑体" w:hAnsi="黑体" w:eastAsia="黑体" w:cs="黑体"/>
          <w:color w:val="auto"/>
          <w:sz w:val="32"/>
          <w:szCs w:val="32"/>
          <w:shd w:val="clear" w:color="auto" w:fill="FFFFFF"/>
          <w:lang w:eastAsia="zh-CN"/>
        </w:rPr>
        <w:t>收支</w:t>
      </w:r>
      <w:r>
        <w:rPr>
          <w:rStyle w:val="10"/>
          <w:rFonts w:ascii="黑体" w:hAnsi="黑体" w:eastAsia="黑体" w:cs="黑体"/>
          <w:color w:val="auto"/>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pPr>
        <w:pStyle w:val="6"/>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w:t>
      </w:r>
      <w:r>
        <w:rPr>
          <w:rFonts w:hint="eastAsia" w:ascii="方正仿宋_GBK" w:hAnsi="方正仿宋_GBK" w:eastAsia="方正仿宋_GBK" w:cs="方正仿宋_GBK"/>
          <w:color w:val="auto"/>
          <w:sz w:val="32"/>
          <w:szCs w:val="32"/>
          <w:shd w:val="clear" w:color="auto" w:fill="FFFFFF"/>
          <w:lang w:eastAsia="zh-CN"/>
        </w:rPr>
        <w:t>、支</w:t>
      </w:r>
      <w:r>
        <w:rPr>
          <w:rFonts w:ascii="方正仿宋_GBK" w:hAnsi="方正仿宋_GBK" w:eastAsia="方正仿宋_GBK" w:cs="方正仿宋_GBK"/>
          <w:color w:val="auto"/>
          <w:sz w:val="32"/>
          <w:szCs w:val="32"/>
          <w:shd w:val="clear" w:color="auto" w:fill="FFFFFF"/>
        </w:rPr>
        <w:t>总计</w:t>
      </w:r>
      <w:r>
        <w:rPr>
          <w:rFonts w:hint="eastAsia" w:ascii="方正仿宋_GBK" w:hAnsi="方正仿宋_GBK" w:eastAsia="方正仿宋_GBK" w:cs="方正仿宋_GBK"/>
          <w:color w:val="auto"/>
          <w:sz w:val="32"/>
          <w:szCs w:val="32"/>
          <w:shd w:val="clear" w:color="auto" w:fill="FFFFFF"/>
          <w:lang w:eastAsia="zh-CN"/>
        </w:rPr>
        <w:t>均为</w:t>
      </w:r>
      <w:r>
        <w:rPr>
          <w:rFonts w:hint="default" w:ascii="Times New Roman" w:hAnsi="Times New Roman" w:eastAsia="方正仿宋_GBK"/>
          <w:color w:val="auto"/>
          <w:sz w:val="32"/>
          <w:szCs w:val="32"/>
          <w:shd w:val="clear" w:color="auto" w:fill="FFFFFF"/>
        </w:rPr>
        <w:t>2601.58</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收、支与2023年度相比，减少999.95万元，下降27.8%</w:t>
      </w:r>
      <w:r>
        <w:rPr>
          <w:rFonts w:ascii="方正仿宋_GBK" w:hAnsi="方正仿宋_GBK" w:eastAsia="方正仿宋_GBK" w:cs="方正仿宋_GBK"/>
          <w:color w:val="auto"/>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lang w:eastAsia="zh-CN"/>
        </w:rPr>
        <w:t>：一是</w:t>
      </w:r>
      <w:r>
        <w:rPr>
          <w:rFonts w:ascii="方正仿宋_GBK" w:hAnsi="方正仿宋_GBK" w:eastAsia="方正仿宋_GBK" w:cs="方正仿宋_GBK"/>
          <w:color w:val="auto"/>
          <w:sz w:val="32"/>
          <w:szCs w:val="32"/>
          <w:shd w:val="clear" w:color="auto" w:fill="FFFFFF"/>
        </w:rPr>
        <w:t>年初公用经费安排方面有所变化、由上年度在政府本级列支转变为</w:t>
      </w:r>
      <w:r>
        <w:rPr>
          <w:rFonts w:hint="eastAsia" w:ascii="方正仿宋_GBK" w:hAnsi="方正仿宋_GBK" w:eastAsia="方正仿宋_GBK" w:cs="方正仿宋_GBK"/>
          <w:color w:val="auto"/>
          <w:sz w:val="32"/>
          <w:szCs w:val="32"/>
          <w:shd w:val="clear" w:color="auto" w:fill="FFFFFF"/>
          <w:lang w:eastAsia="zh-CN"/>
        </w:rPr>
        <w:t>各事业</w:t>
      </w:r>
      <w:r>
        <w:rPr>
          <w:rFonts w:ascii="方正仿宋_GBK" w:hAnsi="方正仿宋_GBK" w:eastAsia="方正仿宋_GBK" w:cs="方正仿宋_GBK"/>
          <w:color w:val="auto"/>
          <w:sz w:val="32"/>
          <w:szCs w:val="32"/>
          <w:shd w:val="clear" w:color="auto" w:fill="FFFFFF"/>
        </w:rPr>
        <w:t>单位自行列支</w:t>
      </w:r>
      <w:r>
        <w:rPr>
          <w:rFonts w:hint="eastAsia" w:ascii="方正仿宋_GBK" w:hAnsi="方正仿宋_GBK" w:eastAsia="方正仿宋_GBK" w:cs="方正仿宋_GBK"/>
          <w:color w:val="auto"/>
          <w:sz w:val="32"/>
          <w:szCs w:val="32"/>
          <w:shd w:val="clear" w:color="auto" w:fill="FFFFFF"/>
          <w:lang w:eastAsia="zh-CN"/>
        </w:rPr>
        <w:t>；二</w:t>
      </w:r>
      <w:r>
        <w:rPr>
          <w:rFonts w:ascii="方正仿宋_GBK" w:hAnsi="方正仿宋_GBK" w:eastAsia="方正仿宋_GBK" w:cs="方正仿宋_GBK"/>
          <w:color w:val="auto"/>
          <w:sz w:val="32"/>
          <w:szCs w:val="32"/>
          <w:shd w:val="clear" w:color="auto" w:fill="FFFFFF"/>
        </w:rPr>
        <w:t>是本年度火烧店社区基础设施改造工程、美丽宜居村建设、周边环境安全避让搬迁项目、市场主体经济专项扶持经费等</w:t>
      </w:r>
      <w:r>
        <w:rPr>
          <w:rFonts w:hint="eastAsia" w:ascii="方正仿宋_GBK" w:hAnsi="方正仿宋_GBK" w:eastAsia="方正仿宋_GBK" w:cs="方正仿宋_GBK"/>
          <w:color w:val="auto"/>
          <w:sz w:val="32"/>
          <w:szCs w:val="32"/>
          <w:shd w:val="clear" w:color="auto" w:fill="FFFFFF"/>
          <w:lang w:eastAsia="zh-CN"/>
        </w:rPr>
        <w:t>财政拨款收入</w:t>
      </w:r>
      <w:r>
        <w:rPr>
          <w:rFonts w:ascii="方正仿宋_GBK" w:hAnsi="方正仿宋_GBK" w:eastAsia="方正仿宋_GBK" w:cs="方正仿宋_GBK"/>
          <w:color w:val="auto"/>
          <w:sz w:val="32"/>
          <w:szCs w:val="32"/>
          <w:shd w:val="clear" w:color="auto" w:fill="FFFFFF"/>
        </w:rPr>
        <w:t>减少</w:t>
      </w:r>
      <w:r>
        <w:rPr>
          <w:rFonts w:hint="eastAsia" w:ascii="方正仿宋_GBK" w:hAnsi="方正仿宋_GBK" w:eastAsia="方正仿宋_GBK" w:cs="方正仿宋_GBK"/>
          <w:color w:val="auto"/>
          <w:sz w:val="32"/>
          <w:szCs w:val="32"/>
          <w:shd w:val="clear" w:color="auto" w:fill="FFFFFF"/>
          <w:lang w:eastAsia="zh-CN"/>
        </w:rPr>
        <w:t>。</w:t>
      </w:r>
    </w:p>
    <w:p>
      <w:pPr>
        <w:pStyle w:val="6"/>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10"/>
          <w:rFonts w:hint="eastAsia" w:ascii="Times New Roman" w:hAnsi="Times New Roman" w:eastAsia="方正仿宋_GBK"/>
          <w:color w:val="auto"/>
          <w:sz w:val="32"/>
          <w:szCs w:val="32"/>
          <w:shd w:val="clear" w:color="auto" w:fill="FFFFFF"/>
          <w:lang w:val="en-US" w:eastAsia="zh-CN"/>
        </w:rPr>
        <w:t>1</w:t>
      </w:r>
      <w:r>
        <w:rPr>
          <w:rStyle w:val="10"/>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年度收入合计</w:t>
      </w:r>
      <w:r>
        <w:rPr>
          <w:rFonts w:hint="default" w:ascii="Times New Roman" w:hAnsi="Times New Roman" w:eastAsia="方正仿宋_GBK"/>
          <w:color w:val="auto"/>
          <w:sz w:val="32"/>
          <w:szCs w:val="32"/>
          <w:shd w:val="clear" w:color="auto" w:fill="FFFFFF"/>
        </w:rPr>
        <w:t>2601.58</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与2023年度相比，减少994.95万元，下降27.7%</w:t>
      </w:r>
      <w:r>
        <w:rPr>
          <w:rFonts w:ascii="方正仿宋_GBK" w:hAnsi="方正仿宋_GBK" w:eastAsia="方正仿宋_GBK" w:cs="方正仿宋_GBK"/>
          <w:color w:val="auto"/>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lang w:eastAsia="zh-CN"/>
        </w:rPr>
        <w:t>：一是</w:t>
      </w:r>
      <w:r>
        <w:rPr>
          <w:rFonts w:ascii="方正仿宋_GBK" w:hAnsi="方正仿宋_GBK" w:eastAsia="方正仿宋_GBK" w:cs="方正仿宋_GBK"/>
          <w:color w:val="auto"/>
          <w:sz w:val="32"/>
          <w:szCs w:val="32"/>
          <w:shd w:val="clear" w:color="auto" w:fill="FFFFFF"/>
        </w:rPr>
        <w:t>年初公用经费安排方面有所变化、由上年度在政府本级列支转变为</w:t>
      </w:r>
      <w:r>
        <w:rPr>
          <w:rFonts w:hint="eastAsia" w:ascii="方正仿宋_GBK" w:hAnsi="方正仿宋_GBK" w:eastAsia="方正仿宋_GBK" w:cs="方正仿宋_GBK"/>
          <w:color w:val="auto"/>
          <w:sz w:val="32"/>
          <w:szCs w:val="32"/>
          <w:shd w:val="clear" w:color="auto" w:fill="FFFFFF"/>
          <w:lang w:eastAsia="zh-CN"/>
        </w:rPr>
        <w:t>各事业</w:t>
      </w:r>
      <w:r>
        <w:rPr>
          <w:rFonts w:ascii="方正仿宋_GBK" w:hAnsi="方正仿宋_GBK" w:eastAsia="方正仿宋_GBK" w:cs="方正仿宋_GBK"/>
          <w:color w:val="auto"/>
          <w:sz w:val="32"/>
          <w:szCs w:val="32"/>
          <w:shd w:val="clear" w:color="auto" w:fill="FFFFFF"/>
        </w:rPr>
        <w:t>单位自行列支</w:t>
      </w:r>
      <w:r>
        <w:rPr>
          <w:rFonts w:hint="eastAsia" w:ascii="方正仿宋_GBK" w:hAnsi="方正仿宋_GBK" w:eastAsia="方正仿宋_GBK" w:cs="方正仿宋_GBK"/>
          <w:color w:val="auto"/>
          <w:sz w:val="32"/>
          <w:szCs w:val="32"/>
          <w:shd w:val="clear" w:color="auto" w:fill="FFFFFF"/>
          <w:lang w:eastAsia="zh-CN"/>
        </w:rPr>
        <w:t>；二</w:t>
      </w:r>
      <w:r>
        <w:rPr>
          <w:rFonts w:ascii="方正仿宋_GBK" w:hAnsi="方正仿宋_GBK" w:eastAsia="方正仿宋_GBK" w:cs="方正仿宋_GBK"/>
          <w:color w:val="auto"/>
          <w:sz w:val="32"/>
          <w:szCs w:val="32"/>
          <w:shd w:val="clear" w:color="auto" w:fill="FFFFFF"/>
        </w:rPr>
        <w:t>是本年度火烧店社区基础设施改造工程、美丽宜居村建设、周边环境安全避让搬迁项目、市场主体经济专项扶持经费等</w:t>
      </w:r>
      <w:r>
        <w:rPr>
          <w:rFonts w:hint="eastAsia" w:ascii="方正仿宋_GBK" w:hAnsi="方正仿宋_GBK" w:eastAsia="方正仿宋_GBK" w:cs="方正仿宋_GBK"/>
          <w:color w:val="auto"/>
          <w:sz w:val="32"/>
          <w:szCs w:val="32"/>
          <w:shd w:val="clear" w:color="auto" w:fill="FFFFFF"/>
          <w:lang w:eastAsia="zh-CN"/>
        </w:rPr>
        <w:t>财政拨款收入</w:t>
      </w:r>
      <w:r>
        <w:rPr>
          <w:rFonts w:ascii="方正仿宋_GBK" w:hAnsi="方正仿宋_GBK" w:eastAsia="方正仿宋_GBK" w:cs="方正仿宋_GBK"/>
          <w:color w:val="auto"/>
          <w:sz w:val="32"/>
          <w:szCs w:val="32"/>
          <w:shd w:val="clear" w:color="auto" w:fill="FFFFFF"/>
        </w:rPr>
        <w:t>减少</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其中：财政拨款收入</w:t>
      </w:r>
      <w:r>
        <w:rPr>
          <w:rFonts w:hint="default" w:ascii="Times New Roman" w:hAnsi="Times New Roman" w:eastAsia="方正仿宋_GBK"/>
          <w:color w:val="auto"/>
          <w:sz w:val="32"/>
          <w:szCs w:val="32"/>
          <w:shd w:val="clear" w:color="auto" w:fill="FFFFFF"/>
        </w:rPr>
        <w:t>2601.58</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；事业收入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；经营收入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；其他收入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。此外，</w:t>
      </w:r>
      <w:r>
        <w:rPr>
          <w:rFonts w:hint="eastAsia" w:ascii="方正仿宋_GBK" w:hAnsi="方正仿宋_GBK" w:eastAsia="方正仿宋_GBK" w:cs="方正仿宋_GBK"/>
          <w:color w:val="auto"/>
          <w:sz w:val="32"/>
          <w:szCs w:val="32"/>
          <w:shd w:val="clear" w:color="auto" w:fill="FFFFFF"/>
        </w:rPr>
        <w:t>使用非财政拨款结余（含专用结余）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万元，年初结转和结余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pPr>
        <w:pStyle w:val="6"/>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10"/>
          <w:rFonts w:hint="eastAsia" w:ascii="Times New Roman" w:hAnsi="Times New Roman" w:eastAsia="方正仿宋_GBK"/>
          <w:color w:val="auto"/>
          <w:sz w:val="32"/>
          <w:szCs w:val="32"/>
          <w:shd w:val="clear" w:color="auto" w:fill="FFFFFF"/>
          <w:lang w:val="en-US" w:eastAsia="zh-CN"/>
        </w:rPr>
        <w:t>2</w:t>
      </w:r>
      <w:r>
        <w:rPr>
          <w:rStyle w:val="10"/>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年度支出合计</w:t>
      </w:r>
      <w:r>
        <w:rPr>
          <w:rFonts w:hint="default" w:ascii="Times New Roman" w:hAnsi="Times New Roman" w:eastAsia="方正仿宋_GBK"/>
          <w:color w:val="auto"/>
          <w:sz w:val="32"/>
          <w:szCs w:val="32"/>
          <w:shd w:val="clear" w:color="auto" w:fill="FFFFFF"/>
        </w:rPr>
        <w:t>2601.58</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与2023年度相比，减少999.95万元，下降27.8%</w:t>
      </w:r>
      <w:r>
        <w:rPr>
          <w:rFonts w:ascii="方正仿宋_GBK" w:hAnsi="方正仿宋_GBK" w:eastAsia="方正仿宋_GBK" w:cs="方正仿宋_GBK"/>
          <w:color w:val="auto"/>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lang w:eastAsia="zh-CN"/>
        </w:rPr>
        <w:t>：一是</w:t>
      </w:r>
      <w:r>
        <w:rPr>
          <w:rFonts w:ascii="方正仿宋_GBK" w:hAnsi="方正仿宋_GBK" w:eastAsia="方正仿宋_GBK" w:cs="方正仿宋_GBK"/>
          <w:color w:val="auto"/>
          <w:sz w:val="32"/>
          <w:szCs w:val="32"/>
          <w:shd w:val="clear" w:color="auto" w:fill="FFFFFF"/>
        </w:rPr>
        <w:t>年初公用经费安排方面有所变化、由上年度在政府本级列支转变为</w:t>
      </w:r>
      <w:r>
        <w:rPr>
          <w:rFonts w:hint="eastAsia" w:ascii="方正仿宋_GBK" w:hAnsi="方正仿宋_GBK" w:eastAsia="方正仿宋_GBK" w:cs="方正仿宋_GBK"/>
          <w:color w:val="auto"/>
          <w:sz w:val="32"/>
          <w:szCs w:val="32"/>
          <w:shd w:val="clear" w:color="auto" w:fill="FFFFFF"/>
          <w:lang w:eastAsia="zh-CN"/>
        </w:rPr>
        <w:t>各事业</w:t>
      </w:r>
      <w:r>
        <w:rPr>
          <w:rFonts w:ascii="方正仿宋_GBK" w:hAnsi="方正仿宋_GBK" w:eastAsia="方正仿宋_GBK" w:cs="方正仿宋_GBK"/>
          <w:color w:val="auto"/>
          <w:sz w:val="32"/>
          <w:szCs w:val="32"/>
          <w:shd w:val="clear" w:color="auto" w:fill="FFFFFF"/>
        </w:rPr>
        <w:t>单位自行列支</w:t>
      </w:r>
      <w:r>
        <w:rPr>
          <w:rFonts w:hint="eastAsia" w:ascii="方正仿宋_GBK" w:hAnsi="方正仿宋_GBK" w:eastAsia="方正仿宋_GBK" w:cs="方正仿宋_GBK"/>
          <w:color w:val="auto"/>
          <w:sz w:val="32"/>
          <w:szCs w:val="32"/>
          <w:shd w:val="clear" w:color="auto" w:fill="FFFFFF"/>
          <w:lang w:eastAsia="zh-CN"/>
        </w:rPr>
        <w:t>；二</w:t>
      </w:r>
      <w:r>
        <w:rPr>
          <w:rFonts w:ascii="方正仿宋_GBK" w:hAnsi="方正仿宋_GBK" w:eastAsia="方正仿宋_GBK" w:cs="方正仿宋_GBK"/>
          <w:color w:val="auto"/>
          <w:sz w:val="32"/>
          <w:szCs w:val="32"/>
          <w:shd w:val="clear" w:color="auto" w:fill="FFFFFF"/>
        </w:rPr>
        <w:t>是本年度火烧店社区基础设施改造工程、美丽宜居村建设、周边环境安全避让搬迁项目、市场主体经济专项扶持经费等</w:t>
      </w:r>
      <w:r>
        <w:rPr>
          <w:rFonts w:hint="eastAsia" w:ascii="方正仿宋_GBK" w:hAnsi="方正仿宋_GBK" w:eastAsia="方正仿宋_GBK" w:cs="方正仿宋_GBK"/>
          <w:color w:val="auto"/>
          <w:sz w:val="32"/>
          <w:szCs w:val="32"/>
          <w:shd w:val="clear" w:color="auto" w:fill="FFFFFF"/>
          <w:lang w:eastAsia="zh-CN"/>
        </w:rPr>
        <w:t>财政拨款收入</w:t>
      </w:r>
      <w:r>
        <w:rPr>
          <w:rFonts w:ascii="方正仿宋_GBK" w:hAnsi="方正仿宋_GBK" w:eastAsia="方正仿宋_GBK" w:cs="方正仿宋_GBK"/>
          <w:color w:val="auto"/>
          <w:sz w:val="32"/>
          <w:szCs w:val="32"/>
          <w:shd w:val="clear" w:color="auto" w:fill="FFFFFF"/>
        </w:rPr>
        <w:t>减少</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其中：基本支出</w:t>
      </w:r>
      <w:r>
        <w:rPr>
          <w:rFonts w:hint="default" w:ascii="Times New Roman" w:hAnsi="Times New Roman" w:eastAsia="方正仿宋_GBK"/>
          <w:color w:val="auto"/>
          <w:sz w:val="32"/>
          <w:szCs w:val="32"/>
          <w:shd w:val="clear" w:color="auto" w:fill="FFFFFF"/>
        </w:rPr>
        <w:t>712.35</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27.4%</w:t>
      </w:r>
      <w:r>
        <w:rPr>
          <w:rFonts w:ascii="方正仿宋_GBK" w:hAnsi="方正仿宋_GBK" w:eastAsia="方正仿宋_GBK" w:cs="方正仿宋_GBK"/>
          <w:color w:val="auto"/>
          <w:sz w:val="32"/>
          <w:szCs w:val="32"/>
          <w:shd w:val="clear" w:color="auto" w:fill="FFFFFF"/>
        </w:rPr>
        <w:t>；项目支出</w:t>
      </w:r>
      <w:r>
        <w:rPr>
          <w:rFonts w:hint="default" w:ascii="Times New Roman" w:hAnsi="Times New Roman" w:eastAsia="方正仿宋_GBK"/>
          <w:color w:val="auto"/>
          <w:sz w:val="32"/>
          <w:szCs w:val="32"/>
          <w:shd w:val="clear" w:color="auto" w:fill="FFFFFF"/>
        </w:rPr>
        <w:t>1889.23</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72.6%</w:t>
      </w:r>
      <w:r>
        <w:rPr>
          <w:rFonts w:ascii="方正仿宋_GBK" w:hAnsi="方正仿宋_GBK" w:eastAsia="方正仿宋_GBK" w:cs="方正仿宋_GBK"/>
          <w:color w:val="auto"/>
          <w:sz w:val="32"/>
          <w:szCs w:val="32"/>
          <w:shd w:val="clear" w:color="auto" w:fill="FFFFFF"/>
        </w:rPr>
        <w:t>；经营支出</w:t>
      </w:r>
      <w:r>
        <w:rPr>
          <w:rFonts w:hint="default" w:ascii="Times New Roman" w:hAnsi="Times New Roman" w:eastAsia="方正仿宋_GBK"/>
          <w:color w:val="auto"/>
          <w:sz w:val="32"/>
          <w:szCs w:val="32"/>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。此外，结余分配</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rPr>
      </w:pPr>
      <w:r>
        <w:rPr>
          <w:rStyle w:val="10"/>
          <w:rFonts w:hint="eastAsia" w:ascii="Times New Roman" w:hAnsi="Times New Roman" w:eastAsia="方正仿宋_GBK"/>
          <w:color w:val="auto"/>
          <w:sz w:val="32"/>
          <w:szCs w:val="32"/>
          <w:shd w:val="clear" w:color="auto" w:fill="FFFFFF"/>
          <w:lang w:val="en-US" w:eastAsia="zh-CN"/>
        </w:rPr>
        <w:t>3</w:t>
      </w:r>
      <w:r>
        <w:rPr>
          <w:rStyle w:val="10"/>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，主要原因是</w:t>
      </w:r>
      <w:r>
        <w:rPr>
          <w:rFonts w:hint="default" w:ascii="方正仿宋_GBK" w:hAnsi="方正仿宋_GBK" w:eastAsia="方正仿宋_GBK" w:cs="方正仿宋_GBK"/>
          <w:color w:val="auto"/>
          <w:sz w:val="32"/>
          <w:szCs w:val="32"/>
          <w:shd w:val="clear" w:color="auto" w:fill="FFFFFF"/>
          <w:lang w:val="en-US" w:eastAsia="zh-CN"/>
        </w:rPr>
        <w:t>202</w:t>
      </w:r>
      <w:r>
        <w:rPr>
          <w:rFonts w:hint="eastAsia" w:ascii="方正仿宋_GBK" w:hAnsi="方正仿宋_GBK" w:eastAsia="方正仿宋_GBK" w:cs="方正仿宋_GBK"/>
          <w:color w:val="auto"/>
          <w:sz w:val="32"/>
          <w:szCs w:val="32"/>
          <w:shd w:val="clear" w:color="auto" w:fill="FFFFFF"/>
          <w:lang w:val="en-US" w:eastAsia="zh-CN"/>
        </w:rPr>
        <w:t>4</w:t>
      </w:r>
      <w:r>
        <w:rPr>
          <w:rFonts w:hint="default" w:ascii="方正仿宋_GBK" w:hAnsi="方正仿宋_GBK" w:eastAsia="方正仿宋_GBK" w:cs="方正仿宋_GBK"/>
          <w:color w:val="auto"/>
          <w:sz w:val="32"/>
          <w:szCs w:val="32"/>
          <w:shd w:val="clear" w:color="auto" w:fill="FFFFFF"/>
          <w:lang w:val="en-US" w:eastAsia="zh-CN"/>
        </w:rPr>
        <w:t>年度</w:t>
      </w:r>
      <w:r>
        <w:rPr>
          <w:rFonts w:hint="eastAsia" w:ascii="方正仿宋_GBK" w:hAnsi="方正仿宋_GBK" w:eastAsia="方正仿宋_GBK" w:cs="方正仿宋_GBK"/>
          <w:color w:val="auto"/>
          <w:sz w:val="32"/>
          <w:szCs w:val="32"/>
          <w:shd w:val="clear" w:color="auto" w:fill="FFFFFF"/>
          <w:lang w:val="en-US" w:eastAsia="zh-CN"/>
        </w:rPr>
        <w:t>无</w:t>
      </w:r>
      <w:r>
        <w:rPr>
          <w:rFonts w:hint="default" w:ascii="方正仿宋_GBK" w:hAnsi="方正仿宋_GBK" w:eastAsia="方正仿宋_GBK" w:cs="方正仿宋_GBK"/>
          <w:color w:val="auto"/>
          <w:sz w:val="32"/>
          <w:szCs w:val="32"/>
          <w:shd w:val="clear" w:color="auto" w:fill="FFFFFF"/>
          <w:lang w:val="en-US" w:eastAsia="zh-CN"/>
        </w:rPr>
        <w:t>年末结转和结余。</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年度财政拨款收、支总计均为</w:t>
      </w:r>
      <w:r>
        <w:rPr>
          <w:rFonts w:hint="default" w:ascii="Times New Roman" w:hAnsi="Times New Roman" w:eastAsia="方正仿宋_GBK"/>
          <w:color w:val="auto"/>
          <w:sz w:val="32"/>
          <w:szCs w:val="32"/>
          <w:shd w:val="clear" w:color="auto" w:fill="FFFFFF"/>
        </w:rPr>
        <w:t>2601.58</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w:t>
      </w:r>
      <w:r>
        <w:rPr>
          <w:rFonts w:hint="eastAsia" w:ascii="方正仿宋_GBK" w:hAnsi="方正仿宋_GBK" w:eastAsia="方正仿宋_GBK" w:cs="方正仿宋_GBK"/>
          <w:color w:val="auto"/>
          <w:sz w:val="32"/>
          <w:szCs w:val="32"/>
          <w:shd w:val="clear" w:color="auto" w:fill="FFFFFF"/>
          <w:lang w:eastAsia="zh-CN"/>
        </w:rPr>
        <w:t>度</w:t>
      </w:r>
      <w:r>
        <w:rPr>
          <w:rFonts w:ascii="方正仿宋_GBK" w:hAnsi="方正仿宋_GBK" w:eastAsia="方正仿宋_GBK" w:cs="方正仿宋_GBK"/>
          <w:color w:val="auto"/>
          <w:sz w:val="32"/>
          <w:szCs w:val="32"/>
          <w:shd w:val="clear" w:color="auto" w:fill="FFFFFF"/>
        </w:rPr>
        <w:t>相比，</w:t>
      </w:r>
      <w:r>
        <w:rPr>
          <w:rFonts w:hint="default" w:ascii="Times New Roman" w:hAnsi="Times New Roman" w:eastAsia="方正仿宋_GBK"/>
          <w:color w:val="auto"/>
          <w:sz w:val="32"/>
          <w:szCs w:val="32"/>
          <w:shd w:val="clear" w:color="auto" w:fill="FFFFFF"/>
        </w:rPr>
        <w:t>财政拨款收、支总计各减少999.95万元，下降27.8%</w:t>
      </w:r>
      <w:r>
        <w:rPr>
          <w:rFonts w:ascii="方正仿宋_GBK" w:hAnsi="方正仿宋_GBK" w:eastAsia="方正仿宋_GBK" w:cs="方正仿宋_GBK"/>
          <w:color w:val="auto"/>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lang w:eastAsia="zh-CN"/>
        </w:rPr>
        <w:t>：一是</w:t>
      </w:r>
      <w:r>
        <w:rPr>
          <w:rFonts w:ascii="方正仿宋_GBK" w:hAnsi="方正仿宋_GBK" w:eastAsia="方正仿宋_GBK" w:cs="方正仿宋_GBK"/>
          <w:color w:val="auto"/>
          <w:sz w:val="32"/>
          <w:szCs w:val="32"/>
          <w:shd w:val="clear" w:color="auto" w:fill="FFFFFF"/>
        </w:rPr>
        <w:t>年初公用经费安排方面有所变化、由上年度在政府本级列支转变为</w:t>
      </w:r>
      <w:r>
        <w:rPr>
          <w:rFonts w:hint="eastAsia" w:ascii="方正仿宋_GBK" w:hAnsi="方正仿宋_GBK" w:eastAsia="方正仿宋_GBK" w:cs="方正仿宋_GBK"/>
          <w:color w:val="auto"/>
          <w:sz w:val="32"/>
          <w:szCs w:val="32"/>
          <w:shd w:val="clear" w:color="auto" w:fill="FFFFFF"/>
          <w:lang w:eastAsia="zh-CN"/>
        </w:rPr>
        <w:t>各事业</w:t>
      </w:r>
      <w:r>
        <w:rPr>
          <w:rFonts w:ascii="方正仿宋_GBK" w:hAnsi="方正仿宋_GBK" w:eastAsia="方正仿宋_GBK" w:cs="方正仿宋_GBK"/>
          <w:color w:val="auto"/>
          <w:sz w:val="32"/>
          <w:szCs w:val="32"/>
          <w:shd w:val="clear" w:color="auto" w:fill="FFFFFF"/>
        </w:rPr>
        <w:t>单位自行列支</w:t>
      </w:r>
      <w:r>
        <w:rPr>
          <w:rFonts w:hint="eastAsia" w:ascii="方正仿宋_GBK" w:hAnsi="方正仿宋_GBK" w:eastAsia="方正仿宋_GBK" w:cs="方正仿宋_GBK"/>
          <w:color w:val="auto"/>
          <w:sz w:val="32"/>
          <w:szCs w:val="32"/>
          <w:shd w:val="clear" w:color="auto" w:fill="FFFFFF"/>
          <w:lang w:eastAsia="zh-CN"/>
        </w:rPr>
        <w:t>；二</w:t>
      </w:r>
      <w:r>
        <w:rPr>
          <w:rFonts w:ascii="方正仿宋_GBK" w:hAnsi="方正仿宋_GBK" w:eastAsia="方正仿宋_GBK" w:cs="方正仿宋_GBK"/>
          <w:color w:val="auto"/>
          <w:sz w:val="32"/>
          <w:szCs w:val="32"/>
          <w:shd w:val="clear" w:color="auto" w:fill="FFFFFF"/>
        </w:rPr>
        <w:t>是本年度火烧店社区基础设施改造工程、美丽宜居村建设、周边环境安全避让搬迁项目、市场主体经济专项扶持经费等</w:t>
      </w:r>
      <w:r>
        <w:rPr>
          <w:rFonts w:hint="eastAsia" w:ascii="方正仿宋_GBK" w:hAnsi="方正仿宋_GBK" w:eastAsia="方正仿宋_GBK" w:cs="方正仿宋_GBK"/>
          <w:color w:val="auto"/>
          <w:sz w:val="32"/>
          <w:szCs w:val="32"/>
          <w:shd w:val="clear" w:color="auto" w:fill="FFFFFF"/>
          <w:lang w:eastAsia="zh-CN"/>
        </w:rPr>
        <w:t>财政拨款收入</w:t>
      </w:r>
      <w:r>
        <w:rPr>
          <w:rFonts w:ascii="方正仿宋_GBK" w:hAnsi="方正仿宋_GBK" w:eastAsia="方正仿宋_GBK" w:cs="方正仿宋_GBK"/>
          <w:color w:val="auto"/>
          <w:sz w:val="32"/>
          <w:szCs w:val="32"/>
          <w:shd w:val="clear" w:color="auto" w:fill="FFFFFF"/>
        </w:rPr>
        <w:t>减少</w:t>
      </w:r>
      <w:r>
        <w:rPr>
          <w:rFonts w:hint="eastAsia" w:ascii="方正仿宋_GBK" w:hAnsi="方正仿宋_GBK" w:eastAsia="方正仿宋_GBK" w:cs="方正仿宋_GBK"/>
          <w:color w:val="auto"/>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rPr>
      </w:pPr>
      <w:r>
        <w:rPr>
          <w:rStyle w:val="10"/>
          <w:rFonts w:hint="default" w:ascii="Times New Roman" w:hAnsi="Times New Roman" w:eastAsia="方正仿宋_GBK"/>
          <w:color w:val="auto"/>
          <w:sz w:val="32"/>
          <w:szCs w:val="32"/>
          <w:shd w:val="clear" w:color="auto" w:fill="FFFFFF"/>
        </w:rPr>
        <w:t>1</w:t>
      </w:r>
      <w:r>
        <w:rPr>
          <w:rStyle w:val="10"/>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年度一般公共预算财政拨款收入</w:t>
      </w:r>
      <w:r>
        <w:rPr>
          <w:rFonts w:hint="default" w:ascii="Times New Roman" w:hAnsi="Times New Roman" w:eastAsia="方正仿宋_GBK"/>
          <w:color w:val="auto"/>
          <w:sz w:val="32"/>
          <w:szCs w:val="32"/>
          <w:shd w:val="clear" w:color="auto" w:fill="FFFFFF"/>
        </w:rPr>
        <w:t>2084.83</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与2023年度相比，减少1312.10万元，下降38.6%</w:t>
      </w:r>
      <w:r>
        <w:rPr>
          <w:rFonts w:ascii="方正仿宋_GBK" w:hAnsi="方正仿宋_GBK" w:eastAsia="方正仿宋_GBK" w:cs="方正仿宋_GBK"/>
          <w:color w:val="auto"/>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lang w:eastAsia="zh-CN"/>
        </w:rPr>
        <w:t>：一是</w:t>
      </w:r>
      <w:r>
        <w:rPr>
          <w:rFonts w:ascii="方正仿宋_GBK" w:hAnsi="方正仿宋_GBK" w:eastAsia="方正仿宋_GBK" w:cs="方正仿宋_GBK"/>
          <w:color w:val="auto"/>
          <w:sz w:val="32"/>
          <w:szCs w:val="32"/>
          <w:shd w:val="clear" w:color="auto" w:fill="FFFFFF"/>
        </w:rPr>
        <w:t>年初公用经费安排方面有所变化、由上年度在政府本级列支转变为</w:t>
      </w:r>
      <w:r>
        <w:rPr>
          <w:rFonts w:hint="eastAsia" w:ascii="方正仿宋_GBK" w:hAnsi="方正仿宋_GBK" w:eastAsia="方正仿宋_GBK" w:cs="方正仿宋_GBK"/>
          <w:color w:val="auto"/>
          <w:sz w:val="32"/>
          <w:szCs w:val="32"/>
          <w:shd w:val="clear" w:color="auto" w:fill="FFFFFF"/>
          <w:lang w:eastAsia="zh-CN"/>
        </w:rPr>
        <w:t>各事业</w:t>
      </w:r>
      <w:r>
        <w:rPr>
          <w:rFonts w:ascii="方正仿宋_GBK" w:hAnsi="方正仿宋_GBK" w:eastAsia="方正仿宋_GBK" w:cs="方正仿宋_GBK"/>
          <w:color w:val="auto"/>
          <w:sz w:val="32"/>
          <w:szCs w:val="32"/>
          <w:shd w:val="clear" w:color="auto" w:fill="FFFFFF"/>
        </w:rPr>
        <w:t>单位自行列支</w:t>
      </w:r>
      <w:r>
        <w:rPr>
          <w:rFonts w:hint="eastAsia" w:ascii="方正仿宋_GBK" w:hAnsi="方正仿宋_GBK" w:eastAsia="方正仿宋_GBK" w:cs="方正仿宋_GBK"/>
          <w:color w:val="auto"/>
          <w:sz w:val="32"/>
          <w:szCs w:val="32"/>
          <w:shd w:val="clear" w:color="auto" w:fill="FFFFFF"/>
          <w:lang w:eastAsia="zh-CN"/>
        </w:rPr>
        <w:t>；二</w:t>
      </w:r>
      <w:r>
        <w:rPr>
          <w:rFonts w:ascii="方正仿宋_GBK" w:hAnsi="方正仿宋_GBK" w:eastAsia="方正仿宋_GBK" w:cs="方正仿宋_GBK"/>
          <w:color w:val="auto"/>
          <w:sz w:val="32"/>
          <w:szCs w:val="32"/>
          <w:shd w:val="clear" w:color="auto" w:fill="FFFFFF"/>
        </w:rPr>
        <w:t>是本年度火烧店社区基础设施改造工程、美丽宜居村建设、周边环境安全避让搬迁项目、市场主体经济专项扶持经费等</w:t>
      </w:r>
      <w:r>
        <w:rPr>
          <w:rFonts w:hint="eastAsia" w:ascii="方正仿宋_GBK" w:hAnsi="方正仿宋_GBK" w:eastAsia="方正仿宋_GBK" w:cs="方正仿宋_GBK"/>
          <w:color w:val="auto"/>
          <w:sz w:val="32"/>
          <w:szCs w:val="32"/>
          <w:shd w:val="clear" w:color="auto" w:fill="FFFFFF"/>
          <w:lang w:eastAsia="zh-CN"/>
        </w:rPr>
        <w:t>财政拨款收入</w:t>
      </w:r>
      <w:r>
        <w:rPr>
          <w:rFonts w:ascii="方正仿宋_GBK" w:hAnsi="方正仿宋_GBK" w:eastAsia="方正仿宋_GBK" w:cs="方正仿宋_GBK"/>
          <w:color w:val="auto"/>
          <w:sz w:val="32"/>
          <w:szCs w:val="32"/>
          <w:shd w:val="clear" w:color="auto" w:fill="FFFFFF"/>
        </w:rPr>
        <w:t>减少</w:t>
      </w:r>
      <w:r>
        <w:rPr>
          <w:rFonts w:hint="eastAsia" w:ascii="方正仿宋_GBK" w:hAnsi="方正仿宋_GBK" w:eastAsia="方正仿宋_GBK" w:cs="方正仿宋_GBK"/>
          <w:color w:val="auto"/>
          <w:sz w:val="32"/>
          <w:szCs w:val="32"/>
          <w:shd w:val="clear" w:color="auto" w:fill="FFFFFF"/>
          <w:lang w:eastAsia="zh-CN"/>
        </w:rPr>
        <w:t>。</w:t>
      </w:r>
      <w:r>
        <w:rPr>
          <w:rFonts w:hint="default" w:ascii="Times New Roman" w:hAnsi="Times New Roman" w:eastAsia="方正仿宋_GBK"/>
          <w:color w:val="auto"/>
          <w:sz w:val="32"/>
          <w:szCs w:val="32"/>
          <w:shd w:val="clear" w:color="auto" w:fill="FFFFFF"/>
        </w:rPr>
        <w:t>较年初预算数减少241.59万元，下降10.4%</w:t>
      </w:r>
      <w:r>
        <w:rPr>
          <w:rFonts w:ascii="方正仿宋_GBK" w:hAnsi="方正仿宋_GBK" w:eastAsia="方正仿宋_GBK" w:cs="方正仿宋_GBK"/>
          <w:color w:val="auto"/>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lang w:eastAsia="zh-CN"/>
        </w:rPr>
        <w:t>：一</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eastAsia="zh-CN"/>
        </w:rPr>
        <w:t>本年度较上年减少</w:t>
      </w:r>
      <w:r>
        <w:rPr>
          <w:rFonts w:hint="eastAsia" w:ascii="方正仿宋_GBK" w:hAnsi="方正仿宋_GBK" w:eastAsia="方正仿宋_GBK" w:cs="方正仿宋_GBK"/>
          <w:color w:val="auto"/>
          <w:sz w:val="32"/>
          <w:szCs w:val="32"/>
          <w:shd w:val="clear" w:color="auto" w:fill="FFFFFF"/>
          <w:lang w:val="en-US" w:eastAsia="zh-CN"/>
        </w:rPr>
        <w:t>1人，人员经费减少；二是</w:t>
      </w:r>
      <w:r>
        <w:rPr>
          <w:rFonts w:ascii="方正仿宋_GBK" w:hAnsi="方正仿宋_GBK" w:eastAsia="方正仿宋_GBK" w:cs="方正仿宋_GBK"/>
          <w:color w:val="auto"/>
          <w:sz w:val="32"/>
          <w:szCs w:val="32"/>
          <w:shd w:val="clear" w:color="auto" w:fill="FFFFFF"/>
        </w:rPr>
        <w:t>年初公用经费安排方面有所变化、由上年度在政府本级列支转变为</w:t>
      </w:r>
      <w:r>
        <w:rPr>
          <w:rFonts w:hint="eastAsia" w:ascii="方正仿宋_GBK" w:hAnsi="方正仿宋_GBK" w:eastAsia="方正仿宋_GBK" w:cs="方正仿宋_GBK"/>
          <w:color w:val="auto"/>
          <w:sz w:val="32"/>
          <w:szCs w:val="32"/>
          <w:shd w:val="clear" w:color="auto" w:fill="FFFFFF"/>
          <w:lang w:eastAsia="zh-CN"/>
        </w:rPr>
        <w:t>各事业</w:t>
      </w:r>
      <w:r>
        <w:rPr>
          <w:rFonts w:ascii="方正仿宋_GBK" w:hAnsi="方正仿宋_GBK" w:eastAsia="方正仿宋_GBK" w:cs="方正仿宋_GBK"/>
          <w:color w:val="auto"/>
          <w:sz w:val="32"/>
          <w:szCs w:val="32"/>
          <w:shd w:val="clear" w:color="auto" w:fill="FFFFFF"/>
        </w:rPr>
        <w:t>单位自行列支</w:t>
      </w:r>
      <w:r>
        <w:rPr>
          <w:rFonts w:hint="eastAsia" w:ascii="方正仿宋_GBK" w:hAnsi="方正仿宋_GBK" w:eastAsia="方正仿宋_GBK" w:cs="方正仿宋_GBK"/>
          <w:color w:val="auto"/>
          <w:sz w:val="32"/>
          <w:szCs w:val="32"/>
          <w:shd w:val="clear" w:color="auto" w:fill="FFFFFF"/>
          <w:lang w:eastAsia="zh-CN"/>
        </w:rPr>
        <w:t>，公用经费减少；三是</w:t>
      </w:r>
      <w:r>
        <w:rPr>
          <w:rFonts w:ascii="方正仿宋_GBK" w:hAnsi="方正仿宋_GBK" w:eastAsia="方正仿宋_GBK" w:cs="方正仿宋_GBK"/>
          <w:color w:val="auto"/>
          <w:sz w:val="32"/>
          <w:szCs w:val="32"/>
          <w:shd w:val="clear" w:color="auto" w:fill="FFFFFF"/>
        </w:rPr>
        <w:t>周边环境安全避让搬迁项目、市场主体经济专项扶持经费等项目减少</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此外，年初财政拨款结转和结余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pPr>
        <w:pStyle w:val="6"/>
        <w:snapToGrid w:val="0"/>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10"/>
          <w:rFonts w:hint="default" w:ascii="Times New Roman" w:hAnsi="Times New Roman" w:eastAsia="方正仿宋_GBK"/>
          <w:color w:val="auto"/>
          <w:sz w:val="32"/>
          <w:szCs w:val="32"/>
          <w:shd w:val="clear" w:color="auto" w:fill="FFFFFF"/>
        </w:rPr>
        <w:t>2</w:t>
      </w:r>
      <w:r>
        <w:rPr>
          <w:rStyle w:val="10"/>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2084.83</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与2023年度相比，减少1317.10万元，下降38.7%</w:t>
      </w:r>
      <w:r>
        <w:rPr>
          <w:rFonts w:ascii="方正仿宋_GBK" w:hAnsi="方正仿宋_GBK" w:eastAsia="方正仿宋_GBK" w:cs="方正仿宋_GBK"/>
          <w:color w:val="auto"/>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lang w:eastAsia="zh-CN"/>
        </w:rPr>
        <w:t>：一是</w:t>
      </w:r>
      <w:r>
        <w:rPr>
          <w:rFonts w:ascii="方正仿宋_GBK" w:hAnsi="方正仿宋_GBK" w:eastAsia="方正仿宋_GBK" w:cs="方正仿宋_GBK"/>
          <w:color w:val="auto"/>
          <w:sz w:val="32"/>
          <w:szCs w:val="32"/>
          <w:shd w:val="clear" w:color="auto" w:fill="FFFFFF"/>
        </w:rPr>
        <w:t>年初公用经费安排方面有所变化、由上年度在政府本级列支转变为</w:t>
      </w:r>
      <w:r>
        <w:rPr>
          <w:rFonts w:hint="eastAsia" w:ascii="方正仿宋_GBK" w:hAnsi="方正仿宋_GBK" w:eastAsia="方正仿宋_GBK" w:cs="方正仿宋_GBK"/>
          <w:color w:val="auto"/>
          <w:sz w:val="32"/>
          <w:szCs w:val="32"/>
          <w:shd w:val="clear" w:color="auto" w:fill="FFFFFF"/>
          <w:lang w:eastAsia="zh-CN"/>
        </w:rPr>
        <w:t>各事业</w:t>
      </w:r>
      <w:r>
        <w:rPr>
          <w:rFonts w:ascii="方正仿宋_GBK" w:hAnsi="方正仿宋_GBK" w:eastAsia="方正仿宋_GBK" w:cs="方正仿宋_GBK"/>
          <w:color w:val="auto"/>
          <w:sz w:val="32"/>
          <w:szCs w:val="32"/>
          <w:shd w:val="clear" w:color="auto" w:fill="FFFFFF"/>
        </w:rPr>
        <w:t>单位自行列支</w:t>
      </w:r>
      <w:r>
        <w:rPr>
          <w:rFonts w:hint="eastAsia" w:ascii="方正仿宋_GBK" w:hAnsi="方正仿宋_GBK" w:eastAsia="方正仿宋_GBK" w:cs="方正仿宋_GBK"/>
          <w:color w:val="auto"/>
          <w:sz w:val="32"/>
          <w:szCs w:val="32"/>
          <w:shd w:val="clear" w:color="auto" w:fill="FFFFFF"/>
          <w:lang w:eastAsia="zh-CN"/>
        </w:rPr>
        <w:t>；二</w:t>
      </w:r>
      <w:r>
        <w:rPr>
          <w:rFonts w:ascii="方正仿宋_GBK" w:hAnsi="方正仿宋_GBK" w:eastAsia="方正仿宋_GBK" w:cs="方正仿宋_GBK"/>
          <w:color w:val="auto"/>
          <w:sz w:val="32"/>
          <w:szCs w:val="32"/>
          <w:shd w:val="clear" w:color="auto" w:fill="FFFFFF"/>
        </w:rPr>
        <w:t>是本年度火烧店社区基础设施改造工程、美丽宜居村建设、周边环境安全避让搬迁项目、市场主体经济专项扶持经费等</w:t>
      </w:r>
      <w:r>
        <w:rPr>
          <w:rFonts w:hint="eastAsia" w:ascii="方正仿宋_GBK" w:hAnsi="方正仿宋_GBK" w:eastAsia="方正仿宋_GBK" w:cs="方正仿宋_GBK"/>
          <w:color w:val="auto"/>
          <w:sz w:val="32"/>
          <w:szCs w:val="32"/>
          <w:shd w:val="clear" w:color="auto" w:fill="FFFFFF"/>
          <w:lang w:eastAsia="zh-CN"/>
        </w:rPr>
        <w:t>财政拨款收入</w:t>
      </w:r>
      <w:r>
        <w:rPr>
          <w:rFonts w:ascii="方正仿宋_GBK" w:hAnsi="方正仿宋_GBK" w:eastAsia="方正仿宋_GBK" w:cs="方正仿宋_GBK"/>
          <w:color w:val="auto"/>
          <w:sz w:val="32"/>
          <w:szCs w:val="32"/>
          <w:shd w:val="clear" w:color="auto" w:fill="FFFFFF"/>
        </w:rPr>
        <w:t>减少</w:t>
      </w:r>
      <w:r>
        <w:rPr>
          <w:rFonts w:hint="eastAsia" w:ascii="方正仿宋_GBK" w:hAnsi="方正仿宋_GBK" w:eastAsia="方正仿宋_GBK" w:cs="方正仿宋_GBK"/>
          <w:color w:val="auto"/>
          <w:sz w:val="32"/>
          <w:szCs w:val="32"/>
          <w:shd w:val="clear" w:color="auto" w:fill="FFFFFF"/>
          <w:lang w:eastAsia="zh-CN"/>
        </w:rPr>
        <w:t>。</w:t>
      </w:r>
      <w:r>
        <w:rPr>
          <w:rFonts w:hint="default" w:ascii="Times New Roman" w:hAnsi="Times New Roman" w:eastAsia="方正仿宋_GBK"/>
          <w:color w:val="auto"/>
          <w:sz w:val="32"/>
          <w:szCs w:val="32"/>
          <w:shd w:val="clear" w:color="auto" w:fill="FFFFFF"/>
        </w:rPr>
        <w:t>较年初预算数减少241.59万元，下降10.4%</w:t>
      </w:r>
      <w:r>
        <w:rPr>
          <w:rFonts w:ascii="方正仿宋_GBK" w:hAnsi="方正仿宋_GBK" w:eastAsia="方正仿宋_GBK" w:cs="方正仿宋_GBK"/>
          <w:color w:val="auto"/>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lang w:eastAsia="zh-CN"/>
        </w:rPr>
        <w:t>：一</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eastAsia="zh-CN"/>
        </w:rPr>
        <w:t>本年度较上年减少</w:t>
      </w:r>
      <w:r>
        <w:rPr>
          <w:rFonts w:hint="eastAsia" w:ascii="方正仿宋_GBK" w:hAnsi="方正仿宋_GBK" w:eastAsia="方正仿宋_GBK" w:cs="方正仿宋_GBK"/>
          <w:color w:val="auto"/>
          <w:sz w:val="32"/>
          <w:szCs w:val="32"/>
          <w:shd w:val="clear" w:color="auto" w:fill="FFFFFF"/>
          <w:lang w:val="en-US" w:eastAsia="zh-CN"/>
        </w:rPr>
        <w:t>1人，人员经费减少；二是</w:t>
      </w:r>
      <w:r>
        <w:rPr>
          <w:rFonts w:ascii="方正仿宋_GBK" w:hAnsi="方正仿宋_GBK" w:eastAsia="方正仿宋_GBK" w:cs="方正仿宋_GBK"/>
          <w:color w:val="auto"/>
          <w:sz w:val="32"/>
          <w:szCs w:val="32"/>
          <w:shd w:val="clear" w:color="auto" w:fill="FFFFFF"/>
        </w:rPr>
        <w:t>年初公用经费安排方面有所变化、由上年度在政府本级列支转变为</w:t>
      </w:r>
      <w:r>
        <w:rPr>
          <w:rFonts w:hint="eastAsia" w:ascii="方正仿宋_GBK" w:hAnsi="方正仿宋_GBK" w:eastAsia="方正仿宋_GBK" w:cs="方正仿宋_GBK"/>
          <w:color w:val="auto"/>
          <w:sz w:val="32"/>
          <w:szCs w:val="32"/>
          <w:shd w:val="clear" w:color="auto" w:fill="FFFFFF"/>
          <w:lang w:eastAsia="zh-CN"/>
        </w:rPr>
        <w:t>各事业</w:t>
      </w:r>
      <w:r>
        <w:rPr>
          <w:rFonts w:ascii="方正仿宋_GBK" w:hAnsi="方正仿宋_GBK" w:eastAsia="方正仿宋_GBK" w:cs="方正仿宋_GBK"/>
          <w:color w:val="auto"/>
          <w:sz w:val="32"/>
          <w:szCs w:val="32"/>
          <w:shd w:val="clear" w:color="auto" w:fill="FFFFFF"/>
        </w:rPr>
        <w:t>单位自行列支</w:t>
      </w:r>
      <w:r>
        <w:rPr>
          <w:rFonts w:hint="eastAsia" w:ascii="方正仿宋_GBK" w:hAnsi="方正仿宋_GBK" w:eastAsia="方正仿宋_GBK" w:cs="方正仿宋_GBK"/>
          <w:color w:val="auto"/>
          <w:sz w:val="32"/>
          <w:szCs w:val="32"/>
          <w:shd w:val="clear" w:color="auto" w:fill="FFFFFF"/>
          <w:lang w:eastAsia="zh-CN"/>
        </w:rPr>
        <w:t>，公用经费减少；三是</w:t>
      </w:r>
      <w:r>
        <w:rPr>
          <w:rFonts w:ascii="方正仿宋_GBK" w:hAnsi="方正仿宋_GBK" w:eastAsia="方正仿宋_GBK" w:cs="方正仿宋_GBK"/>
          <w:color w:val="auto"/>
          <w:sz w:val="32"/>
          <w:szCs w:val="32"/>
          <w:shd w:val="clear" w:color="auto" w:fill="FFFFFF"/>
        </w:rPr>
        <w:t>周边环境安全避让搬迁项目、市场主体经济专项扶持经费等项目减少</w:t>
      </w:r>
      <w:r>
        <w:rPr>
          <w:rFonts w:hint="eastAsia" w:ascii="方正仿宋_GBK" w:hAnsi="方正仿宋_GBK" w:eastAsia="方正仿宋_GBK" w:cs="方正仿宋_GBK"/>
          <w:color w:val="auto"/>
          <w:sz w:val="32"/>
          <w:szCs w:val="32"/>
          <w:shd w:val="clear" w:color="auto" w:fill="FFFFFF"/>
          <w:lang w:eastAsia="zh-CN"/>
        </w:rPr>
        <w:t>。</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一般公共预算财政拨款支出主要</w:t>
      </w:r>
      <w:r>
        <w:rPr>
          <w:rFonts w:hint="eastAsia" w:ascii="方正仿宋_GBK" w:hAnsi="方正仿宋_GBK" w:eastAsia="方正仿宋_GBK" w:cs="方正仿宋_GBK"/>
          <w:color w:val="auto"/>
          <w:sz w:val="32"/>
          <w:szCs w:val="32"/>
          <w:highlight w:val="none"/>
          <w:shd w:val="clear" w:color="auto" w:fill="FFFFFF"/>
          <w:lang w:eastAsia="zh-CN"/>
        </w:rPr>
        <w:t>用途如下</w:t>
      </w:r>
      <w:r>
        <w:rPr>
          <w:rFonts w:ascii="方正仿宋_GBK" w:hAnsi="方正仿宋_GBK" w:eastAsia="方正仿宋_GBK" w:cs="方正仿宋_GBK"/>
          <w:color w:val="auto"/>
          <w:sz w:val="32"/>
          <w:szCs w:val="32"/>
          <w:highlight w:val="none"/>
          <w:shd w:val="clear" w:color="auto" w:fill="FFFFFF"/>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w:t>
      </w:r>
      <w:r>
        <w:rPr>
          <w:rFonts w:ascii="方正仿宋_GBK" w:hAnsi="方正仿宋_GBK" w:eastAsia="方正仿宋_GBK" w:cs="方正仿宋_GBK"/>
          <w:color w:val="auto"/>
          <w:sz w:val="32"/>
          <w:szCs w:val="32"/>
          <w:shd w:val="clear" w:color="auto" w:fill="FFFFFF"/>
        </w:rPr>
        <w:t>）一般公共服务支出</w:t>
      </w:r>
      <w:r>
        <w:rPr>
          <w:rFonts w:hint="default" w:ascii="Times New Roman" w:hAnsi="Times New Roman" w:eastAsia="方正仿宋_GBK"/>
          <w:color w:val="auto"/>
          <w:sz w:val="32"/>
          <w:szCs w:val="32"/>
          <w:shd w:val="clear" w:color="auto" w:fill="FFFFFF"/>
        </w:rPr>
        <w:t>781.37</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37.5%</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较年初预算数减少493.78万元，下降38.7%</w:t>
      </w:r>
      <w:r>
        <w:rPr>
          <w:rFonts w:ascii="方正仿宋_GBK" w:hAnsi="方正仿宋_GBK" w:eastAsia="方正仿宋_GBK" w:cs="方正仿宋_GBK"/>
          <w:color w:val="auto"/>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lang w:eastAsia="zh-CN"/>
        </w:rPr>
        <w:t>：一</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eastAsia="zh-CN"/>
        </w:rPr>
        <w:t>年中压减公用经费，二是</w:t>
      </w:r>
      <w:r>
        <w:rPr>
          <w:rFonts w:ascii="方正仿宋_GBK" w:hAnsi="方正仿宋_GBK" w:eastAsia="方正仿宋_GBK" w:cs="方正仿宋_GBK"/>
          <w:color w:val="auto"/>
          <w:sz w:val="32"/>
          <w:szCs w:val="32"/>
          <w:shd w:val="clear" w:color="auto" w:fill="FFFFFF"/>
        </w:rPr>
        <w:t>市场主体经济专项扶持经费</w:t>
      </w:r>
      <w:r>
        <w:rPr>
          <w:rFonts w:hint="eastAsia" w:ascii="方正仿宋_GBK" w:hAnsi="方正仿宋_GBK" w:eastAsia="方正仿宋_GBK" w:cs="方正仿宋_GBK"/>
          <w:color w:val="auto"/>
          <w:sz w:val="32"/>
          <w:szCs w:val="32"/>
          <w:shd w:val="clear" w:color="auto" w:fill="FFFFFF"/>
          <w:lang w:eastAsia="zh-CN"/>
        </w:rPr>
        <w:t>拨款</w:t>
      </w:r>
      <w:r>
        <w:rPr>
          <w:rFonts w:ascii="方正仿宋_GBK" w:hAnsi="方正仿宋_GBK" w:eastAsia="方正仿宋_GBK" w:cs="方正仿宋_GBK"/>
          <w:color w:val="auto"/>
          <w:sz w:val="32"/>
          <w:szCs w:val="32"/>
          <w:shd w:val="clear" w:color="auto" w:fill="FFFFFF"/>
        </w:rPr>
        <w:t>减少</w:t>
      </w:r>
      <w:r>
        <w:rPr>
          <w:rFonts w:hint="eastAsia" w:ascii="方正仿宋_GBK" w:hAnsi="方正仿宋_GBK" w:eastAsia="方正仿宋_GBK" w:cs="方正仿宋_GBK"/>
          <w:color w:val="auto"/>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）国防支出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较年初预算数减少120.60万元，下降100.0%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本年度未发生避让搬迁。</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）公共安全支出</w:t>
      </w:r>
      <w:r>
        <w:rPr>
          <w:rFonts w:hint="default" w:ascii="Times New Roman" w:hAnsi="Times New Roman" w:eastAsia="方正仿宋_GBK"/>
          <w:color w:val="auto"/>
          <w:sz w:val="32"/>
          <w:szCs w:val="32"/>
          <w:shd w:val="clear" w:color="auto" w:fill="FFFFFF"/>
        </w:rPr>
        <w:t>0.99</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0.1%</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较年初预算数减少1.51万元，下降60.4%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年初预算不准确，与实际发生业务有误差。</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）教育支出</w:t>
      </w:r>
      <w:r>
        <w:rPr>
          <w:rFonts w:hint="default" w:ascii="Times New Roman" w:hAnsi="Times New Roman" w:eastAsia="方正仿宋_GBK"/>
          <w:color w:val="auto"/>
          <w:sz w:val="32"/>
          <w:szCs w:val="32"/>
          <w:shd w:val="clear" w:color="auto" w:fill="FFFFFF"/>
        </w:rPr>
        <w:t>3.46</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0.2%</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较年初预算数减少3.02万元，下降46.6%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本年度未发生职工教育支出。</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5</w:t>
      </w:r>
      <w:r>
        <w:rPr>
          <w:rFonts w:ascii="方正仿宋_GBK" w:hAnsi="方正仿宋_GBK" w:eastAsia="方正仿宋_GBK" w:cs="方正仿宋_GBK"/>
          <w:color w:val="auto"/>
          <w:sz w:val="32"/>
          <w:szCs w:val="32"/>
          <w:shd w:val="clear" w:color="auto" w:fill="FFFFFF"/>
        </w:rPr>
        <w:t>）文化旅游体育与传媒支出</w:t>
      </w:r>
      <w:r>
        <w:rPr>
          <w:rFonts w:hint="default" w:ascii="Times New Roman" w:hAnsi="Times New Roman" w:eastAsia="方正仿宋_GBK"/>
          <w:color w:val="auto"/>
          <w:sz w:val="32"/>
          <w:szCs w:val="32"/>
          <w:shd w:val="clear" w:color="auto" w:fill="FFFFFF"/>
        </w:rPr>
        <w:t>9.68</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0.5%</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较年初预算数增加0.40万元，增长4.3%</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年中追加文化免开上级补助资金，用于开展文化活动。</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6</w:t>
      </w:r>
      <w:r>
        <w:rPr>
          <w:rFonts w:ascii="方正仿宋_GBK" w:hAnsi="方正仿宋_GBK" w:eastAsia="方正仿宋_GBK" w:cs="方正仿宋_GBK"/>
          <w:color w:val="auto"/>
          <w:sz w:val="32"/>
          <w:szCs w:val="32"/>
          <w:shd w:val="clear" w:color="auto" w:fill="FFFFFF"/>
        </w:rPr>
        <w:t>）社会保障</w:t>
      </w:r>
      <w:r>
        <w:rPr>
          <w:rFonts w:hint="eastAsia" w:ascii="方正仿宋_GBK" w:hAnsi="方正仿宋_GBK" w:eastAsia="方正仿宋_GBK" w:cs="方正仿宋_GBK"/>
          <w:color w:val="auto"/>
          <w:sz w:val="32"/>
          <w:szCs w:val="32"/>
          <w:shd w:val="clear" w:color="auto" w:fill="FFFFFF"/>
          <w:lang w:eastAsia="zh-CN"/>
        </w:rPr>
        <w:t>和</w:t>
      </w:r>
      <w:r>
        <w:rPr>
          <w:rFonts w:ascii="方正仿宋_GBK" w:hAnsi="方正仿宋_GBK" w:eastAsia="方正仿宋_GBK" w:cs="方正仿宋_GBK"/>
          <w:color w:val="auto"/>
          <w:sz w:val="32"/>
          <w:szCs w:val="32"/>
          <w:shd w:val="clear" w:color="auto" w:fill="FFFFFF"/>
        </w:rPr>
        <w:t>就业支出</w:t>
      </w:r>
      <w:r>
        <w:rPr>
          <w:rFonts w:hint="default" w:ascii="Times New Roman" w:hAnsi="Times New Roman" w:eastAsia="方正仿宋_GBK"/>
          <w:color w:val="auto"/>
          <w:sz w:val="32"/>
          <w:szCs w:val="32"/>
          <w:shd w:val="clear" w:color="auto" w:fill="FFFFFF"/>
        </w:rPr>
        <w:t>184.67</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8.9%</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较年初预算数减少10.53万元，下降5.4%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年初预算不准确，</w:t>
      </w:r>
      <w:r>
        <w:rPr>
          <w:rFonts w:hint="eastAsia" w:ascii="方正仿宋_GBK" w:hAnsi="方正仿宋_GBK" w:eastAsia="方正仿宋_GBK" w:cs="方正仿宋_GBK"/>
          <w:color w:val="auto"/>
          <w:sz w:val="32"/>
          <w:szCs w:val="32"/>
          <w:shd w:val="clear" w:color="auto" w:fill="FFFFFF"/>
        </w:rPr>
        <w:t>30年以上党龄村（社区）老党员生活补贴</w:t>
      </w:r>
      <w:r>
        <w:rPr>
          <w:rFonts w:hint="eastAsia" w:ascii="方正仿宋_GBK" w:hAnsi="方正仿宋_GBK" w:eastAsia="方正仿宋_GBK" w:cs="方正仿宋_GBK"/>
          <w:color w:val="auto"/>
          <w:sz w:val="32"/>
          <w:szCs w:val="32"/>
          <w:shd w:val="clear" w:color="auto" w:fill="FFFFFF"/>
          <w:lang w:eastAsia="zh-CN"/>
        </w:rPr>
        <w:t>、特困人员死亡丧葬、特困人员照料护理、百岁以上老人营养、敬老院收住失能、半失能特困等资金据实发放。</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7</w:t>
      </w:r>
      <w:r>
        <w:rPr>
          <w:rFonts w:ascii="方正仿宋_GBK" w:hAnsi="方正仿宋_GBK"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49.66</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2.4%</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较年初预算数增加4.31万元，增长9.5%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年末新增基本医疗保险工作、医保服务工程建设等项目，用于推进医保缴费工作。</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8</w:t>
      </w:r>
      <w:r>
        <w:rPr>
          <w:rFonts w:ascii="方正仿宋_GBK" w:hAnsi="方正仿宋_GBK" w:eastAsia="方正仿宋_GBK" w:cs="方正仿宋_GBK"/>
          <w:color w:val="auto"/>
          <w:sz w:val="32"/>
          <w:szCs w:val="32"/>
          <w:shd w:val="clear" w:color="auto" w:fill="FFFFFF"/>
        </w:rPr>
        <w:t>）节能环保支出</w:t>
      </w:r>
      <w:r>
        <w:rPr>
          <w:rFonts w:hint="default" w:ascii="Times New Roman" w:hAnsi="Times New Roman" w:eastAsia="方正仿宋_GBK"/>
          <w:color w:val="auto"/>
          <w:sz w:val="32"/>
          <w:szCs w:val="32"/>
          <w:shd w:val="clear" w:color="auto" w:fill="FFFFFF"/>
        </w:rPr>
        <w:t>5.80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0.3%</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较年初预算数减少1.80万元，下降23.7%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年初预算不准确，与实际业务工作存在误差。</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9</w:t>
      </w:r>
      <w:r>
        <w:rPr>
          <w:rFonts w:ascii="方正仿宋_GBK" w:hAnsi="方正仿宋_GBK" w:eastAsia="方正仿宋_GBK" w:cs="方正仿宋_GBK"/>
          <w:color w:val="auto"/>
          <w:sz w:val="32"/>
          <w:szCs w:val="32"/>
          <w:shd w:val="clear" w:color="auto" w:fill="FFFFFF"/>
        </w:rPr>
        <w:t>）城乡社区支出</w:t>
      </w:r>
      <w:r>
        <w:rPr>
          <w:rFonts w:hint="default" w:ascii="Times New Roman" w:hAnsi="Times New Roman" w:eastAsia="方正仿宋_GBK"/>
          <w:color w:val="auto"/>
          <w:sz w:val="32"/>
          <w:szCs w:val="32"/>
          <w:shd w:val="clear" w:color="auto" w:fill="FFFFFF"/>
        </w:rPr>
        <w:t>45.41</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2.2%</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较年初预算数减少44.62万元，下降49.6%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年初预算不准确，与实际业务工作存在误差。</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w:t>
      </w:r>
      <w:r>
        <w:rPr>
          <w:rFonts w:hint="eastAsia" w:ascii="Times New Roman" w:hAnsi="Times New Roman" w:eastAsia="方正仿宋_GBK"/>
          <w:color w:val="auto"/>
          <w:sz w:val="32"/>
          <w:szCs w:val="32"/>
          <w:shd w:val="clear" w:color="auto" w:fill="FFFFFF"/>
          <w:lang w:val="en-US" w:eastAsia="zh-CN"/>
        </w:rPr>
        <w:t>0</w:t>
      </w:r>
      <w:r>
        <w:rPr>
          <w:rFonts w:ascii="方正仿宋_GBK" w:hAnsi="方正仿宋_GBK" w:eastAsia="方正仿宋_GBK" w:cs="方正仿宋_GBK"/>
          <w:color w:val="auto"/>
          <w:sz w:val="32"/>
          <w:szCs w:val="32"/>
          <w:shd w:val="clear" w:color="auto" w:fill="FFFFFF"/>
        </w:rPr>
        <w:t>）农林水支出</w:t>
      </w:r>
      <w:r>
        <w:rPr>
          <w:rFonts w:hint="default" w:ascii="Times New Roman" w:hAnsi="Times New Roman" w:eastAsia="方正仿宋_GBK"/>
          <w:color w:val="auto"/>
          <w:sz w:val="32"/>
          <w:szCs w:val="32"/>
          <w:shd w:val="clear" w:color="auto" w:fill="FFFFFF"/>
        </w:rPr>
        <w:t>745.79</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35.8%</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较年初预算数增加369.76万元，增长98.3%</w:t>
      </w:r>
      <w:r>
        <w:rPr>
          <w:rFonts w:ascii="方正仿宋_GBK" w:hAnsi="方正仿宋_GBK" w:eastAsia="方正仿宋_GBK" w:cs="方正仿宋_GBK"/>
          <w:color w:val="auto"/>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lang w:eastAsia="zh-CN"/>
        </w:rPr>
        <w:t>：一</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eastAsia="zh-CN"/>
        </w:rPr>
        <w:t>年中新增农业防灾减灾、动物防疫社会化服务等项目：二是村干部工资调标，调整村社区运行保障项目。</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w:t>
      </w:r>
      <w:r>
        <w:rPr>
          <w:rFonts w:hint="eastAsia" w:ascii="Times New Roman" w:hAnsi="Times New Roman" w:eastAsia="方正仿宋_GBK"/>
          <w:color w:val="auto"/>
          <w:sz w:val="32"/>
          <w:szCs w:val="32"/>
          <w:shd w:val="clear" w:color="auto" w:fill="FFFFFF"/>
          <w:lang w:val="en-US" w:eastAsia="zh-CN"/>
        </w:rPr>
        <w:t>1</w:t>
      </w:r>
      <w:r>
        <w:rPr>
          <w:rFonts w:ascii="方正仿宋_GBK" w:hAnsi="方正仿宋_GBK" w:eastAsia="方正仿宋_GBK" w:cs="方正仿宋_GBK"/>
          <w:color w:val="auto"/>
          <w:sz w:val="32"/>
          <w:szCs w:val="32"/>
          <w:shd w:val="clear" w:color="auto" w:fill="FFFFFF"/>
        </w:rPr>
        <w:t>）交通运输支出</w:t>
      </w:r>
      <w:r>
        <w:rPr>
          <w:rFonts w:hint="default" w:ascii="Times New Roman" w:hAnsi="Times New Roman" w:eastAsia="方正仿宋_GBK"/>
          <w:color w:val="auto"/>
          <w:sz w:val="32"/>
          <w:szCs w:val="32"/>
          <w:shd w:val="clear" w:color="auto" w:fill="FFFFFF"/>
        </w:rPr>
        <w:t>147.79</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7.1%</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较年初预算数减少9.16万元，下降5.8%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本年度公路建设未竣工结算，尾款未拨付。</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w:t>
      </w:r>
      <w:r>
        <w:rPr>
          <w:rFonts w:hint="eastAsia" w:ascii="Times New Roman" w:hAnsi="Times New Roman" w:eastAsia="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自然资源海洋气象等支出</w:t>
      </w:r>
      <w:r>
        <w:rPr>
          <w:rFonts w:hint="default" w:ascii="Times New Roman" w:hAnsi="Times New Roman" w:eastAsia="方正仿宋_GBK"/>
          <w:color w:val="auto"/>
          <w:sz w:val="32"/>
          <w:szCs w:val="32"/>
          <w:shd w:val="clear" w:color="auto" w:fill="FFFFFF"/>
        </w:rPr>
        <w:t>67.95</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3.3%</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较年初预算数增加67.95万元，增长100.0%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本年新增荣昌区耕地缺口恢复补足项目。</w:t>
      </w:r>
    </w:p>
    <w:p>
      <w:pPr>
        <w:spacing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w:t>
      </w:r>
      <w:r>
        <w:rPr>
          <w:rFonts w:hint="eastAsia" w:ascii="Times New Roman" w:hAnsi="Times New Roman" w:eastAsia="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w:t>
      </w:r>
      <w:r>
        <w:rPr>
          <w:rFonts w:hint="default" w:ascii="Times New Roman" w:hAnsi="Times New Roman" w:eastAsia="方正仿宋_GBK"/>
          <w:color w:val="auto"/>
          <w:sz w:val="32"/>
          <w:szCs w:val="32"/>
          <w:shd w:val="clear" w:color="auto" w:fill="FFFFFF"/>
        </w:rPr>
        <w:t>42.26</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2.0%</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较年初预算数增加1.00万元，增长2.4%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年初工资基数预算不精确，公积金基数调整，形成误差。</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10"/>
          <w:rFonts w:hint="default" w:ascii="Times New Roman" w:hAnsi="Times New Roman" w:eastAsia="方正仿宋_GBK"/>
          <w:color w:val="auto"/>
          <w:sz w:val="32"/>
          <w:szCs w:val="32"/>
          <w:shd w:val="clear" w:color="auto" w:fill="FFFFFF"/>
        </w:rPr>
        <w:t>3</w:t>
      </w:r>
      <w:r>
        <w:rPr>
          <w:rStyle w:val="10"/>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年度年末一般公共预算财政拨款结转和结余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2024年度无年末结转和结余。</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年度一般公共财政拨款基本支出</w:t>
      </w:r>
      <w:r>
        <w:rPr>
          <w:rFonts w:hint="default" w:ascii="Times New Roman" w:hAnsi="Times New Roman" w:eastAsia="方正仿宋_GBK"/>
          <w:color w:val="auto"/>
          <w:sz w:val="32"/>
          <w:szCs w:val="32"/>
          <w:shd w:val="clear" w:color="auto" w:fill="FFFFFF"/>
        </w:rPr>
        <w:t>712.35</w:t>
      </w:r>
      <w:r>
        <w:rPr>
          <w:rFonts w:ascii="方正仿宋_GBK" w:hAnsi="方正仿宋_GBK" w:eastAsia="方正仿宋_GBK" w:cs="方正仿宋_GBK"/>
          <w:color w:val="auto"/>
          <w:sz w:val="32"/>
          <w:szCs w:val="32"/>
          <w:shd w:val="clear" w:color="auto" w:fill="FFFFFF"/>
        </w:rPr>
        <w:t>万元。</w:t>
      </w:r>
    </w:p>
    <w:p>
      <w:pPr>
        <w:pStyle w:val="6"/>
        <w:snapToGrid w:val="0"/>
        <w:spacing w:before="0" w:beforeAutospacing="0" w:after="0" w:afterAutospacing="0" w:line="596" w:lineRule="exact"/>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其中：</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人员经费</w:t>
      </w:r>
      <w:r>
        <w:rPr>
          <w:rFonts w:hint="default" w:ascii="Times New Roman" w:hAnsi="Times New Roman" w:eastAsia="方正仿宋_GBK"/>
          <w:color w:val="auto"/>
          <w:sz w:val="32"/>
          <w:szCs w:val="32"/>
          <w:shd w:val="clear" w:color="auto" w:fill="FFFFFF"/>
        </w:rPr>
        <w:t>613.27</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与2023年度相比，减少25.96万元，下降4.1%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本年度较上年减少</w:t>
      </w:r>
      <w:r>
        <w:rPr>
          <w:rFonts w:hint="eastAsia" w:ascii="方正仿宋_GBK" w:hAnsi="方正仿宋_GBK" w:eastAsia="方正仿宋_GBK" w:cs="方正仿宋_GBK"/>
          <w:color w:val="auto"/>
          <w:sz w:val="32"/>
          <w:szCs w:val="32"/>
          <w:shd w:val="clear" w:color="auto" w:fill="FFFFFF"/>
          <w:lang w:val="en-US" w:eastAsia="zh-CN"/>
        </w:rPr>
        <w:t>1人，人员经费减少。</w:t>
      </w:r>
      <w:r>
        <w:rPr>
          <w:rFonts w:ascii="方正仿宋_GBK" w:hAnsi="方正仿宋_GBK" w:eastAsia="方正仿宋_GBK" w:cs="方正仿宋_GBK"/>
          <w:color w:val="auto"/>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lang w:val="en-US" w:eastAsia="zh-CN"/>
        </w:rPr>
        <w:t>在编、在岗人员基本工资、绩效工资、津贴补贴各项奖金、社会保障缴费、单位其他长期聘用人员及部分离退休人员经费等。</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公用经费</w:t>
      </w:r>
      <w:r>
        <w:rPr>
          <w:rFonts w:hint="default" w:ascii="Times New Roman" w:hAnsi="Times New Roman" w:eastAsia="方正仿宋_GBK"/>
          <w:color w:val="auto"/>
          <w:sz w:val="32"/>
          <w:szCs w:val="32"/>
          <w:shd w:val="clear" w:color="auto" w:fill="FFFFFF"/>
        </w:rPr>
        <w:t>99.08</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与2023年度相比，减少285.27万元，下降74.2%</w:t>
      </w:r>
      <w:r>
        <w:rPr>
          <w:rFonts w:ascii="方正仿宋_GBK" w:hAnsi="方正仿宋_GBK" w:eastAsia="方正仿宋_GBK" w:cs="方正仿宋_GBK"/>
          <w:color w:val="auto"/>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lang w:eastAsia="zh-CN"/>
        </w:rPr>
        <w:t>：一</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eastAsia="zh-CN"/>
        </w:rPr>
        <w:t>本年较上年减少</w:t>
      </w:r>
      <w:r>
        <w:rPr>
          <w:rFonts w:hint="eastAsia" w:ascii="方正仿宋_GBK" w:hAnsi="方正仿宋_GBK" w:eastAsia="方正仿宋_GBK" w:cs="方正仿宋_GBK"/>
          <w:color w:val="auto"/>
          <w:sz w:val="32"/>
          <w:szCs w:val="32"/>
          <w:shd w:val="clear" w:color="auto" w:fill="FFFFFF"/>
          <w:lang w:val="en-US" w:eastAsia="zh-CN"/>
        </w:rPr>
        <w:t>1人，公用经费减少；二是</w:t>
      </w:r>
      <w:r>
        <w:rPr>
          <w:rFonts w:ascii="方正仿宋_GBK" w:hAnsi="方正仿宋_GBK" w:eastAsia="方正仿宋_GBK" w:cs="方正仿宋_GBK"/>
          <w:color w:val="auto"/>
          <w:sz w:val="32"/>
          <w:szCs w:val="32"/>
          <w:shd w:val="clear" w:color="auto" w:fill="FFFFFF"/>
        </w:rPr>
        <w:t>年初公用经费安排方面有所变化、由上年度在政府本级列支转变为</w:t>
      </w:r>
      <w:r>
        <w:rPr>
          <w:rFonts w:hint="eastAsia" w:ascii="方正仿宋_GBK" w:hAnsi="方正仿宋_GBK" w:eastAsia="方正仿宋_GBK" w:cs="方正仿宋_GBK"/>
          <w:color w:val="auto"/>
          <w:sz w:val="32"/>
          <w:szCs w:val="32"/>
          <w:shd w:val="clear" w:color="auto" w:fill="FFFFFF"/>
          <w:lang w:eastAsia="zh-CN"/>
        </w:rPr>
        <w:t>各事业</w:t>
      </w:r>
      <w:r>
        <w:rPr>
          <w:rFonts w:ascii="方正仿宋_GBK" w:hAnsi="方正仿宋_GBK" w:eastAsia="方正仿宋_GBK" w:cs="方正仿宋_GBK"/>
          <w:color w:val="auto"/>
          <w:sz w:val="32"/>
          <w:szCs w:val="32"/>
          <w:shd w:val="clear" w:color="auto" w:fill="FFFFFF"/>
        </w:rPr>
        <w:t>单位自行列支</w:t>
      </w:r>
      <w:r>
        <w:rPr>
          <w:rFonts w:hint="eastAsia" w:ascii="方正仿宋_GBK" w:hAnsi="方正仿宋_GBK" w:eastAsia="方正仿宋_GBK" w:cs="方正仿宋_GBK"/>
          <w:color w:val="auto"/>
          <w:sz w:val="32"/>
          <w:szCs w:val="32"/>
          <w:shd w:val="clear" w:color="auto" w:fill="FFFFFF"/>
          <w:lang w:eastAsia="zh-CN"/>
        </w:rPr>
        <w:t>，公用经费低</w:t>
      </w:r>
      <w:r>
        <w:rPr>
          <w:rFonts w:ascii="方正仿宋_GBK" w:hAnsi="方正仿宋_GBK" w:eastAsia="方正仿宋_GBK" w:cs="方正仿宋_GBK"/>
          <w:color w:val="auto"/>
          <w:sz w:val="32"/>
          <w:szCs w:val="32"/>
          <w:shd w:val="clear" w:color="auto" w:fill="FFFFFF"/>
        </w:rPr>
        <w:t>于上年水平</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公用经费用途主要包括</w:t>
      </w:r>
      <w:r>
        <w:rPr>
          <w:rFonts w:hint="eastAsia" w:ascii="方正仿宋_GBK" w:hAnsi="方正仿宋_GBK" w:eastAsia="方正仿宋_GBK" w:cs="方正仿宋_GBK"/>
          <w:color w:val="auto"/>
          <w:sz w:val="32"/>
          <w:szCs w:val="32"/>
          <w:shd w:val="clear" w:color="auto" w:fill="FFFFFF"/>
          <w:lang w:val="en-US" w:eastAsia="zh-CN"/>
        </w:rPr>
        <w:t>办公费、印刷费、咨询费、水电费、邮电费、差旅费、会议费、公务接待费、劳务费、公务用车运行维护费、其他商品和服务支出等费用支出。</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年度政府性基金预算财政拨款年初结转结余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万元，年末结转结余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万元。本年收入</w:t>
      </w:r>
      <w:r>
        <w:rPr>
          <w:rFonts w:hint="default" w:ascii="Times New Roman" w:hAnsi="Times New Roman" w:eastAsia="方正仿宋_GBK"/>
          <w:color w:val="auto"/>
          <w:sz w:val="32"/>
          <w:szCs w:val="32"/>
          <w:shd w:val="clear" w:color="auto" w:fill="FFFFFF"/>
        </w:rPr>
        <w:t>516.75</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与2023年度相比，增加317.15万元，增长158.9%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本年度老旧小区改造工程财政拨款收入较上年增加。</w:t>
      </w:r>
      <w:r>
        <w:rPr>
          <w:rFonts w:ascii="方正仿宋_GBK" w:hAnsi="方正仿宋_GBK" w:eastAsia="方正仿宋_GBK" w:cs="方正仿宋_GBK"/>
          <w:color w:val="auto"/>
          <w:sz w:val="32"/>
          <w:szCs w:val="32"/>
          <w:shd w:val="clear" w:color="auto" w:fill="FFFFFF"/>
        </w:rPr>
        <w:t>本年支出</w:t>
      </w:r>
      <w:r>
        <w:rPr>
          <w:rFonts w:hint="default" w:ascii="Times New Roman" w:hAnsi="Times New Roman" w:eastAsia="方正仿宋_GBK"/>
          <w:color w:val="auto"/>
          <w:sz w:val="32"/>
          <w:szCs w:val="32"/>
          <w:shd w:val="clear" w:color="auto" w:fill="FFFFFF"/>
        </w:rPr>
        <w:t>516.75</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与2023年度相比，增加317.15万元，增长158.9%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依据按施工进度依规拨付工程进度款。</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方正仿宋_GBK" w:hAnsi="方正仿宋_GBK" w:eastAsia="方正仿宋_GBK" w:cs="方正仿宋_GBK"/>
          <w:color w:val="auto"/>
          <w:sz w:val="32"/>
          <w:szCs w:val="32"/>
          <w:shd w:val="clear" w:color="auto" w:fill="FFFFFF"/>
          <w:lang w:val="en-US" w:eastAsia="zh-CN"/>
        </w:rPr>
        <w:t>本</w:t>
      </w:r>
      <w:r>
        <w:rPr>
          <w:rFonts w:hint="eastAsia" w:ascii="方正仿宋_GBK" w:hAnsi="方正仿宋_GBK" w:eastAsia="方正仿宋_GBK" w:cs="方正仿宋_GBK"/>
          <w:color w:val="auto"/>
          <w:sz w:val="32"/>
          <w:szCs w:val="32"/>
          <w:shd w:val="clear" w:color="auto" w:fill="FFFFFF"/>
          <w:lang w:val="en-US" w:eastAsia="zh-CN"/>
        </w:rPr>
        <w:t>单位</w:t>
      </w:r>
      <w:r>
        <w:rPr>
          <w:rFonts w:hint="default" w:ascii="方正仿宋_GBK" w:hAnsi="方正仿宋_GBK" w:eastAsia="方正仿宋_GBK" w:cs="方正仿宋_GBK"/>
          <w:color w:val="auto"/>
          <w:sz w:val="32"/>
          <w:szCs w:val="32"/>
          <w:shd w:val="clear" w:color="auto" w:fill="FFFFFF"/>
          <w:lang w:val="en-US" w:eastAsia="zh-CN"/>
        </w:rPr>
        <w:t>2024年度无国有资本经营预算财政拨款支出</w:t>
      </w:r>
      <w:r>
        <w:rPr>
          <w:rFonts w:hint="eastAsia" w:ascii="方正仿宋_GBK" w:hAnsi="方正仿宋_GBK" w:eastAsia="方正仿宋_GBK" w:cs="方正仿宋_GBK"/>
          <w:color w:val="auto"/>
          <w:sz w:val="32"/>
          <w:szCs w:val="32"/>
          <w:shd w:val="clear" w:color="auto" w:fill="FFFFFF"/>
          <w:lang w:val="en-US" w:eastAsia="zh-CN"/>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color w:val="auto"/>
          <w:sz w:val="32"/>
          <w:szCs w:val="32"/>
          <w:shd w:val="clear" w:color="auto" w:fill="FFFFFF"/>
        </w:rPr>
      </w:pPr>
      <w:r>
        <w:rPr>
          <w:rStyle w:val="10"/>
          <w:rFonts w:ascii="黑体" w:hAnsi="黑体" w:eastAsia="黑体" w:cs="黑体"/>
          <w:color w:val="auto"/>
          <w:sz w:val="32"/>
          <w:szCs w:val="32"/>
          <w:shd w:val="clear" w:color="auto" w:fill="FFFFFF"/>
        </w:rPr>
        <w:t>三、</w:t>
      </w:r>
      <w:r>
        <w:rPr>
          <w:rStyle w:val="10"/>
          <w:rFonts w:hint="eastAsia" w:ascii="黑体" w:hAnsi="黑体" w:eastAsia="黑体" w:cs="黑体"/>
          <w:color w:val="auto"/>
          <w:sz w:val="32"/>
          <w:szCs w:val="32"/>
          <w:shd w:val="clear" w:color="auto" w:fill="FFFFFF"/>
          <w:lang w:eastAsia="zh-CN"/>
        </w:rPr>
        <w:t>财政拨款</w:t>
      </w:r>
      <w:r>
        <w:rPr>
          <w:rStyle w:val="10"/>
          <w:rFonts w:ascii="黑体" w:hAnsi="黑体" w:eastAsia="黑体" w:cs="黑体"/>
          <w:color w:val="auto"/>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（一）“三公”经费支出总体情况说明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年度“三公”经费支出共计</w:t>
      </w:r>
      <w:r>
        <w:rPr>
          <w:rFonts w:hint="default" w:ascii="Times New Roman" w:hAnsi="Times New Roman" w:eastAsia="方正仿宋_GBK"/>
          <w:color w:val="auto"/>
          <w:sz w:val="32"/>
          <w:szCs w:val="32"/>
          <w:shd w:val="clear" w:color="auto" w:fill="FFFFFF"/>
        </w:rPr>
        <w:t>10.61</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较年初预算数减少9.39万元，下降47.0%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厉行节约，</w:t>
      </w:r>
      <w:r>
        <w:rPr>
          <w:rFonts w:hint="eastAsia" w:ascii="方正仿宋_GBK" w:hAnsi="方正仿宋_GBK" w:eastAsia="方正仿宋_GBK" w:cs="方正仿宋_GBK"/>
          <w:color w:val="auto"/>
          <w:sz w:val="32"/>
          <w:szCs w:val="32"/>
          <w:shd w:val="clear" w:color="auto" w:fill="FFFFFF"/>
          <w:lang w:val="en-US" w:eastAsia="zh-CN"/>
        </w:rPr>
        <w:t>单位内部加强预算管理，对“三公”经费进行严格的预算编制和控制。</w:t>
      </w:r>
      <w:r>
        <w:rPr>
          <w:rFonts w:hint="default" w:ascii="Times New Roman" w:hAnsi="Times New Roman" w:eastAsia="方正仿宋_GBK"/>
          <w:color w:val="auto"/>
          <w:sz w:val="32"/>
          <w:szCs w:val="32"/>
          <w:shd w:val="clear" w:color="auto" w:fill="FFFFFF"/>
        </w:rPr>
        <w:t>较上年支出数减少0.73万元，下降6.4%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实时监控“三公”经费的支出情况，对超预算或不合理的支出及时进行调整和纠正。</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因公出国（境）费用</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2024年度本单位无</w:t>
      </w:r>
      <w:r>
        <w:rPr>
          <w:rFonts w:ascii="方正仿宋_GBK" w:hAnsi="方正仿宋_GBK" w:eastAsia="方正仿宋_GBK" w:cs="方正仿宋_GBK"/>
          <w:color w:val="auto"/>
          <w:sz w:val="32"/>
          <w:szCs w:val="32"/>
          <w:shd w:val="clear" w:color="auto" w:fill="FFFFFF"/>
        </w:rPr>
        <w:t>因公出国（境）费用</w:t>
      </w:r>
      <w:r>
        <w:rPr>
          <w:rFonts w:hint="eastAsia" w:ascii="方正仿宋_GBK" w:hAnsi="方正仿宋_GBK" w:eastAsia="方正仿宋_GBK" w:cs="方正仿宋_GBK"/>
          <w:color w:val="auto"/>
          <w:sz w:val="32"/>
          <w:szCs w:val="32"/>
          <w:shd w:val="clear" w:color="auto" w:fill="FFFFFF"/>
          <w:lang w:eastAsia="zh-CN"/>
        </w:rPr>
        <w:t>支出。</w:t>
      </w:r>
    </w:p>
    <w:p>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ascii="方正仿宋_GBK" w:hAnsi="方正仿宋_GBK" w:eastAsia="方正仿宋_GBK" w:cs="方正仿宋_GBK"/>
          <w:color w:val="auto"/>
          <w:sz w:val="32"/>
          <w:szCs w:val="32"/>
          <w:shd w:val="clear" w:color="auto" w:fill="FFFFFF"/>
        </w:rPr>
        <w:t>车购置费</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2024年度未购置公务车</w:t>
      </w:r>
      <w:r>
        <w:rPr>
          <w:rFonts w:ascii="方正仿宋_GBK" w:hAnsi="方正仿宋_GBK" w:eastAsia="方正仿宋_GBK" w:cs="方正仿宋_GBK"/>
          <w:color w:val="auto"/>
          <w:sz w:val="32"/>
          <w:szCs w:val="32"/>
          <w:shd w:val="clear" w:color="auto" w:fill="FFFFFF"/>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ascii="方正仿宋_GBK" w:hAnsi="方正仿宋_GBK" w:eastAsia="方正仿宋_GBK" w:cs="方正仿宋_GBK"/>
          <w:color w:val="auto"/>
          <w:sz w:val="32"/>
          <w:szCs w:val="32"/>
          <w:shd w:val="clear" w:color="auto" w:fill="FFFFFF"/>
        </w:rPr>
        <w:t>车运行维护费</w:t>
      </w:r>
      <w:r>
        <w:rPr>
          <w:rFonts w:hint="default" w:ascii="Times New Roman" w:hAnsi="Times New Roman" w:eastAsia="方正仿宋_GBK"/>
          <w:color w:val="auto"/>
          <w:sz w:val="32"/>
          <w:szCs w:val="32"/>
          <w:shd w:val="clear" w:color="auto" w:fill="FFFFFF"/>
        </w:rPr>
        <w:t>6.32</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val="en-US" w:eastAsia="zh-CN"/>
        </w:rPr>
        <w:t>机要文件交换、因公出行、镇辖区管辖范围内各项业务检查等工作所需车辆的燃料费、维修费、过桥过路费、保险费等。</w:t>
      </w:r>
      <w:r>
        <w:rPr>
          <w:rFonts w:ascii="方正仿宋_GBK" w:hAnsi="方正仿宋_GBK" w:eastAsia="方正仿宋_GBK" w:cs="方正仿宋_GBK"/>
          <w:color w:val="auto"/>
          <w:sz w:val="32"/>
          <w:szCs w:val="32"/>
          <w:shd w:val="clear" w:color="auto" w:fill="FFFFFF"/>
        </w:rPr>
        <w:t>费用支出</w:t>
      </w:r>
      <w:r>
        <w:rPr>
          <w:rFonts w:hint="default" w:ascii="Times New Roman" w:hAnsi="Times New Roman" w:eastAsia="方正仿宋_GBK"/>
          <w:color w:val="auto"/>
          <w:sz w:val="32"/>
          <w:szCs w:val="32"/>
          <w:shd w:val="clear" w:color="auto" w:fill="FFFFFF"/>
        </w:rPr>
        <w:t>较年初预算数减少3.68万元，下降36.8%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厉行节约，</w:t>
      </w:r>
      <w:r>
        <w:rPr>
          <w:rFonts w:hint="eastAsia" w:ascii="方正仿宋_GBK" w:hAnsi="方正仿宋_GBK" w:eastAsia="方正仿宋_GBK" w:cs="方正仿宋_GBK"/>
          <w:color w:val="auto"/>
          <w:sz w:val="32"/>
          <w:szCs w:val="32"/>
          <w:shd w:val="clear" w:color="auto" w:fill="FFFFFF"/>
          <w:lang w:val="en-US" w:eastAsia="zh-CN"/>
        </w:rPr>
        <w:t>单位内部加强管理。</w:t>
      </w:r>
      <w:r>
        <w:rPr>
          <w:rFonts w:hint="default" w:ascii="Times New Roman" w:hAnsi="Times New Roman" w:eastAsia="方正仿宋_GBK"/>
          <w:color w:val="auto"/>
          <w:sz w:val="32"/>
          <w:szCs w:val="32"/>
          <w:shd w:val="clear" w:color="auto" w:fill="FFFFFF"/>
        </w:rPr>
        <w:t>较上年支出数减少0.98万元，下降13.4%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与资产系统衔接，划分公车所属单位，在对应单位进行列支。</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color w:val="auto"/>
          <w:sz w:val="32"/>
          <w:szCs w:val="32"/>
          <w:shd w:val="clear" w:color="auto" w:fill="FFFFFF"/>
        </w:rPr>
        <w:t>公务接待费</w:t>
      </w:r>
      <w:r>
        <w:rPr>
          <w:rFonts w:hint="default" w:ascii="Times New Roman" w:hAnsi="Times New Roman" w:eastAsia="方正仿宋_GBK"/>
          <w:color w:val="auto"/>
          <w:sz w:val="32"/>
          <w:szCs w:val="32"/>
          <w:shd w:val="clear" w:color="auto" w:fill="FFFFFF"/>
        </w:rPr>
        <w:t>4.28</w:t>
      </w:r>
      <w:r>
        <w:rPr>
          <w:rFonts w:ascii="方正仿宋_GBK" w:hAnsi="方正仿宋_GBK" w:eastAsia="方正仿宋_GBK" w:cs="方正仿宋_GBK"/>
          <w:color w:val="auto"/>
          <w:sz w:val="32"/>
          <w:szCs w:val="32"/>
          <w:shd w:val="clear" w:color="auto" w:fill="FFFFFF"/>
        </w:rPr>
        <w:t>万元，主要用于接待</w:t>
      </w:r>
      <w:r>
        <w:rPr>
          <w:rFonts w:hint="eastAsia" w:ascii="方正仿宋_GBK" w:hAnsi="方正仿宋_GBK" w:eastAsia="方正仿宋_GBK" w:cs="方正仿宋_GBK"/>
          <w:color w:val="auto"/>
          <w:sz w:val="32"/>
          <w:szCs w:val="32"/>
          <w:shd w:val="clear" w:color="auto" w:fill="FFFFFF"/>
          <w:lang w:val="en-US" w:eastAsia="zh-CN"/>
        </w:rPr>
        <w:t>各部门到本单位学习调研各项政府工作，接受相关部门检查指导工作，本单位为发展招商引资等总部经济业务所发生的接待支出。</w:t>
      </w:r>
      <w:r>
        <w:rPr>
          <w:rFonts w:ascii="方正仿宋_GBK" w:hAnsi="方正仿宋_GBK" w:eastAsia="方正仿宋_GBK" w:cs="方正仿宋_GBK"/>
          <w:color w:val="auto"/>
          <w:sz w:val="32"/>
          <w:szCs w:val="32"/>
          <w:shd w:val="clear" w:color="auto" w:fill="FFFFFF"/>
        </w:rPr>
        <w:t>费用支出</w:t>
      </w:r>
      <w:r>
        <w:rPr>
          <w:rFonts w:hint="default" w:ascii="Times New Roman" w:hAnsi="Times New Roman" w:eastAsia="方正仿宋_GBK"/>
          <w:color w:val="auto"/>
          <w:sz w:val="32"/>
          <w:szCs w:val="32"/>
          <w:shd w:val="clear" w:color="auto" w:fill="FFFFFF"/>
        </w:rPr>
        <w:t>较年初预算数减少5.72万元，下降57.2%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厉行节约，严格控制“三公”经费。</w:t>
      </w:r>
      <w:r>
        <w:rPr>
          <w:rFonts w:hint="default" w:ascii="Times New Roman" w:hAnsi="Times New Roman" w:eastAsia="方正仿宋_GBK"/>
          <w:color w:val="auto"/>
          <w:sz w:val="32"/>
          <w:szCs w:val="32"/>
          <w:shd w:val="clear" w:color="auto" w:fill="FFFFFF"/>
        </w:rPr>
        <w:t>较上年支出数增加0.24万元，增长5.9%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本年度开展栈道越野赛、刨猪宴等大型活动，标准范围内的支出有所增加。</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lang w:eastAsia="zh-CN"/>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因公出国（境）共计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个团组，</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人；公务用车购置</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辆，公务车保有量为</w:t>
      </w:r>
      <w:r>
        <w:rPr>
          <w:rFonts w:hint="default" w:ascii="Times New Roman" w:hAnsi="Times New Roman" w:eastAsia="方正仿宋_GBK"/>
          <w:color w:val="auto"/>
          <w:sz w:val="32"/>
          <w:szCs w:val="32"/>
          <w:shd w:val="clear" w:color="auto" w:fill="FFFFFF"/>
        </w:rPr>
        <w:t>5</w:t>
      </w:r>
      <w:r>
        <w:rPr>
          <w:rFonts w:ascii="方正仿宋_GBK" w:hAnsi="方正仿宋_GBK" w:eastAsia="方正仿宋_GBK" w:cs="方正仿宋_GBK"/>
          <w:color w:val="auto"/>
          <w:sz w:val="32"/>
          <w:szCs w:val="32"/>
          <w:shd w:val="clear" w:color="auto" w:fill="FFFFFF"/>
        </w:rPr>
        <w:t>辆；国内公务接待</w:t>
      </w:r>
      <w:r>
        <w:rPr>
          <w:rFonts w:hint="default" w:ascii="Times New Roman" w:hAnsi="Times New Roman" w:eastAsia="方正仿宋_GBK"/>
          <w:color w:val="auto"/>
          <w:sz w:val="32"/>
          <w:szCs w:val="32"/>
          <w:shd w:val="clear" w:color="auto" w:fill="FFFFFF"/>
        </w:rPr>
        <w:t>70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510</w:t>
      </w:r>
      <w:r>
        <w:rPr>
          <w:rFonts w:ascii="方正仿宋_GBK" w:hAnsi="方正仿宋_GBK" w:eastAsia="方正仿宋_GBK" w:cs="方正仿宋_GBK"/>
          <w:color w:val="auto"/>
          <w:sz w:val="32"/>
          <w:szCs w:val="32"/>
          <w:shd w:val="clear" w:color="auto" w:fill="FFFFFF"/>
        </w:rPr>
        <w:t>人，其中：国内外事接待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人；国（境）外公务接待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人均接待费</w:t>
      </w:r>
      <w:r>
        <w:rPr>
          <w:rFonts w:hint="default" w:ascii="Times New Roman" w:hAnsi="Times New Roman" w:eastAsia="方正仿宋_GBK"/>
          <w:color w:val="auto"/>
          <w:sz w:val="32"/>
          <w:szCs w:val="32"/>
          <w:shd w:val="clear" w:color="auto" w:fill="FFFFFF"/>
        </w:rPr>
        <w:t>83.98</w:t>
      </w:r>
      <w:r>
        <w:rPr>
          <w:rFonts w:ascii="方正仿宋_GBK" w:hAnsi="方正仿宋_GBK" w:eastAsia="方正仿宋_GBK" w:cs="方正仿宋_GBK"/>
          <w:color w:val="auto"/>
          <w:sz w:val="32"/>
          <w:szCs w:val="32"/>
          <w:shd w:val="clear" w:color="auto" w:fill="FFFFFF"/>
        </w:rPr>
        <w:t>元，车均购置费</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万元，车均维护费</w:t>
      </w:r>
      <w:r>
        <w:rPr>
          <w:rFonts w:hint="default" w:ascii="Times New Roman" w:hAnsi="Times New Roman" w:eastAsia="方正仿宋_GBK"/>
          <w:color w:val="auto"/>
          <w:sz w:val="32"/>
          <w:szCs w:val="32"/>
          <w:shd w:val="clear" w:color="auto" w:fill="FFFFFF"/>
        </w:rPr>
        <w:t>1.26</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color w:val="auto"/>
          <w:sz w:val="32"/>
          <w:szCs w:val="32"/>
          <w:shd w:val="clear" w:color="auto" w:fill="FFFFFF"/>
        </w:rPr>
      </w:pPr>
      <w:r>
        <w:rPr>
          <w:rStyle w:val="10"/>
          <w:rFonts w:ascii="黑体" w:hAnsi="黑体" w:eastAsia="黑体" w:cs="黑体"/>
          <w:color w:val="auto"/>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color w:val="auto"/>
          <w:sz w:val="32"/>
          <w:szCs w:val="32"/>
          <w:shd w:val="clear" w:color="auto" w:fill="FFFFFF"/>
        </w:rPr>
      </w:pPr>
      <w:r>
        <w:rPr>
          <w:rFonts w:ascii="楷体" w:hAnsi="楷体" w:eastAsia="楷体" w:cs="楷体"/>
          <w:b/>
          <w:bCs/>
          <w:color w:val="auto"/>
          <w:sz w:val="32"/>
          <w:szCs w:val="32"/>
          <w:shd w:val="clear" w:color="auto" w:fill="FFFFFF"/>
        </w:rPr>
        <w:t>（一）财政拨款会议费、培训费和差旅费情况说明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本年度会议费支出</w:t>
      </w:r>
      <w:r>
        <w:rPr>
          <w:rFonts w:hint="default" w:ascii="Times New Roman" w:hAnsi="Times New Roman" w:eastAsia="方正仿宋_GBK"/>
          <w:color w:val="auto"/>
          <w:sz w:val="32"/>
          <w:szCs w:val="32"/>
          <w:shd w:val="clear" w:color="auto" w:fill="FFFFFF"/>
        </w:rPr>
        <w:t>1.00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与2023年度相比，增加0.71万元，增长244.8%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开展</w:t>
      </w:r>
      <w:r>
        <w:rPr>
          <w:rFonts w:hint="eastAsia" w:ascii="方正仿宋_GBK" w:hAnsi="方正仿宋_GBK" w:eastAsia="方正仿宋_GBK" w:cs="方正仿宋_GBK"/>
          <w:color w:val="auto"/>
          <w:sz w:val="32"/>
          <w:szCs w:val="32"/>
          <w:shd w:val="clear" w:color="auto" w:fill="FFFFFF"/>
        </w:rPr>
        <w:t>动物防疫千场大培训</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本年度培训费支出</w:t>
      </w:r>
      <w:r>
        <w:rPr>
          <w:rFonts w:hint="default" w:ascii="Times New Roman" w:hAnsi="Times New Roman" w:eastAsia="方正仿宋_GBK"/>
          <w:color w:val="auto"/>
          <w:sz w:val="32"/>
          <w:szCs w:val="32"/>
          <w:shd w:val="clear" w:color="auto" w:fill="FFFFFF"/>
        </w:rPr>
        <w:t>1.50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与2023年度相比，增加0.41万元，增长37.6%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为增长职工技能，本年职工培训次数较多，</w:t>
      </w:r>
      <w:r>
        <w:rPr>
          <w:rFonts w:ascii="方正仿宋_GBK" w:hAnsi="方正仿宋_GBK" w:eastAsia="方正仿宋_GBK" w:cs="方正仿宋_GBK"/>
          <w:color w:val="auto"/>
          <w:sz w:val="32"/>
          <w:szCs w:val="32"/>
          <w:shd w:val="clear" w:color="auto" w:fill="FFFFFF"/>
        </w:rPr>
        <w:t>本年度差旅费支出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rPr>
        <w:t>万元，</w:t>
      </w:r>
      <w:r>
        <w:rPr>
          <w:rFonts w:hint="default" w:ascii="Times New Roman" w:hAnsi="Times New Roman" w:eastAsia="方正仿宋_GBK"/>
          <w:color w:val="auto"/>
          <w:sz w:val="32"/>
          <w:szCs w:val="32"/>
          <w:shd w:val="clear" w:color="auto" w:fill="FFFFFF"/>
        </w:rPr>
        <w:t>与2023年度相比，减少12.88万元，下降100.0%</w:t>
      </w:r>
      <w:r>
        <w:rPr>
          <w:rFonts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olor w:val="auto"/>
          <w:sz w:val="32"/>
          <w:szCs w:val="32"/>
          <w:shd w:val="clear" w:color="auto" w:fill="FFFFFF"/>
          <w:lang w:eastAsia="zh-CN"/>
        </w:rPr>
        <w:t>数字办公化普及，大量工作通过线上会议、视频沟通等方式开展，替代传统的现场调研、异地协调，减少了差旅需求。</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机关运行经费支出</w:t>
      </w:r>
      <w:r>
        <w:rPr>
          <w:rFonts w:hint="default" w:ascii="Times New Roman" w:hAnsi="Times New Roman" w:eastAsia="方正仿宋_GBK"/>
          <w:color w:val="auto"/>
          <w:sz w:val="32"/>
          <w:szCs w:val="32"/>
          <w:shd w:val="clear" w:color="auto" w:fill="FFFFFF"/>
        </w:rPr>
        <w:t>99.08</w:t>
      </w:r>
      <w:r>
        <w:rPr>
          <w:rFonts w:ascii="方正仿宋_GBK" w:hAnsi="方正仿宋_GBK" w:eastAsia="方正仿宋_GBK" w:cs="方正仿宋_GBK"/>
          <w:color w:val="auto"/>
          <w:sz w:val="32"/>
          <w:szCs w:val="32"/>
          <w:shd w:val="clear" w:color="auto" w:fill="FFFFFF"/>
        </w:rPr>
        <w:t>万元，机关运行经费主要用于开支</w:t>
      </w:r>
      <w:r>
        <w:rPr>
          <w:rFonts w:hint="eastAsia" w:ascii="方正仿宋_GBK" w:hAnsi="方正仿宋_GBK" w:eastAsia="方正仿宋_GBK" w:cs="方正仿宋_GBK"/>
          <w:color w:val="auto"/>
          <w:sz w:val="32"/>
          <w:szCs w:val="32"/>
          <w:shd w:val="clear" w:color="auto" w:fill="FFFFFF"/>
          <w:lang w:val="en-US" w:eastAsia="zh-CN"/>
        </w:rPr>
        <w:t>办公及印刷费、邮电费、差旅费、会议费、福利费、日常维护费、专用材料及一般设备购置费、办公用房水电费、办公用房取暖费、办公用房物业管理费、公务用车运行维护费以及其他费用等。</w:t>
      </w:r>
      <w:r>
        <w:rPr>
          <w:rFonts w:ascii="方正仿宋_GBK" w:hAnsi="方正仿宋_GBK" w:eastAsia="方正仿宋_GBK" w:cs="方正仿宋_GBK"/>
          <w:color w:val="auto"/>
          <w:sz w:val="32"/>
          <w:szCs w:val="32"/>
          <w:shd w:val="clear" w:color="auto" w:fill="FFFFFF"/>
        </w:rPr>
        <w:t>机关运行经费</w:t>
      </w:r>
      <w:r>
        <w:rPr>
          <w:rFonts w:hint="default" w:ascii="Times New Roman" w:hAnsi="Times New Roman" w:eastAsia="方正仿宋_GBK"/>
          <w:color w:val="auto"/>
          <w:sz w:val="32"/>
          <w:szCs w:val="32"/>
          <w:shd w:val="clear" w:color="auto" w:fill="FFFFFF"/>
        </w:rPr>
        <w:t>较上年支出数减少285.27万元，下降74.2%</w:t>
      </w:r>
      <w:r>
        <w:rPr>
          <w:rFonts w:ascii="方正仿宋_GBK" w:hAnsi="方正仿宋_GBK" w:eastAsia="方正仿宋_GBK" w:cs="方正仿宋_GBK"/>
          <w:color w:val="auto"/>
          <w:sz w:val="32"/>
          <w:szCs w:val="32"/>
          <w:shd w:val="clear" w:color="auto" w:fill="FFFFFF"/>
        </w:rPr>
        <w:t>，主要原因是年初公用经费安排方面有所变化、由上年度在政府本级列支转变为</w:t>
      </w:r>
      <w:r>
        <w:rPr>
          <w:rFonts w:hint="eastAsia" w:ascii="方正仿宋_GBK" w:hAnsi="方正仿宋_GBK" w:eastAsia="方正仿宋_GBK" w:cs="方正仿宋_GBK"/>
          <w:color w:val="auto"/>
          <w:sz w:val="32"/>
          <w:szCs w:val="32"/>
          <w:shd w:val="clear" w:color="auto" w:fill="FFFFFF"/>
          <w:lang w:eastAsia="zh-CN"/>
        </w:rPr>
        <w:t>各事业</w:t>
      </w:r>
      <w:r>
        <w:rPr>
          <w:rFonts w:ascii="方正仿宋_GBK" w:hAnsi="方正仿宋_GBK" w:eastAsia="方正仿宋_GBK" w:cs="方正仿宋_GBK"/>
          <w:color w:val="auto"/>
          <w:sz w:val="32"/>
          <w:szCs w:val="32"/>
          <w:shd w:val="clear" w:color="auto" w:fill="FFFFFF"/>
        </w:rPr>
        <w:t>单位自行列支</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机关运行</w:t>
      </w:r>
      <w:r>
        <w:rPr>
          <w:rFonts w:hint="eastAsia" w:ascii="方正仿宋_GBK" w:hAnsi="方正仿宋_GBK" w:eastAsia="方正仿宋_GBK" w:cs="方正仿宋_GBK"/>
          <w:color w:val="auto"/>
          <w:sz w:val="32"/>
          <w:szCs w:val="32"/>
          <w:shd w:val="clear" w:color="auto" w:fill="FFFFFF"/>
          <w:lang w:eastAsia="zh-CN"/>
        </w:rPr>
        <w:t>经费低</w:t>
      </w:r>
      <w:r>
        <w:rPr>
          <w:rFonts w:ascii="方正仿宋_GBK" w:hAnsi="方正仿宋_GBK" w:eastAsia="方正仿宋_GBK" w:cs="方正仿宋_GBK"/>
          <w:color w:val="auto"/>
          <w:sz w:val="32"/>
          <w:szCs w:val="32"/>
          <w:shd w:val="clear" w:color="auto" w:fill="FFFFFF"/>
        </w:rPr>
        <w:t>于上年水平</w:t>
      </w:r>
      <w:r>
        <w:rPr>
          <w:rFonts w:hint="eastAsia" w:ascii="方正仿宋_GBK" w:hAnsi="方正仿宋_GBK" w:eastAsia="方正仿宋_GBK" w:cs="方正仿宋_GBK"/>
          <w:color w:val="auto"/>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截至</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w:t>
      </w:r>
      <w:r>
        <w:rPr>
          <w:rFonts w:hint="default" w:ascii="Times New Roman" w:hAnsi="Times New Roman" w:eastAsia="方正仿宋_GBK"/>
          <w:color w:val="auto"/>
          <w:sz w:val="32"/>
          <w:szCs w:val="32"/>
          <w:shd w:val="clear" w:color="auto" w:fill="FFFFFF"/>
        </w:rPr>
        <w:t>12</w:t>
      </w:r>
      <w:r>
        <w:rPr>
          <w:rFonts w:ascii="方正仿宋_GBK" w:hAnsi="方正仿宋_GBK" w:eastAsia="方正仿宋_GBK" w:cs="方正仿宋_GBK"/>
          <w:color w:val="auto"/>
          <w:sz w:val="32"/>
          <w:szCs w:val="32"/>
          <w:shd w:val="clear" w:color="auto" w:fill="FFFFFF"/>
        </w:rPr>
        <w:t>月</w:t>
      </w:r>
      <w:r>
        <w:rPr>
          <w:rFonts w:hint="default" w:ascii="Times New Roman" w:hAnsi="Times New Roman" w:eastAsia="方正仿宋_GBK"/>
          <w:color w:val="auto"/>
          <w:sz w:val="32"/>
          <w:szCs w:val="32"/>
          <w:shd w:val="clear" w:color="auto" w:fill="FFFFFF"/>
        </w:rPr>
        <w:t>31</w:t>
      </w:r>
      <w:r>
        <w:rPr>
          <w:rFonts w:ascii="方正仿宋_GBK" w:hAnsi="方正仿宋_GBK" w:eastAsia="方正仿宋_GBK" w:cs="方正仿宋_GBK"/>
          <w:color w:val="auto"/>
          <w:sz w:val="32"/>
          <w:szCs w:val="32"/>
          <w:shd w:val="clear" w:color="auto" w:fill="FFFFFF"/>
        </w:rPr>
        <w:t>日，本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共有车辆</w:t>
      </w:r>
      <w:r>
        <w:rPr>
          <w:rFonts w:hint="default" w:ascii="Times New Roman" w:hAnsi="Times New Roman" w:eastAsia="方正仿宋_GBK"/>
          <w:color w:val="auto"/>
          <w:sz w:val="32"/>
          <w:szCs w:val="32"/>
          <w:shd w:val="clear" w:color="auto" w:fill="FFFFFF"/>
        </w:rPr>
        <w:t>5</w:t>
      </w:r>
      <w:r>
        <w:rPr>
          <w:rFonts w:ascii="方正仿宋_GBK" w:hAnsi="方正仿宋_GBK" w:eastAsia="方正仿宋_GBK" w:cs="方正仿宋_GBK"/>
          <w:color w:val="auto"/>
          <w:sz w:val="32"/>
          <w:szCs w:val="32"/>
          <w:shd w:val="clear" w:color="auto" w:fill="FFFFFF"/>
        </w:rPr>
        <w:t>辆，其中，副部（省）级及以上领导用车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辆、主要负责人用车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辆、机要通信用车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辆、应急保障用车</w:t>
      </w:r>
      <w:r>
        <w:rPr>
          <w:rFonts w:hint="default" w:ascii="Times New Roman" w:hAnsi="Times New Roman" w:eastAsia="方正仿宋_GBK"/>
          <w:color w:val="auto"/>
          <w:sz w:val="32"/>
          <w:szCs w:val="32"/>
          <w:shd w:val="clear" w:color="auto" w:fill="FFFFFF"/>
        </w:rPr>
        <w:t>5</w:t>
      </w:r>
      <w:r>
        <w:rPr>
          <w:rFonts w:ascii="方正仿宋_GBK" w:hAnsi="方正仿宋_GBK" w:eastAsia="方正仿宋_GBK" w:cs="方正仿宋_GBK"/>
          <w:color w:val="auto"/>
          <w:sz w:val="32"/>
          <w:szCs w:val="32"/>
          <w:shd w:val="clear" w:color="auto" w:fill="FFFFFF"/>
        </w:rPr>
        <w:t>辆、执法执勤用车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辆，特种专业技术用车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辆，离退休干部用车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辆。单价</w:t>
      </w:r>
      <w:r>
        <w:rPr>
          <w:rFonts w:hint="default" w:ascii="Times New Roman" w:hAnsi="Times New Roman" w:eastAsia="方正仿宋_GBK"/>
          <w:color w:val="auto"/>
          <w:sz w:val="32"/>
          <w:szCs w:val="32"/>
          <w:shd w:val="clear" w:color="auto" w:fill="FFFFFF"/>
        </w:rPr>
        <w:t>100</w:t>
      </w:r>
      <w:r>
        <w:rPr>
          <w:rFonts w:ascii="方正仿宋_GBK" w:hAnsi="方正仿宋_GBK" w:eastAsia="方正仿宋_GBK" w:cs="方正仿宋_GBK"/>
          <w:color w:val="auto"/>
          <w:sz w:val="32"/>
          <w:szCs w:val="32"/>
          <w:shd w:val="clear" w:color="auto" w:fill="FFFFFF"/>
        </w:rPr>
        <w:t>万元（含）以上专用设备</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政府采购支出总额</w:t>
      </w:r>
      <w:r>
        <w:rPr>
          <w:rFonts w:hint="default" w:ascii="Times New Roman" w:hAnsi="Times New Roman" w:eastAsia="方正仿宋_GBK"/>
          <w:color w:val="auto"/>
          <w:sz w:val="32"/>
          <w:szCs w:val="32"/>
          <w:shd w:val="clear" w:color="auto" w:fill="FFFFFF"/>
        </w:rPr>
        <w:t>0.85</w:t>
      </w:r>
      <w:r>
        <w:rPr>
          <w:rFonts w:ascii="方正仿宋_GBK" w:hAnsi="方正仿宋_GBK" w:eastAsia="方正仿宋_GBK" w:cs="方正仿宋_GBK"/>
          <w:color w:val="auto"/>
          <w:sz w:val="32"/>
          <w:szCs w:val="32"/>
          <w:shd w:val="clear" w:color="auto" w:fill="FFFFFF"/>
        </w:rPr>
        <w:t>万元，其中：政府采购货物支出</w:t>
      </w:r>
      <w:r>
        <w:rPr>
          <w:rFonts w:hint="default" w:ascii="Times New Roman" w:hAnsi="Times New Roman" w:eastAsia="方正仿宋_GBK"/>
          <w:color w:val="auto"/>
          <w:sz w:val="32"/>
          <w:szCs w:val="32"/>
          <w:shd w:val="clear" w:color="auto" w:fill="FFFFFF"/>
        </w:rPr>
        <w:t>0.85</w:t>
      </w:r>
      <w:r>
        <w:rPr>
          <w:rFonts w:ascii="方正仿宋_GBK" w:hAnsi="方正仿宋_GBK" w:eastAsia="方正仿宋_GBK" w:cs="方正仿宋_GBK"/>
          <w:color w:val="auto"/>
          <w:sz w:val="32"/>
          <w:szCs w:val="32"/>
          <w:shd w:val="clear" w:color="auto" w:fill="FFFFFF"/>
        </w:rPr>
        <w:t>万元、政府采购工程支出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万元、政府采购服务支出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万元。授予中小企业合同金额</w:t>
      </w:r>
      <w:r>
        <w:rPr>
          <w:rFonts w:hint="default" w:ascii="Times New Roman" w:hAnsi="Times New Roman" w:eastAsia="方正仿宋_GBK"/>
          <w:color w:val="auto"/>
          <w:sz w:val="32"/>
          <w:szCs w:val="32"/>
          <w:shd w:val="clear" w:color="auto" w:fill="FFFFFF"/>
        </w:rPr>
        <w:t>0.85</w:t>
      </w:r>
      <w:r>
        <w:rPr>
          <w:rFonts w:ascii="方正仿宋_GBK" w:hAnsi="方正仿宋_GBK" w:eastAsia="方正仿宋_GBK" w:cs="方正仿宋_GBK"/>
          <w:color w:val="auto"/>
          <w:sz w:val="32"/>
          <w:szCs w:val="32"/>
        </w:rPr>
        <w:t>万</w:t>
      </w:r>
      <w:r>
        <w:rPr>
          <w:rFonts w:ascii="方正仿宋_GBK" w:hAnsi="方正仿宋_GBK" w:eastAsia="方正仿宋_GBK" w:cs="方正仿宋_GBK"/>
          <w:color w:val="auto"/>
          <w:sz w:val="32"/>
          <w:szCs w:val="32"/>
          <w:shd w:val="clear" w:color="auto" w:fill="FFFFFF"/>
        </w:rPr>
        <w:t>元，占政府采购支出总额的</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，其中：授予小微企业合同金额</w:t>
      </w:r>
      <w:r>
        <w:rPr>
          <w:rFonts w:hint="default" w:ascii="Times New Roman" w:hAnsi="Times New Roman" w:eastAsia="方正仿宋_GBK"/>
          <w:color w:val="auto"/>
          <w:sz w:val="32"/>
          <w:szCs w:val="32"/>
          <w:shd w:val="clear" w:color="auto" w:fill="FFFFFF"/>
        </w:rPr>
        <w:t>0.85</w:t>
      </w:r>
      <w:r>
        <w:rPr>
          <w:rFonts w:ascii="方正仿宋_GBK" w:hAnsi="方正仿宋_GBK" w:eastAsia="方正仿宋_GBK" w:cs="方正仿宋_GBK"/>
          <w:color w:val="auto"/>
          <w:sz w:val="32"/>
          <w:szCs w:val="32"/>
          <w:shd w:val="clear" w:color="auto" w:fill="FFFFFF"/>
        </w:rPr>
        <w:t>万元，占政府采购支出总额的</w:t>
      </w:r>
      <w:r>
        <w:rPr>
          <w:rFonts w:hint="default" w:ascii="Times New Roman" w:hAnsi="Times New Roman" w:eastAsia="方正仿宋_GBK"/>
          <w:color w:val="auto"/>
          <w:sz w:val="32"/>
          <w:szCs w:val="32"/>
          <w:shd w:val="clear" w:color="auto" w:fill="FFFFFF"/>
        </w:rPr>
        <w:t>100.0 %</w:t>
      </w:r>
      <w:r>
        <w:rPr>
          <w:rFonts w:ascii="方正仿宋_GBK" w:hAnsi="方正仿宋_GBK" w:eastAsia="方正仿宋_GBK" w:cs="方正仿宋_GBK"/>
          <w:color w:val="auto"/>
          <w:sz w:val="32"/>
          <w:szCs w:val="32"/>
          <w:shd w:val="clear" w:color="auto" w:fill="FFFFFF"/>
        </w:rPr>
        <w:t>。主要用于采购</w:t>
      </w:r>
      <w:r>
        <w:rPr>
          <w:rFonts w:hint="eastAsia" w:ascii="方正仿宋_GBK" w:hAnsi="方正仿宋_GBK" w:eastAsia="方正仿宋_GBK" w:cs="方正仿宋_GBK"/>
          <w:color w:val="auto"/>
          <w:sz w:val="32"/>
          <w:szCs w:val="32"/>
          <w:shd w:val="clear" w:color="auto" w:fill="FFFFFF"/>
          <w:lang w:eastAsia="zh-CN"/>
        </w:rPr>
        <w:t>空调、打印机等办公设备。</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jc w:val="both"/>
        <w:textAlignment w:val="auto"/>
        <w:rPr>
          <w:rFonts w:hint="eastAsia" w:ascii="方正仿宋_GBK" w:hAnsi="方正仿宋_GBK" w:eastAsia="方正仿宋_GBK" w:cs="方正仿宋_GBK"/>
          <w:color w:val="auto"/>
          <w:sz w:val="32"/>
          <w:szCs w:val="32"/>
          <w:highlight w:val="yellow"/>
          <w:shd w:val="clear" w:color="auto" w:fill="FFFFFF"/>
          <w:lang w:bidi="ar"/>
        </w:rPr>
      </w:pPr>
      <w:r>
        <w:rPr>
          <w:rStyle w:val="10"/>
          <w:rFonts w:ascii="黑体" w:hAnsi="黑体" w:eastAsia="黑体" w:cs="黑体"/>
          <w:color w:val="auto"/>
          <w:sz w:val="32"/>
          <w:szCs w:val="32"/>
          <w:shd w:val="clear" w:color="auto" w:fill="FFFFFF"/>
        </w:rPr>
        <w:t>五、</w:t>
      </w:r>
      <w:r>
        <w:rPr>
          <w:rStyle w:val="10"/>
          <w:rFonts w:hint="eastAsia" w:ascii="黑体" w:hAnsi="黑体" w:eastAsia="黑体" w:cs="黑体"/>
          <w:color w:val="auto"/>
          <w:sz w:val="32"/>
          <w:szCs w:val="32"/>
          <w:shd w:val="clear" w:color="auto" w:fill="FFFFFF"/>
          <w:lang w:eastAsia="zh-CN"/>
        </w:rPr>
        <w:t>预算</w:t>
      </w:r>
      <w:r>
        <w:rPr>
          <w:rStyle w:val="10"/>
          <w:rFonts w:hint="eastAsia" w:ascii="黑体" w:hAnsi="黑体" w:eastAsia="黑体" w:cs="黑体"/>
          <w:color w:val="auto"/>
          <w:sz w:val="32"/>
          <w:szCs w:val="32"/>
          <w:shd w:val="clear" w:color="auto" w:fill="FFFFFF"/>
          <w:lang w:val="en-US" w:eastAsia="zh-CN" w:bidi="ar-SA"/>
        </w:rPr>
        <w:t>绩效管理情况说明</w:t>
      </w:r>
    </w:p>
    <w:p>
      <w:pPr>
        <w:pStyle w:val="11"/>
        <w:autoSpaceDE w:val="0"/>
        <w:ind w:firstLine="640"/>
        <w:rPr>
          <w:rFonts w:hint="default" w:ascii="楷体" w:hAnsi="楷体" w:eastAsia="楷体" w:cs="楷体"/>
          <w:b/>
          <w:bCs/>
          <w:color w:val="auto"/>
          <w:sz w:val="32"/>
          <w:szCs w:val="32"/>
          <w:shd w:val="clear" w:color="auto" w:fill="FFFFFF"/>
          <w:lang w:val="en-US" w:eastAsia="zh-CN" w:bidi="ar"/>
        </w:rPr>
      </w:pPr>
      <w:r>
        <w:rPr>
          <w:rFonts w:hint="eastAsia" w:ascii="楷体" w:hAnsi="楷体" w:eastAsia="楷体" w:cs="楷体"/>
          <w:b/>
          <w:bCs/>
          <w:color w:val="auto"/>
          <w:sz w:val="32"/>
          <w:szCs w:val="32"/>
          <w:shd w:val="clear" w:color="auto" w:fill="FFFFFF"/>
          <w:lang w:bidi="ar"/>
        </w:rPr>
        <w:t>（一）</w:t>
      </w:r>
      <w:r>
        <w:rPr>
          <w:rFonts w:hint="eastAsia" w:ascii="楷体" w:hAnsi="楷体" w:eastAsia="楷体" w:cs="楷体"/>
          <w:b/>
          <w:bCs/>
          <w:color w:val="auto"/>
          <w:sz w:val="32"/>
          <w:szCs w:val="32"/>
          <w:shd w:val="clear" w:color="auto" w:fill="FFFFFF"/>
          <w:lang w:val="en-US" w:eastAsia="zh-CN" w:bidi="ar"/>
        </w:rPr>
        <w:t>单位</w:t>
      </w:r>
      <w:r>
        <w:rPr>
          <w:rFonts w:hint="eastAsia" w:ascii="楷体" w:hAnsi="楷体" w:eastAsia="楷体" w:cs="楷体"/>
          <w:b/>
          <w:bCs/>
          <w:color w:val="auto"/>
          <w:sz w:val="32"/>
          <w:szCs w:val="32"/>
          <w:shd w:val="clear" w:color="auto" w:fill="FFFFFF"/>
          <w:lang w:bidi="ar"/>
        </w:rPr>
        <w:t>自评情况</w:t>
      </w:r>
    </w:p>
    <w:p>
      <w:pPr>
        <w:pStyle w:val="6"/>
        <w:snapToGrid w:val="0"/>
        <w:spacing w:before="0" w:beforeAutospacing="0" w:after="0" w:afterAutospacing="0" w:line="596" w:lineRule="exact"/>
        <w:ind w:firstLine="640" w:firstLineChars="200"/>
        <w:jc w:val="both"/>
        <w:rPr>
          <w:rFonts w:hint="eastAsia" w:ascii="Times New Roman" w:hAnsi="Times New Roman" w:eastAsia="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bidi="ar"/>
        </w:rPr>
        <w:t>根据预算绩效管理要求，我</w:t>
      </w:r>
      <w:r>
        <w:rPr>
          <w:rFonts w:hint="eastAsia" w:ascii="方正仿宋_GBK" w:hAnsi="方正仿宋_GBK" w:eastAsia="方正仿宋_GBK" w:cs="方正仿宋_GBK"/>
          <w:color w:val="auto"/>
          <w:sz w:val="32"/>
          <w:szCs w:val="32"/>
          <w:shd w:val="clear" w:color="auto" w:fill="FFFFFF"/>
          <w:lang w:val="en-US" w:eastAsia="zh-CN" w:bidi="ar"/>
        </w:rPr>
        <w:t>单位</w:t>
      </w:r>
      <w:r>
        <w:rPr>
          <w:rFonts w:hint="eastAsia" w:ascii="方正仿宋_GBK" w:hAnsi="方正仿宋_GBK" w:eastAsia="方正仿宋_GBK" w:cs="方正仿宋_GBK"/>
          <w:color w:val="auto"/>
          <w:sz w:val="32"/>
          <w:szCs w:val="32"/>
          <w:shd w:val="clear" w:color="auto" w:fill="FFFFFF"/>
          <w:lang w:bidi="ar"/>
        </w:rPr>
        <w:t>对</w:t>
      </w:r>
      <w:r>
        <w:rPr>
          <w:rFonts w:hint="eastAsia" w:ascii="方正仿宋_GBK" w:hAnsi="方正仿宋_GBK" w:eastAsia="方正仿宋_GBK" w:cs="方正仿宋_GBK"/>
          <w:color w:val="auto"/>
          <w:sz w:val="32"/>
          <w:szCs w:val="32"/>
          <w:shd w:val="clear" w:color="auto" w:fill="FFFFFF"/>
          <w:lang w:val="en-US" w:eastAsia="zh-CN" w:bidi="ar"/>
        </w:rPr>
        <w:t>61</w:t>
      </w:r>
      <w:r>
        <w:rPr>
          <w:rFonts w:hint="eastAsia" w:ascii="方正仿宋_GBK" w:hAnsi="方正仿宋_GBK" w:eastAsia="方正仿宋_GBK" w:cs="方正仿宋_GBK"/>
          <w:color w:val="auto"/>
          <w:sz w:val="32"/>
          <w:szCs w:val="32"/>
          <w:shd w:val="clear" w:color="auto" w:fill="FFFFFF"/>
          <w:lang w:bidi="ar"/>
        </w:rPr>
        <w:t>个项目开展了绩效自评，涉及</w:t>
      </w:r>
      <w:r>
        <w:rPr>
          <w:rFonts w:hint="eastAsia" w:ascii="方正仿宋_GBK" w:hAnsi="方正仿宋_GBK" w:eastAsia="方正仿宋_GBK" w:cs="方正仿宋_GBK"/>
          <w:color w:val="auto"/>
          <w:sz w:val="32"/>
          <w:szCs w:val="32"/>
          <w:shd w:val="clear" w:color="auto" w:fill="FFFFFF"/>
          <w:lang w:eastAsia="zh-CN" w:bidi="ar"/>
        </w:rPr>
        <w:t>财政拨款</w:t>
      </w:r>
      <w:r>
        <w:rPr>
          <w:rFonts w:hint="eastAsia" w:ascii="方正仿宋_GBK" w:hAnsi="方正仿宋_GBK" w:eastAsia="方正仿宋_GBK" w:cs="方正仿宋_GBK"/>
          <w:color w:val="auto"/>
          <w:sz w:val="32"/>
          <w:szCs w:val="32"/>
          <w:shd w:val="clear" w:color="auto" w:fill="FFFFFF"/>
          <w:lang w:bidi="ar"/>
        </w:rPr>
        <w:t>资金</w:t>
      </w:r>
      <w:r>
        <w:rPr>
          <w:rFonts w:hint="eastAsia" w:ascii="方正仿宋_GBK" w:hAnsi="方正仿宋_GBK" w:eastAsia="方正仿宋_GBK" w:cs="方正仿宋_GBK"/>
          <w:color w:val="auto"/>
          <w:sz w:val="32"/>
          <w:szCs w:val="32"/>
          <w:shd w:val="clear" w:color="auto" w:fill="FFFFFF"/>
          <w:lang w:val="en-US" w:eastAsia="zh-CN" w:bidi="ar"/>
        </w:rPr>
        <w:t>3390.97</w:t>
      </w:r>
      <w:r>
        <w:rPr>
          <w:rFonts w:hint="eastAsia" w:ascii="方正仿宋_GBK" w:hAnsi="方正仿宋_GBK" w:eastAsia="方正仿宋_GBK" w:cs="方正仿宋_GBK"/>
          <w:color w:val="auto"/>
          <w:sz w:val="32"/>
          <w:szCs w:val="32"/>
          <w:shd w:val="clear" w:color="auto" w:fill="FFFFFF"/>
          <w:lang w:bidi="ar"/>
        </w:rPr>
        <w:t>万元</w:t>
      </w:r>
      <w:r>
        <w:rPr>
          <w:rFonts w:hint="eastAsia" w:ascii="方正仿宋_GBK" w:hAnsi="方正仿宋_GBK" w:eastAsia="方正仿宋_GBK" w:cs="方正仿宋_GBK"/>
          <w:color w:val="auto"/>
          <w:sz w:val="32"/>
          <w:szCs w:val="32"/>
          <w:shd w:val="clear" w:color="auto" w:fill="FFFFFF"/>
          <w:lang w:eastAsia="zh-CN" w:bidi="ar"/>
        </w:rPr>
        <w:t>。</w:t>
      </w:r>
      <w:r>
        <w:rPr>
          <w:rFonts w:hint="eastAsia" w:ascii="Times New Roman" w:hAnsi="Times New Roman" w:eastAsia="方正仿宋_GBK"/>
          <w:color w:val="auto"/>
          <w:sz w:val="32"/>
          <w:szCs w:val="32"/>
          <w:shd w:val="clear" w:color="auto" w:fill="FFFFFF"/>
          <w:lang w:eastAsia="zh-CN"/>
        </w:rPr>
        <w:t>单位项目绩效自评表，详见附件</w:t>
      </w:r>
      <w:r>
        <w:rPr>
          <w:rFonts w:hint="eastAsia" w:ascii="Times New Roman" w:hAnsi="Times New Roman" w:eastAsia="方正仿宋_GBK"/>
          <w:color w:val="auto"/>
          <w:sz w:val="32"/>
          <w:szCs w:val="32"/>
          <w:shd w:val="clear" w:color="auto" w:fill="FFFFFF"/>
          <w:lang w:val="en-US" w:eastAsia="zh-CN"/>
        </w:rPr>
        <w:t>1.清升镇2024年度二级项目绩效自评表</w:t>
      </w:r>
      <w:r>
        <w:rPr>
          <w:rFonts w:hint="eastAsia" w:ascii="Times New Roman" w:hAnsi="Times New Roman" w:eastAsia="方正仿宋_GBK"/>
          <w:color w:val="auto"/>
          <w:sz w:val="32"/>
          <w:szCs w:val="32"/>
          <w:shd w:val="clear" w:color="auto" w:fill="FFFFFF"/>
          <w:lang w:eastAsia="zh-CN"/>
        </w:rPr>
        <w:t>。</w:t>
      </w:r>
    </w:p>
    <w:p>
      <w:pPr>
        <w:pStyle w:val="6"/>
        <w:snapToGrid w:val="0"/>
        <w:spacing w:before="0" w:beforeAutospacing="0" w:after="0" w:afterAutospacing="0" w:line="596" w:lineRule="exact"/>
        <w:ind w:firstLine="643" w:firstLineChars="200"/>
        <w:jc w:val="both"/>
        <w:rPr>
          <w:rFonts w:hint="eastAsia" w:ascii="楷体" w:hAnsi="楷体" w:eastAsia="楷体" w:cs="楷体"/>
          <w:b/>
          <w:bCs/>
          <w:sz w:val="32"/>
          <w:szCs w:val="32"/>
          <w:shd w:val="clear" w:color="auto" w:fill="FFFFFF"/>
          <w:lang w:val="en-US" w:eastAsia="zh-CN" w:bidi="ar"/>
        </w:rPr>
      </w:pPr>
      <w:r>
        <w:rPr>
          <w:rFonts w:hint="eastAsia" w:ascii="楷体" w:hAnsi="楷体" w:eastAsia="楷体" w:cs="楷体"/>
          <w:b/>
          <w:bCs/>
          <w:sz w:val="32"/>
          <w:szCs w:val="32"/>
          <w:shd w:val="clear" w:color="auto" w:fill="FFFFFF"/>
          <w:lang w:val="en-US" w:eastAsia="zh-CN" w:bidi="ar"/>
        </w:rPr>
        <w:t>（二）单位绩效评价情况</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我单位未组织开展绩效评价。</w:t>
      </w:r>
    </w:p>
    <w:p>
      <w:pPr>
        <w:pStyle w:val="11"/>
        <w:autoSpaceDE w:val="0"/>
        <w:rPr>
          <w:rFonts w:hint="eastAsia" w:ascii="楷体" w:hAnsi="楷体" w:eastAsia="楷体" w:cs="楷体"/>
          <w:b/>
          <w:bCs/>
          <w:sz w:val="32"/>
          <w:szCs w:val="32"/>
          <w:shd w:val="clear" w:color="auto" w:fill="FFFFFF"/>
          <w:lang w:val="en-US" w:eastAsia="zh-CN" w:bidi="ar"/>
        </w:rPr>
      </w:pPr>
      <w:r>
        <w:rPr>
          <w:rFonts w:hint="eastAsia" w:ascii="楷体" w:hAnsi="楷体" w:eastAsia="楷体" w:cs="楷体"/>
          <w:b/>
          <w:bCs/>
          <w:sz w:val="32"/>
          <w:szCs w:val="32"/>
          <w:shd w:val="clear" w:color="auto" w:fill="FFFFFF"/>
          <w:lang w:val="en-US" w:eastAsia="zh-CN" w:bidi="ar"/>
        </w:rPr>
        <w:t xml:space="preserve">（三）财政绩效评价情况 </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区财政局未委托第三方对我单位开展绩效评价。</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lang w:eastAsia="zh-CN"/>
        </w:rPr>
        <w:t>六</w:t>
      </w:r>
      <w:r>
        <w:rPr>
          <w:rStyle w:val="10"/>
          <w:rFonts w:ascii="黑体" w:hAnsi="黑体" w:eastAsia="黑体" w:cs="黑体"/>
          <w:sz w:val="32"/>
          <w:szCs w:val="32"/>
          <w:shd w:val="clear" w:color="auto" w:fill="FFFFFF"/>
        </w:rPr>
        <w:t>、专业名词解释</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Style w:val="10"/>
          <w:rFonts w:hint="eastAsia" w:ascii="楷体" w:hAnsi="楷体" w:eastAsia="楷体" w:cs="楷体"/>
          <w:sz w:val="32"/>
          <w:szCs w:val="32"/>
          <w:shd w:val="clear" w:color="auto" w:fill="FFFFFF"/>
          <w:lang w:eastAsia="zh-CN"/>
        </w:rPr>
        <w:t>（含专用结余）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事业单位按照预算管理要求使用非财政拨款结余弥补收支差额的金额，以及使用专用结余安排支出的金额。</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lang w:eastAsia="zh-CN"/>
        </w:rPr>
        <w:t>七</w:t>
      </w:r>
      <w:r>
        <w:rPr>
          <w:rStyle w:val="10"/>
          <w:rFonts w:ascii="黑体" w:hAnsi="黑体" w:eastAsia="黑体" w:cs="黑体"/>
          <w:sz w:val="32"/>
          <w:szCs w:val="32"/>
          <w:shd w:val="clear" w:color="auto" w:fill="FFFFFF"/>
        </w:rPr>
        <w:t>、决算公开联系方式及信息反馈渠道</w:t>
      </w:r>
    </w:p>
    <w:p>
      <w:pPr>
        <w:pStyle w:val="11"/>
        <w:keepNext w:val="0"/>
        <w:keepLines w:val="0"/>
        <w:pageBreakBefore w:val="0"/>
        <w:widowControl/>
        <w:kinsoku/>
        <w:wordWrap/>
        <w:overflowPunct/>
        <w:topLinePunct w:val="0"/>
        <w:autoSpaceDE w:val="0"/>
        <w:autoSpaceDN/>
        <w:bidi w:val="0"/>
        <w:adjustRightInd/>
        <w:spacing w:beforeAutospacing="0" w:afterAutospacing="0" w:line="596" w:lineRule="exact"/>
        <w:ind w:firstLine="64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决算公开信息反馈和联系方式：</w:t>
      </w:r>
      <w:r>
        <w:rPr>
          <w:rFonts w:hint="eastAsia" w:ascii="方正仿宋_GBK" w:hAnsi="方正仿宋_GBK" w:eastAsia="方正仿宋_GBK" w:cs="方正仿宋_GBK"/>
          <w:sz w:val="32"/>
          <w:szCs w:val="32"/>
          <w:shd w:val="clear" w:color="auto" w:fill="FFFFFF"/>
          <w:lang w:val="en-US" w:eastAsia="zh-CN"/>
        </w:rPr>
        <w:t>023-810696</w:t>
      </w:r>
      <w:r>
        <w:rPr>
          <w:rFonts w:hint="eastAsia" w:ascii="方正仿宋_GBK" w:hAnsi="方正仿宋_GBK" w:eastAsia="方正仿宋_GBK" w:cs="方正仿宋_GBK"/>
          <w:color w:val="auto"/>
          <w:sz w:val="32"/>
          <w:szCs w:val="32"/>
          <w:shd w:val="clear" w:color="auto" w:fill="FFFFFF"/>
          <w:lang w:val="en-US" w:eastAsia="zh-CN"/>
        </w:rPr>
        <w:t>18</w:t>
      </w:r>
    </w:p>
    <w:p>
      <w:pPr>
        <w:pStyle w:val="11"/>
        <w:keepNext w:val="0"/>
        <w:keepLines w:val="0"/>
        <w:pageBreakBefore w:val="0"/>
        <w:widowControl/>
        <w:kinsoku/>
        <w:wordWrap/>
        <w:overflowPunct/>
        <w:topLinePunct w:val="0"/>
        <w:autoSpaceDE w:val="0"/>
        <w:autoSpaceDN/>
        <w:bidi w:val="0"/>
        <w:adjustRightInd/>
        <w:spacing w:beforeAutospacing="0" w:afterAutospacing="0" w:line="596" w:lineRule="exact"/>
        <w:ind w:firstLine="640"/>
        <w:jc w:val="both"/>
        <w:textAlignment w:val="auto"/>
        <w:rPr>
          <w:rFonts w:hint="eastAsia" w:ascii="方正仿宋_GBK" w:hAnsi="方正仿宋_GBK" w:eastAsia="方正仿宋_GBK" w:cs="方正仿宋_GBK"/>
          <w:color w:val="auto"/>
          <w:sz w:val="32"/>
          <w:szCs w:val="32"/>
          <w:shd w:val="clear" w:color="auto" w:fill="FFFFFF"/>
          <w:lang w:val="en-US" w:eastAsia="zh-CN"/>
        </w:rPr>
      </w:pPr>
    </w:p>
    <w:p>
      <w:pPr>
        <w:pStyle w:val="11"/>
        <w:keepNext w:val="0"/>
        <w:keepLines w:val="0"/>
        <w:pageBreakBefore w:val="0"/>
        <w:widowControl/>
        <w:kinsoku/>
        <w:wordWrap/>
        <w:overflowPunct/>
        <w:topLinePunct w:val="0"/>
        <w:autoSpaceDE w:val="0"/>
        <w:autoSpaceDN/>
        <w:bidi w:val="0"/>
        <w:adjustRightInd/>
        <w:spacing w:beforeAutospacing="0" w:afterAutospacing="0" w:line="596" w:lineRule="exact"/>
        <w:ind w:firstLine="640"/>
        <w:jc w:val="both"/>
        <w:textAlignment w:val="auto"/>
        <w:rPr>
          <w:rFonts w:hint="default" w:ascii="方正仿宋_GBK" w:hAnsi="方正仿宋_GBK" w:eastAsia="方正仿宋_GBK" w:cs="方正仿宋_GBK"/>
          <w:color w:val="auto"/>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方正仿宋_GBK" w:hAnsi="方正仿宋_GBK" w:eastAsia="方正仿宋_GBK" w:cs="方正仿宋_GBK"/>
          <w:b/>
          <w:bCs/>
          <w:color w:val="auto"/>
          <w:sz w:val="32"/>
          <w:szCs w:val="32"/>
          <w:shd w:val="clear" w:color="auto" w:fill="FFFFFF"/>
          <w:lang w:val="en-US" w:eastAsia="zh-CN"/>
        </w:rPr>
        <w:t>附件：</w:t>
      </w:r>
      <w:r>
        <w:rPr>
          <w:rFonts w:hint="eastAsia" w:ascii="方正仿宋_GBK" w:hAnsi="方正仿宋_GBK" w:eastAsia="方正仿宋_GBK" w:cs="方正仿宋_GBK"/>
          <w:b w:val="0"/>
          <w:bCs w:val="0"/>
          <w:color w:val="auto"/>
          <w:sz w:val="32"/>
          <w:szCs w:val="32"/>
          <w:shd w:val="clear" w:color="auto" w:fill="FFFFFF"/>
          <w:lang w:val="en-US" w:eastAsia="zh-CN"/>
        </w:rPr>
        <w:t>1.</w:t>
      </w:r>
      <w:r>
        <w:rPr>
          <w:rFonts w:hint="default" w:ascii="方正仿宋_GBK" w:hAnsi="方正仿宋_GBK" w:eastAsia="方正仿宋_GBK" w:cs="方正仿宋_GBK"/>
          <w:color w:val="auto"/>
          <w:sz w:val="32"/>
          <w:szCs w:val="32"/>
          <w:shd w:val="clear" w:color="auto" w:fill="FFFFFF"/>
          <w:lang w:val="en-US" w:eastAsia="zh-CN"/>
        </w:rPr>
        <w:t>清升镇2024年度二级项目绩效自评表</w:t>
      </w: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重庆市荣昌区清升镇人民政府本级</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2,084.83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781.37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516.75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184.67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58.66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745.79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147.79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67.95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503.50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2,601.58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2,601.58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2,601.58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2,601.58</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重庆市荣昌区清升镇人民政府本级</w:t>
            </w: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2,601.58</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2,601.58</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781.37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781.37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人大监督</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746.87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746.87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513.21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513.21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233.66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233.66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其他司法支出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184.67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184.67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114.12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114.12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老年福利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其他社会福利支出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其他农村生活救助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745.79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745.79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53.52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53.52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53.52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53.52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347.45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347.45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338.98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338.98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260.86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260.86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230.97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230.97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147.79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147.79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147.79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147.79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134.54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134.54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67.95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67.95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42.26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42.26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42.26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42.26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503.50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503.50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22904</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489.90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489.90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2290402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其他地方自行试点项目收益专项债券收入安排的支出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489.90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489.90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用于残疾人事业的彩票公益金支出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重庆市荣昌区清升镇人民政府本级 </w:t>
            </w: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2,601.58</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712.35</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1,889.23</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781.37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513.21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268.15</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人大监督</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746.87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513.21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233.66</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513.21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513.21</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233.66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233.66</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20.85</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19.63</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0.99</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0.99</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其他司法支出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0.99</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9.68</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9.68</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9.68</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184.67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114.12</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70.55</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114.12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114.12</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47.45</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23.73</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42.94</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34.56</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老年福利</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14.98</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其他社会福利支出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17.86</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20.52</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其他农村生活救助</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20.52</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10.86</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58.66</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32.02</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32.02</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13.39</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13.39</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13.25</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13.25</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745.79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745.79</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83.97</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49.98</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23.29</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53.52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53.52</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53.52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53.52</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347.45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347.45</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338.98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338.98</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8.47</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260.86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260.86</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29.89</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230.97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230.97</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147.79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147.79</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147.79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147.79</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134.54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134.54</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13.25</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67.95</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67.95</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67.95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67.95</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42.26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42.26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42.26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42.26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42.26</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503.50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503.50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22904</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489.90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489.90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2290402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其他地方自行试点项目收益专项债券收入安排的支出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489.90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489.90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用于残疾人事业的彩票公益金支出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重庆市荣昌区清升镇人民政府本级</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2,084.83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781.37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781.37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516.75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184.67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184.67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49.66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49.66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58.66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45.41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13.25</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745.79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745.79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147.79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147.79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67.95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67.95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42.26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42.26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503.50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503.50</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2,601.58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2,601.58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2,084.83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516.75</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2,601.58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2,601.58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2,084.83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516.75</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重庆市荣昌区清升镇人民政府本级</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2,084.83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712.35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1,372.48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781.37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513.21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268.15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人大监督</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746.87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513.21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233.66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513.21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513.21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233.66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233.66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20.85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20.85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其他司法支出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184.67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114.12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70.55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114.12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114.12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47.45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47.45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42.94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42.94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34.56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34.56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老年福利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其他社会福利支出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其他农村生活救助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42.76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42.76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42.76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23.90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23.90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45.41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45.41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32.02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32.02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745.79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745.79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83.97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83.97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49.98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49.98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53.52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53.52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53.52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53.52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347.45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347.45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338.98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338.98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260.86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260.86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29.89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29.89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230.97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230.97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147.79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147.79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147.79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147.79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134.54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134.54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67.95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67.95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67.95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67.95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67.95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67.95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42.26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42.26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42.26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42.26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42.26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42.26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重庆市荣昌区清升镇人民政府本级</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569.15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99.08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117.09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84.97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159.65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47.45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42.26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50.26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44.12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35.52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613.27</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99.08</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重庆市荣昌区清升镇人民政府本级</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516.75</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516.75</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516.75</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13.25</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13.25</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13.25</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13.25</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13.25</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13.25</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2120899</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13.25</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13.25</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13.25</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503.50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503.50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503.50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22904</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489.90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489.90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489.90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2290402</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其他地方自行试点项目收益专项债券收入安排的支出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489.90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489.90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489.90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2296002</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2296006</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用于残疾人事业的彩票公益金支出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重庆市荣昌区清升镇人民政府本级</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重庆市荣昌区清升镇人民政府本级</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99.08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10.61</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10.61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99.08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6.32</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6.32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6.32</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6.32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4.28</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0.85</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0.85</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510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0.85</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0.85</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cs="宋体"/>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p>
      <w:pPr>
        <w:rPr>
          <w:rFonts w:cs="宋体"/>
          <w:sz w:val="18"/>
          <w:szCs w:val="18"/>
        </w:rPr>
      </w:pPr>
    </w:p>
    <w:tbl>
      <w:tblPr>
        <w:tblStyle w:val="7"/>
        <w:tblW w:w="15336" w:type="dxa"/>
        <w:tblInd w:w="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
        <w:gridCol w:w="2073"/>
        <w:gridCol w:w="1518"/>
        <w:gridCol w:w="362"/>
        <w:gridCol w:w="1125"/>
        <w:gridCol w:w="1490"/>
        <w:gridCol w:w="1431"/>
        <w:gridCol w:w="614"/>
        <w:gridCol w:w="735"/>
        <w:gridCol w:w="1047"/>
        <w:gridCol w:w="230"/>
        <w:gridCol w:w="1404"/>
        <w:gridCol w:w="247"/>
        <w:gridCol w:w="728"/>
        <w:gridCol w:w="357"/>
        <w:gridCol w:w="693"/>
        <w:gridCol w:w="1268"/>
        <w:gridCol w:w="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0" w:hRule="atLeast"/>
        </w:trPr>
        <w:tc>
          <w:tcPr>
            <w:tcW w:w="15336" w:type="dxa"/>
            <w:gridSpan w:val="1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Times New Roman" w:hAnsi="Times New Roman" w:eastAsia="微软雅黑" w:cs="微软雅黑"/>
                <w:b/>
                <w:bCs/>
                <w:i w:val="0"/>
                <w:iCs w:val="0"/>
                <w:color w:val="000000"/>
                <w:sz w:val="40"/>
                <w:szCs w:val="40"/>
                <w:u w:val="none"/>
              </w:rPr>
            </w:pPr>
            <w:r>
              <w:rPr>
                <w:rFonts w:hint="eastAsia" w:ascii="Times New Roman" w:hAnsi="Times New Roman" w:cs="宋体"/>
                <w:b/>
                <w:color w:val="000000"/>
                <w:kern w:val="2"/>
                <w:sz w:val="32"/>
                <w:szCs w:val="32"/>
                <w:lang w:val="en-US" w:eastAsia="zh-CN"/>
              </w:rPr>
              <w:t>2024年度单位整体绩效自评表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5336" w:type="dxa"/>
            <w:gridSpan w:val="18"/>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公开10表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3962" w:type="dxa"/>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0"/>
                <w:szCs w:val="20"/>
                <w:u w:val="none"/>
                <w:lang w:eastAsia="zh-CN"/>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重庆市荣昌区</w:t>
            </w:r>
            <w:r>
              <w:rPr>
                <w:rFonts w:hint="eastAsia"/>
                <w:color w:val="000000"/>
                <w:sz w:val="20"/>
                <w:u w:color="auto"/>
                <w:lang w:eastAsia="zh-CN"/>
              </w:rPr>
              <w:t>清升</w:t>
            </w:r>
            <w:r>
              <w:rPr>
                <w:color w:val="000000"/>
                <w:sz w:val="20"/>
                <w:u w:color="auto"/>
              </w:rPr>
              <w:t>镇</w:t>
            </w:r>
            <w:r>
              <w:rPr>
                <w:rFonts w:hint="eastAsia"/>
                <w:color w:val="000000"/>
                <w:sz w:val="20"/>
                <w:u w:color="auto"/>
                <w:lang w:eastAsia="zh-CN"/>
              </w:rPr>
              <w:t>人民政府</w:t>
            </w:r>
          </w:p>
        </w:tc>
        <w:tc>
          <w:tcPr>
            <w:tcW w:w="112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22"/>
                <w:szCs w:val="22"/>
                <w:u w:val="none"/>
              </w:rPr>
            </w:pPr>
          </w:p>
        </w:tc>
        <w:tc>
          <w:tcPr>
            <w:tcW w:w="1490" w:type="dxa"/>
            <w:tcBorders>
              <w:top w:val="nil"/>
              <w:left w:val="nil"/>
              <w:bottom w:val="nil"/>
              <w:right w:val="nil"/>
            </w:tcBorders>
            <w:shd w:val="clear" w:color="auto" w:fill="auto"/>
            <w:noWrap/>
            <w:vAlign w:val="center"/>
          </w:tcPr>
          <w:p>
            <w:pPr>
              <w:jc w:val="right"/>
              <w:rPr>
                <w:rFonts w:hint="eastAsia" w:ascii="Times New Roman" w:hAnsi="Times New Roman" w:eastAsia="宋体" w:cs="宋体"/>
                <w:b/>
                <w:bCs/>
                <w:i w:val="0"/>
                <w:iCs w:val="0"/>
                <w:color w:val="000000"/>
                <w:sz w:val="22"/>
                <w:szCs w:val="22"/>
                <w:u w:val="none"/>
              </w:rPr>
            </w:pPr>
          </w:p>
        </w:tc>
        <w:tc>
          <w:tcPr>
            <w:tcW w:w="1431" w:type="dxa"/>
            <w:tcBorders>
              <w:top w:val="nil"/>
              <w:left w:val="nil"/>
              <w:bottom w:val="nil"/>
              <w:right w:val="nil"/>
            </w:tcBorders>
            <w:shd w:val="clear" w:color="auto" w:fill="auto"/>
            <w:noWrap/>
            <w:vAlign w:val="center"/>
          </w:tcPr>
          <w:p>
            <w:pPr>
              <w:jc w:val="left"/>
              <w:rPr>
                <w:rFonts w:hint="eastAsia" w:ascii="Times New Roman" w:hAnsi="Times New Roman" w:eastAsia="宋体" w:cs="宋体"/>
                <w:i w:val="0"/>
                <w:iCs w:val="0"/>
                <w:color w:val="000000"/>
                <w:sz w:val="22"/>
                <w:szCs w:val="22"/>
                <w:u w:val="none"/>
              </w:rPr>
            </w:pPr>
          </w:p>
        </w:tc>
        <w:tc>
          <w:tcPr>
            <w:tcW w:w="614" w:type="dxa"/>
            <w:tcBorders>
              <w:top w:val="nil"/>
              <w:left w:val="nil"/>
              <w:bottom w:val="nil"/>
              <w:right w:val="nil"/>
            </w:tcBorders>
            <w:shd w:val="clear" w:color="auto" w:fill="auto"/>
            <w:noWrap/>
            <w:vAlign w:val="center"/>
          </w:tcPr>
          <w:p>
            <w:pPr>
              <w:jc w:val="left"/>
              <w:rPr>
                <w:rFonts w:hint="eastAsia" w:ascii="Times New Roman" w:hAnsi="Times New Roman" w:eastAsia="宋体" w:cs="宋体"/>
                <w:i w:val="0"/>
                <w:iCs w:val="0"/>
                <w:color w:val="000000"/>
                <w:sz w:val="22"/>
                <w:szCs w:val="22"/>
                <w:u w:val="none"/>
              </w:rPr>
            </w:pPr>
          </w:p>
        </w:tc>
        <w:tc>
          <w:tcPr>
            <w:tcW w:w="1782" w:type="dxa"/>
            <w:gridSpan w:val="2"/>
            <w:tcBorders>
              <w:top w:val="nil"/>
              <w:left w:val="nil"/>
              <w:bottom w:val="nil"/>
              <w:right w:val="nil"/>
            </w:tcBorders>
            <w:shd w:val="clear" w:color="auto" w:fill="auto"/>
            <w:noWrap/>
            <w:vAlign w:val="center"/>
          </w:tcPr>
          <w:p>
            <w:pPr>
              <w:jc w:val="right"/>
              <w:rPr>
                <w:rFonts w:hint="eastAsia" w:ascii="Times New Roman" w:hAnsi="Times New Roman" w:eastAsia="宋体" w:cs="宋体"/>
                <w:b/>
                <w:bCs/>
                <w:i w:val="0"/>
                <w:iCs w:val="0"/>
                <w:color w:val="000000"/>
                <w:sz w:val="22"/>
                <w:szCs w:val="22"/>
                <w:u w:val="none"/>
              </w:rPr>
            </w:pPr>
          </w:p>
        </w:tc>
        <w:tc>
          <w:tcPr>
            <w:tcW w:w="230" w:type="dxa"/>
            <w:tcBorders>
              <w:top w:val="nil"/>
              <w:left w:val="nil"/>
              <w:bottom w:val="nil"/>
              <w:right w:val="nil"/>
            </w:tcBorders>
            <w:shd w:val="clear" w:color="auto" w:fill="auto"/>
            <w:noWrap/>
            <w:vAlign w:val="center"/>
          </w:tcPr>
          <w:p>
            <w:pPr>
              <w:jc w:val="left"/>
              <w:rPr>
                <w:rFonts w:hint="eastAsia" w:ascii="Times New Roman" w:hAnsi="Times New Roman" w:eastAsia="宋体" w:cs="宋体"/>
                <w:i w:val="0"/>
                <w:iCs w:val="0"/>
                <w:color w:val="000000"/>
                <w:sz w:val="22"/>
                <w:szCs w:val="22"/>
                <w:u w:val="none"/>
              </w:rPr>
            </w:pPr>
          </w:p>
        </w:tc>
        <w:tc>
          <w:tcPr>
            <w:tcW w:w="1651" w:type="dxa"/>
            <w:gridSpan w:val="2"/>
            <w:tcBorders>
              <w:top w:val="nil"/>
              <w:left w:val="nil"/>
              <w:bottom w:val="nil"/>
              <w:right w:val="nil"/>
            </w:tcBorders>
            <w:shd w:val="clear" w:color="auto" w:fill="auto"/>
            <w:noWrap/>
            <w:vAlign w:val="center"/>
          </w:tcPr>
          <w:p>
            <w:pPr>
              <w:jc w:val="left"/>
              <w:rPr>
                <w:rFonts w:hint="eastAsia" w:ascii="Times New Roman" w:hAnsi="Times New Roman" w:eastAsia="宋体" w:cs="宋体"/>
                <w:i w:val="0"/>
                <w:iCs w:val="0"/>
                <w:color w:val="000000"/>
                <w:sz w:val="22"/>
                <w:szCs w:val="22"/>
                <w:u w:val="none"/>
              </w:rPr>
            </w:pPr>
          </w:p>
        </w:tc>
        <w:tc>
          <w:tcPr>
            <w:tcW w:w="1085" w:type="dxa"/>
            <w:gridSpan w:val="2"/>
            <w:tcBorders>
              <w:top w:val="nil"/>
              <w:left w:val="nil"/>
              <w:bottom w:val="nil"/>
              <w:right w:val="nil"/>
            </w:tcBorders>
            <w:shd w:val="clear" w:color="auto" w:fill="auto"/>
            <w:noWrap/>
            <w:vAlign w:val="center"/>
          </w:tcPr>
          <w:p>
            <w:pPr>
              <w:jc w:val="right"/>
              <w:rPr>
                <w:rFonts w:hint="eastAsia" w:ascii="Times New Roman" w:hAnsi="Times New Roman" w:eastAsia="宋体" w:cs="宋体"/>
                <w:b/>
                <w:bCs/>
                <w:i w:val="0"/>
                <w:iCs w:val="0"/>
                <w:color w:val="000000"/>
                <w:sz w:val="22"/>
                <w:szCs w:val="22"/>
                <w:u w:val="none"/>
              </w:rPr>
            </w:pPr>
          </w:p>
        </w:tc>
        <w:tc>
          <w:tcPr>
            <w:tcW w:w="1966" w:type="dxa"/>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cs="宋体"/>
                <w:i w:val="0"/>
                <w:iCs w:val="0"/>
                <w:color w:val="000000"/>
                <w:kern w:val="0"/>
                <w:sz w:val="20"/>
                <w:szCs w:val="20"/>
                <w:u w:val="none"/>
                <w:lang w:val="en-US" w:eastAsia="zh-CN" w:bidi="ar"/>
              </w:rPr>
              <w:t xml:space="preserve">         </w:t>
            </w:r>
            <w:r>
              <w:rPr>
                <w:rFonts w:hint="eastAsia" w:ascii="Times New Roman" w:hAnsi="Times New Roman"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714"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300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重庆市荣昌区</w:t>
            </w:r>
            <w:r>
              <w:rPr>
                <w:rFonts w:hint="eastAsia"/>
                <w:color w:val="000000"/>
                <w:sz w:val="20"/>
                <w:u w:color="auto"/>
                <w:lang w:eastAsia="zh-CN"/>
              </w:rPr>
              <w:t>清升</w:t>
            </w:r>
            <w:r>
              <w:rPr>
                <w:color w:val="000000"/>
                <w:sz w:val="20"/>
                <w:u w:color="auto"/>
              </w:rPr>
              <w:t>镇</w:t>
            </w:r>
            <w:r>
              <w:rPr>
                <w:rFonts w:hint="eastAsia"/>
                <w:color w:val="000000"/>
                <w:sz w:val="20"/>
                <w:u w:color="auto"/>
                <w:lang w:eastAsia="zh-CN"/>
              </w:rPr>
              <w:t>人民政府</w:t>
            </w:r>
            <w:r>
              <w:rPr>
                <w:rFonts w:hint="eastAsia" w:ascii="宋体" w:hAnsi="宋体" w:eastAsia="宋体" w:cs="宋体"/>
                <w:i w:val="0"/>
                <w:color w:val="000000"/>
                <w:kern w:val="0"/>
                <w:sz w:val="20"/>
                <w:szCs w:val="20"/>
                <w:u w:val="none"/>
                <w:lang w:val="en-US" w:eastAsia="zh-CN" w:bidi="ar"/>
              </w:rPr>
              <w:t>整体自评</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项目编码：</w:t>
            </w:r>
          </w:p>
        </w:tc>
        <w:tc>
          <w:tcPr>
            <w:tcW w:w="278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自评总分：</w:t>
            </w: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项目主管部门：</w:t>
            </w:r>
          </w:p>
        </w:tc>
        <w:tc>
          <w:tcPr>
            <w:tcW w:w="300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909-重庆市荣昌区清升镇人民政府</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财政归口处室：</w:t>
            </w:r>
          </w:p>
        </w:tc>
        <w:tc>
          <w:tcPr>
            <w:tcW w:w="278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002-预算科</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cs="宋体"/>
                <w:b/>
                <w:i w:val="0"/>
                <w:color w:val="000000"/>
                <w:kern w:val="0"/>
                <w:sz w:val="20"/>
                <w:szCs w:val="20"/>
                <w:u w:val="none"/>
                <w:lang w:val="en-US" w:eastAsia="zh-CN" w:bidi="ar"/>
              </w:rPr>
              <w:t>单位</w:t>
            </w:r>
            <w:r>
              <w:rPr>
                <w:rFonts w:hint="eastAsia" w:ascii="宋体" w:hAnsi="宋体" w:eastAsia="宋体" w:cs="宋体"/>
                <w:b/>
                <w:i w:val="0"/>
                <w:color w:val="000000"/>
                <w:kern w:val="0"/>
                <w:sz w:val="20"/>
                <w:szCs w:val="20"/>
                <w:u w:val="none"/>
                <w:lang w:val="en-US" w:eastAsia="zh-CN" w:bidi="ar"/>
              </w:rPr>
              <w:t>联系人：</w:t>
            </w: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罗橙</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联系电话：</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18423170446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600" w:hRule="atLeast"/>
        </w:trPr>
        <w:tc>
          <w:tcPr>
            <w:tcW w:w="15322" w:type="dxa"/>
            <w:gridSpan w:val="1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808080"/>
                <w:sz w:val="20"/>
                <w:szCs w:val="20"/>
                <w:u w:val="none"/>
              </w:rPr>
            </w:pPr>
            <w:r>
              <w:rPr>
                <w:rFonts w:hint="eastAsia" w:ascii="微软雅黑" w:hAnsi="微软雅黑" w:eastAsia="微软雅黑" w:cs="微软雅黑"/>
                <w:b/>
                <w:i w:val="0"/>
                <w:color w:val="auto"/>
                <w:kern w:val="0"/>
                <w:sz w:val="20"/>
                <w:szCs w:val="20"/>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35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年初预算数</w:t>
            </w:r>
          </w:p>
        </w:tc>
        <w:tc>
          <w:tcPr>
            <w:tcW w:w="278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全年（调整）预算数</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全年执行数</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执行率权重</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年度总金额</w:t>
            </w:r>
          </w:p>
        </w:tc>
        <w:tc>
          <w:tcPr>
            <w:tcW w:w="15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8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9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33,200,972.02</w:t>
            </w:r>
          </w:p>
        </w:tc>
        <w:tc>
          <w:tcPr>
            <w:tcW w:w="143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49"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26,015,772.38</w:t>
            </w:r>
          </w:p>
        </w:tc>
        <w:tc>
          <w:tcPr>
            <w:tcW w:w="127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0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26,015,772.38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15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8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9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33,200,972.02</w:t>
            </w:r>
          </w:p>
        </w:tc>
        <w:tc>
          <w:tcPr>
            <w:tcW w:w="143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49"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26,015,772.38</w:t>
            </w:r>
          </w:p>
        </w:tc>
        <w:tc>
          <w:tcPr>
            <w:tcW w:w="127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0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26,015,772.38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w:t>
            </w:r>
          </w:p>
        </w:tc>
        <w:tc>
          <w:tcPr>
            <w:tcW w:w="15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8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9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33,200,972.02 </w:t>
            </w:r>
          </w:p>
        </w:tc>
        <w:tc>
          <w:tcPr>
            <w:tcW w:w="143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49"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26,015,772.38</w:t>
            </w:r>
          </w:p>
        </w:tc>
        <w:tc>
          <w:tcPr>
            <w:tcW w:w="127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0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26,015,772.38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600" w:hRule="atLeast"/>
        </w:trPr>
        <w:tc>
          <w:tcPr>
            <w:tcW w:w="15322" w:type="dxa"/>
            <w:gridSpan w:val="1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0"/>
                <w:szCs w:val="20"/>
                <w:u w:val="none"/>
              </w:rPr>
            </w:pPr>
            <w:r>
              <w:rPr>
                <w:rFonts w:hint="eastAsia" w:ascii="微软雅黑" w:hAnsi="微软雅黑" w:eastAsia="微软雅黑" w:cs="微软雅黑"/>
                <w:b/>
                <w:i w:val="0"/>
                <w:color w:val="auto"/>
                <w:kern w:val="0"/>
                <w:sz w:val="20"/>
                <w:szCs w:val="20"/>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年初绩效目标</w:t>
            </w:r>
          </w:p>
        </w:tc>
        <w:tc>
          <w:tcPr>
            <w:tcW w:w="5461"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全年（调整）绩效目标</w:t>
            </w:r>
          </w:p>
        </w:tc>
        <w:tc>
          <w:tcPr>
            <w:tcW w:w="329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3108" w:hRule="atLeast"/>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val="en-US" w:eastAsia="zh-CN"/>
              </w:rPr>
              <w:t>依法行使政治、经济、文化、社会、生态等全方位管理职能。核心职能包括：执行本级人民代表大会的决议和上级国家行政机关的决定和命令；管理本行政区域内的经济、教育、科学、文化、卫生、体育事业和财政、民政、公安、司法行政、计划生育等行政工作；负责社会治安综合治理、应急管理、乡村振兴、生态环境保护、基础设施建设等；保护公民和各类组织的合法权益，提供公共服务，维护社会秩序，保障社会公平正义。</w:t>
            </w:r>
          </w:p>
        </w:tc>
        <w:tc>
          <w:tcPr>
            <w:tcW w:w="546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0"/>
                <w:szCs w:val="20"/>
                <w:u w:val="none"/>
              </w:rPr>
            </w:pPr>
          </w:p>
        </w:tc>
        <w:tc>
          <w:tcPr>
            <w:tcW w:w="329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宋体" w:hAnsi="宋体" w:eastAsia="宋体" w:cs="宋体"/>
                <w:i w:val="0"/>
                <w:color w:val="000000"/>
                <w:sz w:val="20"/>
                <w:szCs w:val="20"/>
                <w:u w:val="none"/>
                <w:lang w:val="en-US" w:eastAsia="zh-CN"/>
              </w:rPr>
            </w:pPr>
            <w:r>
              <w:rPr>
                <w:rFonts w:hint="default" w:ascii="宋体" w:hAnsi="宋体" w:eastAsia="宋体" w:cs="宋体"/>
                <w:i w:val="0"/>
                <w:color w:val="000000"/>
                <w:sz w:val="20"/>
                <w:szCs w:val="20"/>
                <w:u w:val="none"/>
                <w:lang w:val="en-US" w:eastAsia="zh-CN"/>
              </w:rPr>
              <w:t>依法行使政治、经济、文化、社会、生态等全方位管理职能。核心职能包括：执行本级人民代表大会的决议和上级国家行政机关的决定和命令；管理本行政区域内的经济、教育、科学、文化、卫生、体育事业和财政、民政、公安、司法行政、计划生育等行政工作；负责社会治安综合治理、应急管理、乡村振兴、生态环境保护、基础设施建设等；保护公民和各类组织的合法权益，提供公共服务，维护社会秩序，保障社会公平正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600" w:hRule="atLeast"/>
        </w:trPr>
        <w:tc>
          <w:tcPr>
            <w:tcW w:w="15322" w:type="dxa"/>
            <w:gridSpan w:val="1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0"/>
                <w:szCs w:val="20"/>
                <w:u w:val="none"/>
              </w:rPr>
            </w:pPr>
            <w:r>
              <w:rPr>
                <w:rFonts w:hint="eastAsia" w:ascii="微软雅黑" w:hAnsi="微软雅黑" w:eastAsia="微软雅黑" w:cs="微软雅黑"/>
                <w:b/>
                <w:i w:val="0"/>
                <w:color w:val="auto"/>
                <w:kern w:val="0"/>
                <w:sz w:val="20"/>
                <w:szCs w:val="20"/>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指标名称</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计量单位</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指标性质</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指标值</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全年完成值</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偏离度（%）</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得分系数（%）</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指标权重</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指标得分</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是否核心指标</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资金使用合规性</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定性</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完全合规</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完全合规</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5</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5</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固定资产利用率</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95</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95</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5</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人员经费保障率</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公用经费保障率</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cs="宋体"/>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重点工作完成率</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政府公信力与执行力</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left"/>
              <w:textAlignment w:val="center"/>
              <w:rPr>
                <w:rFonts w:hint="eastAsia" w:ascii="宋体" w:hAnsi="宋体" w:eastAsia="宋体" w:cs="宋体"/>
                <w:i w:val="0"/>
                <w:color w:val="000000"/>
                <w:kern w:val="0"/>
                <w:sz w:val="20"/>
                <w:szCs w:val="20"/>
                <w:u w:val="none"/>
                <w:lang w:val="en-US" w:eastAsia="zh-CN" w:bidi="ar"/>
              </w:rPr>
            </w:pP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定性</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持续提升</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sz w:val="20"/>
                <w:szCs w:val="20"/>
                <w:u w:val="none"/>
                <w:lang w:val="en-US" w:eastAsia="zh-CN"/>
              </w:rPr>
              <w:t>持续提升</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是</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重大集访、越级上访事件</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20"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件</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20"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20" w:firstLineChars="10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20" w:firstLineChars="10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招商引资完成率</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20"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20"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20"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90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20"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90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受益或服务对象满意度</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rPr>
          <w:rFonts w:hint="default"/>
          <w:sz w:val="18"/>
          <w:szCs w:val="18"/>
        </w:rPr>
      </w:pP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438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336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E2DA9"/>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E8533E9"/>
    <w:rsid w:val="0F836721"/>
    <w:rsid w:val="0FA25D96"/>
    <w:rsid w:val="0FBD3C60"/>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5D6F4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7E6932"/>
    <w:rsid w:val="1DA52501"/>
    <w:rsid w:val="1DBD6767"/>
    <w:rsid w:val="1DC52125"/>
    <w:rsid w:val="1DD26311"/>
    <w:rsid w:val="1E374ACB"/>
    <w:rsid w:val="1ECF0A66"/>
    <w:rsid w:val="1EF67CA4"/>
    <w:rsid w:val="1F020D3A"/>
    <w:rsid w:val="1F2C5189"/>
    <w:rsid w:val="1F4B0B02"/>
    <w:rsid w:val="1FBB35CD"/>
    <w:rsid w:val="1FCD26AF"/>
    <w:rsid w:val="20642787"/>
    <w:rsid w:val="21556F04"/>
    <w:rsid w:val="215C7732"/>
    <w:rsid w:val="21B55142"/>
    <w:rsid w:val="22403BD3"/>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B821C91"/>
    <w:rsid w:val="2BF81A22"/>
    <w:rsid w:val="2C636760"/>
    <w:rsid w:val="2C6762A3"/>
    <w:rsid w:val="2DF41D09"/>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AB7AFE"/>
    <w:rsid w:val="39B82A39"/>
    <w:rsid w:val="39C42CA8"/>
    <w:rsid w:val="39DC4FD6"/>
    <w:rsid w:val="39F03D7A"/>
    <w:rsid w:val="39F33306"/>
    <w:rsid w:val="3A2C1C67"/>
    <w:rsid w:val="3A2C6DA1"/>
    <w:rsid w:val="3A6A77C9"/>
    <w:rsid w:val="3ADD7F09"/>
    <w:rsid w:val="3B1705E5"/>
    <w:rsid w:val="3B18334B"/>
    <w:rsid w:val="3B36794F"/>
    <w:rsid w:val="3B6F6EE0"/>
    <w:rsid w:val="3C566AD6"/>
    <w:rsid w:val="3C594871"/>
    <w:rsid w:val="3C6A5B02"/>
    <w:rsid w:val="3D2757A1"/>
    <w:rsid w:val="3D3D4FC4"/>
    <w:rsid w:val="3D422299"/>
    <w:rsid w:val="3DDF3AB1"/>
    <w:rsid w:val="3E1D0952"/>
    <w:rsid w:val="3E42660A"/>
    <w:rsid w:val="3E7555B1"/>
    <w:rsid w:val="3E787ED9"/>
    <w:rsid w:val="3F032E93"/>
    <w:rsid w:val="3F0527E5"/>
    <w:rsid w:val="3F4C52C6"/>
    <w:rsid w:val="3F694D83"/>
    <w:rsid w:val="3F885DCC"/>
    <w:rsid w:val="3FCD675E"/>
    <w:rsid w:val="4004000C"/>
    <w:rsid w:val="40BD5482"/>
    <w:rsid w:val="411B6CE5"/>
    <w:rsid w:val="412070D7"/>
    <w:rsid w:val="41314E40"/>
    <w:rsid w:val="41E0734B"/>
    <w:rsid w:val="426C1EA8"/>
    <w:rsid w:val="42736402"/>
    <w:rsid w:val="42E86A87"/>
    <w:rsid w:val="43307B09"/>
    <w:rsid w:val="436D44AF"/>
    <w:rsid w:val="439A3EB9"/>
    <w:rsid w:val="43A2191B"/>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9316A8"/>
    <w:rsid w:val="4D073105"/>
    <w:rsid w:val="4D1F53CA"/>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9E5A73"/>
    <w:rsid w:val="56D2311D"/>
    <w:rsid w:val="56FF7E9E"/>
    <w:rsid w:val="578867FC"/>
    <w:rsid w:val="5842572D"/>
    <w:rsid w:val="594D28E0"/>
    <w:rsid w:val="5A3B59D6"/>
    <w:rsid w:val="5AD134D8"/>
    <w:rsid w:val="5B65473D"/>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5F2638A"/>
    <w:rsid w:val="66267C04"/>
    <w:rsid w:val="663F505A"/>
    <w:rsid w:val="66AF5D7C"/>
    <w:rsid w:val="66EE5541"/>
    <w:rsid w:val="67924660"/>
    <w:rsid w:val="68407834"/>
    <w:rsid w:val="6883293E"/>
    <w:rsid w:val="688412AD"/>
    <w:rsid w:val="68EB1B71"/>
    <w:rsid w:val="696C0310"/>
    <w:rsid w:val="6A6C7940"/>
    <w:rsid w:val="6A9F1565"/>
    <w:rsid w:val="6AAD2300"/>
    <w:rsid w:val="6B474EF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4B30F19"/>
    <w:rsid w:val="750837F0"/>
    <w:rsid w:val="754758CF"/>
    <w:rsid w:val="75595ECD"/>
    <w:rsid w:val="764F62AB"/>
    <w:rsid w:val="765C45EC"/>
    <w:rsid w:val="768A7619"/>
    <w:rsid w:val="772E1EBA"/>
    <w:rsid w:val="77CA0E8F"/>
    <w:rsid w:val="781926BC"/>
    <w:rsid w:val="796D60A4"/>
    <w:rsid w:val="797A664A"/>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1</TotalTime>
  <ScaleCrop>false</ScaleCrop>
  <LinksUpToDate>false</LinksUpToDate>
  <CharactersWithSpaces>26313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2025-11-03T07:27:45Z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BB46EABDBB2749749395447164B066B3_12</vt:lpwstr>
  </property>
</Properties>
</file>