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bookmarkStart w:id="0" w:name="_GoBack"/>
      <w:bookmarkEnd w:id="0"/>
      <w:r>
        <w:rPr>
          <w:rFonts w:ascii="方正小标宋_GBK" w:hAnsi="方正小标宋_GBK" w:eastAsia="方正小标宋_GBK" w:cs="方正小标宋_GBK"/>
          <w:sz w:val="36"/>
          <w:szCs w:val="36"/>
        </w:rPr>
        <w:t>重庆市荣昌区清升镇劳动就业和社会保障服务所</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楷体" w:hAnsi="楷体" w:eastAsia="楷体" w:cs="楷体"/>
          <w:sz w:val="32"/>
          <w:szCs w:val="32"/>
          <w:shd w:val="clear" w:color="auto" w:fill="FFFFFF"/>
        </w:rPr>
      </w:pPr>
      <w:r>
        <w:rPr>
          <w:rStyle w:val="10"/>
          <w:rFonts w:ascii="楷体" w:hAnsi="楷体" w:eastAsia="楷体" w:cs="楷体"/>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为镇政府管理的正科级全额拨款事业单位(公益一类)。宗旨:为辖区劳动就业和社会保障提供服务。主要职责:承担就业、再就业、农村富余劳动力转移、劳动和社会保障、社会救助等方面的事务性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从预算单位构成看，纳入本部门202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年度决算编制的二级预算单位主要包括</w:t>
      </w:r>
      <w:r>
        <w:rPr>
          <w:rFonts w:hint="eastAsia" w:ascii="方正仿宋_GBK" w:hAnsi="方正仿宋_GBK" w:eastAsia="方正仿宋_GBK" w:cs="方正仿宋_GBK"/>
          <w:sz w:val="32"/>
          <w:szCs w:val="32"/>
          <w:shd w:val="clear" w:color="auto" w:fill="FFFFFF"/>
          <w:lang w:val="en-US" w:eastAsia="zh-CN"/>
        </w:rPr>
        <w:t>重庆市荣昌区清升镇人民政府劳动就业和社会保障服务所。</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74.34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收、支与2023年度相比，增加6.94万元，增长10.3%</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sz w:val="32"/>
          <w:szCs w:val="32"/>
          <w:shd w:val="clear" w:color="auto" w:fill="FFFFFF"/>
          <w:lang w:eastAsia="zh-CN"/>
        </w:rPr>
        <w:t>。</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74.34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与2023年度相比，增加6.94万元，增长10.3%</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，主要原因是年初公用经费安排方面有所变化、由上年度在政府本级列支转变为本单位自行列支、故本年财政收入高于上年水平</w:t>
      </w:r>
      <w:r>
        <w:rPr>
          <w:rFonts w:hint="eastAsia" w:ascii="方正仿宋_GBK" w:hAnsi="方正仿宋_GBK" w:eastAsia="方正仿宋_GBK" w:cs="方正仿宋_GBK"/>
          <w:sz w:val="32"/>
          <w:szCs w:val="32"/>
          <w:shd w:val="clear" w:color="auto" w:fill="FFFFFF"/>
          <w:lang w:eastAsia="zh-CN"/>
        </w:rPr>
        <w:t>。</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74.34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74.34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与2023年度相比，增加6.94万元，增长10.3%</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74.34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lang w:val="en-US" w:eastAsia="zh-CN"/>
        </w:rPr>
        <w:t>202</w:t>
      </w: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val="en-US" w:eastAsia="zh-CN"/>
        </w:rPr>
        <w:t>年度</w:t>
      </w:r>
      <w:r>
        <w:rPr>
          <w:rFonts w:hint="eastAsia" w:ascii="方正仿宋_GBK" w:hAnsi="方正仿宋_GBK" w:eastAsia="方正仿宋_GBK" w:cs="方正仿宋_GBK"/>
          <w:sz w:val="32"/>
          <w:szCs w:val="32"/>
          <w:shd w:val="clear" w:color="auto" w:fill="FFFFFF"/>
          <w:lang w:val="en-US" w:eastAsia="zh-CN"/>
        </w:rPr>
        <w:t>无</w:t>
      </w:r>
      <w:r>
        <w:rPr>
          <w:rFonts w:hint="default" w:ascii="方正仿宋_GBK" w:hAnsi="方正仿宋_GBK" w:eastAsia="方正仿宋_GBK" w:cs="方正仿宋_GBK"/>
          <w:sz w:val="32"/>
          <w:szCs w:val="32"/>
          <w:shd w:val="clear" w:color="auto" w:fill="FFFFFF"/>
          <w:lang w:val="en-US" w:eastAsia="zh-CN"/>
        </w:rPr>
        <w:t>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74.34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财政拨款收、支总计各增加6.94万元，增长10.3%</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。主要原因是年初公用经费安排方面有所变化、由上年度在政府本级列支转变为本单位自行列支、故本年财政收入</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74.34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与2023年度相比，增加6.94万元，增长10.3%</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。主要原因是年初公用经费安排方面有所变化、由上年度在政府本级列支转变为本单位自行列支、故本年财政收入高于上年水平</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较年初预算数增加1.05万元，增长1.4%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本年度补缴了在职人员的职业年金和养老保险。</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74.34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与2023年度相比，增加6.94万元，增长10.3%</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较年初预算数增加1.05万元，增长1.4%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本年度补缴了在职人员的职业年金和养老保险。</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较年初预算数减少0.44万元，下降100.0%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本年度未发生职工教育支出。</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67.82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较年初预算数增加1.97万元，增长3.0%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本年度补缴了在职人员的职业年金和养老保险。</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较年初预算数减少0.39万元，下降11.3%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w:t>
      </w:r>
      <w:r>
        <w:rPr>
          <w:rFonts w:hint="eastAsia" w:ascii="方正仿宋_GBK" w:hAnsi="方正仿宋_GBK" w:eastAsia="方正仿宋_GBK" w:cs="方正仿宋_GBK"/>
          <w:color w:val="auto"/>
          <w:sz w:val="32"/>
          <w:szCs w:val="32"/>
          <w:shd w:val="clear" w:color="auto" w:fill="FFFFFF"/>
          <w:lang w:eastAsia="zh-CN"/>
        </w:rPr>
        <w:t>社保基数调整，较年初预算数减少；二是本年度未发生生育保险支出。</w:t>
      </w:r>
    </w:p>
    <w:p>
      <w:pPr>
        <w:spacing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较年初预算数减少0.08万元，下降2.3%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年初预算时对人员工资调整的情况预估不准确，导致预算数偏高。</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2024年度无年末结转和结余。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74.34</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64.14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与2023年度相比，减少1.39万元，下降2.1%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社保基数调整，本年度无生育保险缴费支出。</w:t>
      </w:r>
      <w:r>
        <w:rPr>
          <w:rFonts w:ascii="方正仿宋_GBK" w:hAnsi="方正仿宋_GBK" w:eastAsia="方正仿宋_GBK" w:cs="方正仿宋_GBK"/>
          <w:color w:val="auto"/>
          <w:sz w:val="32"/>
          <w:szCs w:val="32"/>
          <w:shd w:val="clear" w:color="auto" w:fill="FFFFFF"/>
        </w:rPr>
        <w:t>人员经费用途主</w:t>
      </w:r>
      <w:r>
        <w:rPr>
          <w:rFonts w:ascii="方正仿宋_GBK" w:hAnsi="方正仿宋_GBK" w:eastAsia="方正仿宋_GBK" w:cs="方正仿宋_GBK"/>
          <w:sz w:val="32"/>
          <w:szCs w:val="32"/>
          <w:shd w:val="clear" w:color="auto" w:fill="FFFFFF"/>
        </w:rPr>
        <w:t>要包括</w:t>
      </w:r>
      <w:r>
        <w:rPr>
          <w:rFonts w:hint="eastAsia" w:ascii="方正仿宋_GBK" w:hAnsi="方正仿宋_GBK" w:eastAsia="方正仿宋_GBK" w:cs="方正仿宋_GBK"/>
          <w:sz w:val="32"/>
          <w:szCs w:val="32"/>
          <w:shd w:val="clear" w:color="auto" w:fill="FFFFFF"/>
        </w:rPr>
        <w:t>基本工资、绩效工资、津贴补贴、各项奖金、社会保障缴费以及部分离退休人员经费支出等</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与2023年度相比，增加8.33万元，增长445.5%</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办公费、印刷费、咨询费、水电费、邮电费、差旅费、会议费、公务接待费、劳务费、公务用车运行维护费、其他商品和服务支出等费用支出。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本</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本年度未发生三公经费支出。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color w:val="auto"/>
          <w:sz w:val="32"/>
          <w:szCs w:val="32"/>
          <w:shd w:val="clear" w:color="auto" w:fill="FFFFFF"/>
        </w:rPr>
        <w:t>因</w:t>
      </w:r>
      <w:r>
        <w:rPr>
          <w:rFonts w:ascii="方正仿宋_GBK" w:hAnsi="方正仿宋_GBK" w:eastAsia="方正仿宋_GBK" w:cs="方正仿宋_GBK"/>
          <w:sz w:val="32"/>
          <w:szCs w:val="32"/>
          <w:shd w:val="clear" w:color="auto" w:fill="FFFFFF"/>
        </w:rPr>
        <w:t>公出国（境）费用</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利用数字化平台，进行线上培训，减少线下支出。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与2023年度相比，减少1.55万元，下降100.0%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数字办公化普及，大量工作通过线上会议、视频沟通等方式开展，替代传统的现场调研、异地协调，减少了差旅需求。</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lang w:eastAsia="zh-CN"/>
        </w:rPr>
        <w:t>按照部门决算列报口径，我</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lang w:eastAsia="zh-CN"/>
        </w:rPr>
        <w:t>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w:t>
      </w:r>
      <w:r>
        <w:rPr>
          <w:rFonts w:hint="eastAsia" w:ascii="方正仿宋_GBK" w:hAnsi="方正仿宋_GBK" w:eastAsia="方正仿宋_GBK" w:cs="方正仿宋_GBK"/>
          <w:sz w:val="32"/>
          <w:szCs w:val="32"/>
          <w:shd w:val="clear" w:color="auto" w:fill="FFFFFF"/>
          <w:lang w:eastAsia="zh-CN"/>
        </w:rPr>
        <w:t>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Style w:val="10"/>
          <w:rFonts w:hint="eastAsia" w:ascii="黑体" w:hAnsi="黑体" w:eastAsia="黑体" w:cs="黑体"/>
          <w:sz w:val="32"/>
          <w:szCs w:val="32"/>
          <w:shd w:val="clear" w:color="auto" w:fill="FFFFFF"/>
          <w:lang w:val="en-US" w:eastAsia="zh-CN" w:bidi="ar-SA"/>
        </w:rPr>
      </w:pPr>
      <w:r>
        <w:rPr>
          <w:rStyle w:val="10"/>
          <w:rFonts w:ascii="黑体" w:hAnsi="黑体" w:eastAsia="黑体" w:cs="黑体"/>
          <w:sz w:val="32"/>
          <w:szCs w:val="32"/>
          <w:shd w:val="clear" w:color="auto" w:fill="FFFFFF"/>
        </w:rPr>
        <w:t>五、</w:t>
      </w:r>
      <w:r>
        <w:rPr>
          <w:rStyle w:val="10"/>
          <w:rFonts w:hint="eastAsia" w:ascii="黑体" w:hAnsi="黑体" w:eastAsia="黑体" w:cs="黑体"/>
          <w:sz w:val="32"/>
          <w:szCs w:val="32"/>
          <w:shd w:val="clear" w:color="auto" w:fill="FFFFFF"/>
          <w:lang w:eastAsia="zh-CN"/>
        </w:rPr>
        <w:t>预算</w:t>
      </w:r>
      <w:r>
        <w:rPr>
          <w:rStyle w:val="10"/>
          <w:rFonts w:hint="eastAsia" w:ascii="黑体" w:hAnsi="黑体" w:eastAsia="黑体" w:cs="黑体"/>
          <w:sz w:val="32"/>
          <w:szCs w:val="32"/>
          <w:shd w:val="clear" w:color="auto" w:fill="FFFFFF"/>
          <w:lang w:val="en-US" w:eastAsia="zh-CN" w:bidi="ar-SA"/>
        </w:rPr>
        <w:t>绩效管理情况说明</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（一）单位自评情况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根据预算绩效管理要求，我单位对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个项目开展了绩效自评，涉及</w:t>
      </w:r>
      <w:r>
        <w:rPr>
          <w:rFonts w:hint="eastAsia" w:ascii="方正仿宋_GBK" w:hAnsi="方正仿宋_GBK" w:eastAsia="方正仿宋_GBK" w:cs="方正仿宋_GBK"/>
          <w:color w:val="auto"/>
          <w:sz w:val="32"/>
          <w:szCs w:val="32"/>
          <w:shd w:val="clear" w:color="auto" w:fill="FFFFFF"/>
          <w:lang w:eastAsia="zh-CN" w:bidi="ar"/>
        </w:rPr>
        <w:t>财政拨款</w:t>
      </w:r>
      <w:r>
        <w:rPr>
          <w:rFonts w:hint="eastAsia" w:ascii="方正仿宋_GBK" w:hAnsi="方正仿宋_GBK" w:eastAsia="方正仿宋_GBK" w:cs="方正仿宋_GBK"/>
          <w:sz w:val="32"/>
          <w:szCs w:val="32"/>
          <w:shd w:val="clear" w:color="auto" w:fill="FFFFFF"/>
          <w:lang w:eastAsia="zh-CN"/>
        </w:rPr>
        <w:t>资金</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（二）单位绩效评价情况</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我单位未组织开展绩效评价。</w:t>
      </w:r>
    </w:p>
    <w:p>
      <w:pPr>
        <w:pStyle w:val="11"/>
        <w:autoSpaceDE w:val="0"/>
        <w:rPr>
          <w:rFonts w:hint="eastAsia"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val="en-US" w:eastAsia="zh-CN" w:bidi="ar"/>
        </w:rPr>
        <w:t xml:space="preserve">（三）财政绩效评价情况 </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bidi="ar-SA"/>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六</w:t>
      </w:r>
      <w:r>
        <w:rPr>
          <w:rStyle w:val="10"/>
          <w:rFonts w:ascii="黑体" w:hAnsi="黑体" w:eastAsia="黑体" w:cs="黑体"/>
          <w:sz w:val="32"/>
          <w:szCs w:val="32"/>
          <w:shd w:val="clear" w:color="auto" w:fill="FFFFFF"/>
        </w:rPr>
        <w:t>、专业名词解释</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0"/>
          <w:rFonts w:hint="default" w:ascii="方正仿宋_GBK" w:hAnsi="方正仿宋_GBK" w:eastAsia="方正仿宋_GBK" w:cs="方正仿宋_GBK"/>
          <w:sz w:val="32"/>
          <w:szCs w:val="32"/>
          <w:shd w:val="clear" w:color="auto"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val="en-US" w:eastAsia="zh-CN"/>
        </w:rPr>
        <w:t>023-81069618</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重庆市荣昌区清升镇劳动就业和社会保障服务所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重庆市荣昌区清升镇劳动就业和社会保障服务所</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74.34</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74.34</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重庆市荣昌区清升镇劳动就业和社会保障服务所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74.34</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74.34</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重庆市荣昌区清升镇劳动就业和社会保障服务所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重庆市荣昌区清升镇劳动就业和社会保障服务所</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74.34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74.34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重庆市荣昌区清升镇劳动就业和社会保障服务所</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64.14</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重庆市荣昌区清升镇劳动就业和社会保障服务所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重庆市荣昌区清升镇劳动就业和社会保障服务所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重庆市荣昌区清升镇劳动就业和社会保障服务所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tbl>
      <w:tblPr>
        <w:tblStyle w:val="7"/>
        <w:tblW w:w="15336"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
        <w:gridCol w:w="2073"/>
        <w:gridCol w:w="1518"/>
        <w:gridCol w:w="362"/>
        <w:gridCol w:w="1125"/>
        <w:gridCol w:w="1490"/>
        <w:gridCol w:w="1431"/>
        <w:gridCol w:w="614"/>
        <w:gridCol w:w="735"/>
        <w:gridCol w:w="1047"/>
        <w:gridCol w:w="230"/>
        <w:gridCol w:w="1404"/>
        <w:gridCol w:w="247"/>
        <w:gridCol w:w="728"/>
        <w:gridCol w:w="357"/>
        <w:gridCol w:w="693"/>
        <w:gridCol w:w="1268"/>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5336"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Times New Roman" w:hAnsi="Times New Roman" w:eastAsia="微软雅黑" w:cs="微软雅黑"/>
                <w:b/>
                <w:bCs/>
                <w:i w:val="0"/>
                <w:iCs w:val="0"/>
                <w:color w:val="000000"/>
                <w:sz w:val="40"/>
                <w:szCs w:val="40"/>
                <w:u w:val="none"/>
              </w:rPr>
            </w:pPr>
            <w:r>
              <w:rPr>
                <w:rFonts w:hint="eastAsia" w:ascii="Times New Roman" w:hAnsi="Times New Roman" w:cs="宋体"/>
                <w:b/>
                <w:color w:val="000000"/>
                <w:kern w:val="2"/>
                <w:sz w:val="32"/>
                <w:szCs w:val="32"/>
                <w:lang w:val="en-US" w:eastAsia="zh-CN"/>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336" w:type="dxa"/>
            <w:gridSpan w:val="18"/>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962"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w:t>
            </w:r>
            <w:r>
              <w:rPr>
                <w:rFonts w:hint="eastAsia"/>
                <w:color w:val="000000"/>
                <w:sz w:val="20"/>
                <w:u w:color="auto"/>
                <w:lang w:eastAsia="zh-CN"/>
              </w:rPr>
              <w:t>清升</w:t>
            </w:r>
            <w:r>
              <w:rPr>
                <w:color w:val="000000"/>
                <w:sz w:val="20"/>
                <w:u w:color="auto"/>
              </w:rPr>
              <w:t>镇劳动就业和社会保障服务所</w:t>
            </w:r>
          </w:p>
        </w:tc>
        <w:tc>
          <w:tcPr>
            <w:tcW w:w="11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1431"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614"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782" w:type="dxa"/>
            <w:gridSpan w:val="2"/>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230"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651" w:type="dxa"/>
            <w:gridSpan w:val="2"/>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085" w:type="dxa"/>
            <w:gridSpan w:val="2"/>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1966"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714"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color w:val="000000"/>
                <w:sz w:val="20"/>
                <w:u w:color="auto"/>
              </w:rPr>
              <w:t>重庆市荣昌区</w:t>
            </w:r>
            <w:r>
              <w:rPr>
                <w:rFonts w:hint="eastAsia"/>
                <w:color w:val="000000"/>
                <w:sz w:val="20"/>
                <w:u w:color="auto"/>
                <w:lang w:eastAsia="zh-CN"/>
              </w:rPr>
              <w:t>清升</w:t>
            </w:r>
            <w:r>
              <w:rPr>
                <w:color w:val="000000"/>
                <w:sz w:val="20"/>
                <w:u w:color="auto"/>
              </w:rPr>
              <w:t>镇劳动就业和社会保障服务所</w:t>
            </w:r>
            <w:r>
              <w:rPr>
                <w:rFonts w:hint="eastAsia" w:ascii="宋体" w:hAnsi="宋体" w:eastAsia="宋体" w:cs="宋体"/>
                <w:i w:val="0"/>
                <w:color w:val="000000"/>
                <w:kern w:val="0"/>
                <w:sz w:val="20"/>
                <w:szCs w:val="20"/>
                <w:u w:val="none"/>
                <w:lang w:val="en-US" w:eastAsia="zh-CN" w:bidi="ar"/>
              </w:rPr>
              <w:t>整体自评</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909-重庆市荣昌区清升镇人民政府</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002-预算科</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cs="宋体"/>
                <w:b/>
                <w:i w:val="0"/>
                <w:color w:val="000000"/>
                <w:kern w:val="0"/>
                <w:sz w:val="20"/>
                <w:szCs w:val="20"/>
                <w:u w:val="none"/>
                <w:lang w:val="en-US" w:eastAsia="zh-CN" w:bidi="ar"/>
              </w:rPr>
              <w:t>单位</w:t>
            </w:r>
            <w:r>
              <w:rPr>
                <w:rFonts w:hint="eastAsia" w:ascii="宋体" w:hAnsi="宋体" w:eastAsia="宋体" w:cs="宋体"/>
                <w:b/>
                <w:i w:val="0"/>
                <w:color w:val="000000"/>
                <w:kern w:val="0"/>
                <w:sz w:val="20"/>
                <w:szCs w:val="20"/>
                <w:u w:val="none"/>
                <w:lang w:val="en-US" w:eastAsia="zh-CN" w:bidi="ar"/>
              </w:rPr>
              <w:t>联系人：</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罗橙</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18423170446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35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732908.05</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743386.53</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743386.53</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732908.05</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743386.53</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743386.53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732908.05 </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743386.53</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743386.53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3108"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完成就业、再就业、农村富余劳动力转移、劳动和社会保障、社会救助等方面的事务性服务工作。</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完成就业、再就业、农村富余劳动力转移、劳动和社会保障、社会救助等方面的事务性服务工作。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指标名称</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指标性质</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偏离度（%）</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得分系数（%）</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指标权重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指标得分</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是否核心指标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固定资产利用率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人员经费保障率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公用经费保障率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重点工作完成率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政策宣传覆盖率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服务窗口按时办结率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受益或服务对象满意度</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rPr>
          <w:rFonts w:hint="default"/>
          <w:sz w:val="18"/>
          <w:szCs w:val="18"/>
        </w:rPr>
      </w:pP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1516DD"/>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AF3B3C"/>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B850B7"/>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2E75CC"/>
    <w:rsid w:val="72DB435C"/>
    <w:rsid w:val="72E2613A"/>
    <w:rsid w:val="72F771F4"/>
    <w:rsid w:val="73934AD2"/>
    <w:rsid w:val="73AC2F3A"/>
    <w:rsid w:val="743B300F"/>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2025-11-03T07:25:42Z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