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重庆市荣昌区清升镇综合行政执法大队</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sz w:val="27"/>
          <w:szCs w:val="27"/>
          <w:shd w:val="clear" w:color="auto" w:fill="FFFF00"/>
        </w:rPr>
      </w:pP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w:t>
      </w:r>
      <w:bookmarkStart w:id="0" w:name="_GoBack"/>
      <w:bookmarkEnd w:id="0"/>
      <w:r>
        <w:rPr>
          <w:rFonts w:ascii="方正小标宋_GBK" w:hAnsi="方正小标宋_GBK" w:eastAsia="方正小标宋_GBK" w:cs="方正小标宋_GBK"/>
          <w:sz w:val="36"/>
          <w:szCs w:val="36"/>
          <w:shd w:val="clear" w:color="auto" w:fill="FFFFFF"/>
        </w:rPr>
        <w:t>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为镇政府管理的正科级全额技款事业单位(公益一类)。宗旨:弘扬法治精神，建设法治政府、法治国家、法治社会。主要职责:集中行使依法授权或委托的农林水利、规划建设、环境保护、卫生计生、文化旅游、民政管理等领域的行政执法权。协调、配合区级有关部门及派驻机构开展其他领域的联合执法。</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bidi="ar-SA"/>
        </w:rPr>
        <w:t>从预算单位构成看，纳入本部门2024年度决算编制的二级预算单位主要包括重庆市荣昌区清升镇人民政府综合行政执法大队。</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104.11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收、支与2023年度相比，增加28.46万元，增长37.6%</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，主要原因是年初公用经费安排方面有所变化、由上年度在政府本级列支转变为本单位自行列支、故本年财政收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高于上年水平</w:t>
      </w:r>
      <w:r>
        <w:rPr>
          <w:rFonts w:hint="eastAsia" w:ascii="方正仿宋_GBK" w:hAnsi="方正仿宋_GBK" w:eastAsia="方正仿宋_GBK" w:cs="方正仿宋_GBK"/>
          <w:sz w:val="32"/>
          <w:szCs w:val="32"/>
          <w:shd w:val="clear" w:color="auto" w:fill="FFFFFF"/>
          <w:lang w:eastAsia="zh-CN"/>
        </w:rPr>
        <w:t>。</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104.11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与2023年度相比，增加28.46万元，增长37.6%</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，主要原因是年初公用经费安排方面有所变化、由上年度在政府本级列支转变为本单位自行列支、故本年财政收</w:t>
      </w:r>
      <w:r>
        <w:rPr>
          <w:rFonts w:hint="eastAsia" w:ascii="方正仿宋_GBK" w:hAnsi="方正仿宋_GBK" w:eastAsia="方正仿宋_GBK" w:cs="方正仿宋_GBK"/>
          <w:sz w:val="32"/>
          <w:szCs w:val="32"/>
          <w:shd w:val="clear" w:color="auto" w:fill="FFFFFF"/>
          <w:lang w:eastAsia="zh-CN"/>
        </w:rPr>
        <w:t>入</w:t>
      </w:r>
      <w:r>
        <w:rPr>
          <w:rFonts w:ascii="方正仿宋_GBK" w:hAnsi="方正仿宋_GBK" w:eastAsia="方正仿宋_GBK" w:cs="方正仿宋_GBK"/>
          <w:sz w:val="32"/>
          <w:szCs w:val="32"/>
          <w:shd w:val="clear" w:color="auto" w:fill="FFFFFF"/>
        </w:rPr>
        <w:t>高于上年水平</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104.11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104.11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与2023年度相比，增加28.46万元，增长37.6%</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高于上年水平</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104.11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lang w:val="en-US" w:eastAsia="zh-CN"/>
        </w:rPr>
        <w:t>202</w:t>
      </w:r>
      <w:r>
        <w:rPr>
          <w:rFonts w:hint="eastAsia" w:ascii="方正仿宋_GBK" w:hAnsi="方正仿宋_GBK" w:eastAsia="方正仿宋_GBK" w:cs="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lang w:val="en-US" w:eastAsia="zh-CN"/>
        </w:rPr>
        <w:t>年度</w:t>
      </w:r>
      <w:r>
        <w:rPr>
          <w:rFonts w:hint="eastAsia" w:ascii="方正仿宋_GBK" w:hAnsi="方正仿宋_GBK" w:eastAsia="方正仿宋_GBK" w:cs="方正仿宋_GBK"/>
          <w:sz w:val="32"/>
          <w:szCs w:val="32"/>
          <w:shd w:val="clear" w:color="auto" w:fill="FFFFFF"/>
          <w:lang w:val="en-US" w:eastAsia="zh-CN"/>
        </w:rPr>
        <w:t>无</w:t>
      </w:r>
      <w:r>
        <w:rPr>
          <w:rFonts w:hint="default" w:ascii="方正仿宋_GBK" w:hAnsi="方正仿宋_GBK" w:eastAsia="方正仿宋_GBK" w:cs="方正仿宋_GBK"/>
          <w:sz w:val="32"/>
          <w:szCs w:val="32"/>
          <w:shd w:val="clear" w:color="auto" w:fill="FFFFFF"/>
          <w:lang w:val="en-US" w:eastAsia="zh-CN"/>
        </w:rPr>
        <w:t>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104.11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财政拨款收、支总计各增加28.46万元，增长37.6%</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高于上年水平</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104.11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与2023年度相比，增加28.46万元，增长37.6%</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。主要原因是年初公用经费安排方面有所变化、由上年度在政府本级列支转变为本单位自行列支、故本年财政收入高于上年水平</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较年初预算数增加3.19万元，增长3.2%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本年补缴养老保险和职业年金。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104.11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与2023年度相比，增加28.46万元，增长37.6%</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高于上年水平</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较年初预算数增加3.19万元，增长3.2%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本年补缴养老保险和职业年金。</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83.30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较年初预算数增加0.01万元，增长0.0%</w:t>
      </w:r>
      <w:r>
        <w:rPr>
          <w:rFonts w:ascii="方正仿宋_GBK" w:hAnsi="方正仿宋_GBK" w:eastAsia="方正仿宋_GBK" w:cs="方正仿宋_GBK"/>
          <w:sz w:val="32"/>
          <w:szCs w:val="32"/>
          <w:shd w:val="clear" w:color="auto" w:fill="FFFFFF"/>
        </w:rPr>
        <w:t>，主要原因是主要原因</w:t>
      </w:r>
      <w:r>
        <w:rPr>
          <w:rFonts w:hint="eastAsia" w:ascii="方正仿宋_GBK" w:hAnsi="方正仿宋_GBK" w:eastAsia="方正仿宋_GBK" w:cs="方正仿宋_GBK"/>
          <w:sz w:val="32"/>
          <w:szCs w:val="32"/>
          <w:shd w:val="clear" w:color="auto" w:fill="FFFFFF"/>
          <w:lang w:eastAsia="zh-CN"/>
        </w:rPr>
        <w:t>一是本年补缴养老保险和职业年金；二是厉行节约，年中压减公用经费开支。</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较年初预算数减少0.53万元，下降100.0%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本年度未发生职工教育支出。</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12.50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较年初预算数增加3.99万元，增长46.9%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本年度补缴养老保险和职业年金。</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较年初预算数减少0.20万元，下降4.6%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社保缴费基数调整，与年初预算有误差。</w:t>
      </w:r>
    </w:p>
    <w:p>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较年初预算数减少0.07万元，下降1.7%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住房</w:t>
      </w:r>
      <w:r>
        <w:rPr>
          <w:rFonts w:hint="eastAsia" w:ascii="方正仿宋_GBK" w:hAnsi="方正仿宋_GBK" w:eastAsia="方正仿宋_GBK" w:cs="方正仿宋_GBK"/>
          <w:color w:val="auto"/>
          <w:sz w:val="32"/>
          <w:szCs w:val="32"/>
          <w:shd w:val="clear" w:color="auto" w:fill="FFFFFF"/>
          <w:lang w:eastAsia="zh-CN"/>
        </w:rPr>
        <w:t>公积金基数调整，与年初预算有误差。</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2024年度无年末结转和结余。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104.11</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87.70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与2023年度相比，增加14.69万元，增长20.1%</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本年度新增</w:t>
      </w:r>
      <w:r>
        <w:rPr>
          <w:rFonts w:hint="eastAsia" w:ascii="方正仿宋_GBK" w:hAnsi="方正仿宋_GBK" w:eastAsia="方正仿宋_GBK" w:cs="方正仿宋_GBK"/>
          <w:color w:val="auto"/>
          <w:sz w:val="32"/>
          <w:szCs w:val="32"/>
          <w:shd w:val="clear" w:color="auto" w:fill="FFFFFF"/>
          <w:lang w:val="en-US" w:eastAsia="zh-CN"/>
        </w:rPr>
        <w:t>1名人员，人员经费增加。</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基本工资、绩效工资、津贴补贴、各项奖金、社会保障缴费以及部分离退休人员经费支出等</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16.42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与2023年度相比，增加13.78万元，增长522.0%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本年度新增</w:t>
      </w:r>
      <w:r>
        <w:rPr>
          <w:rFonts w:hint="eastAsia" w:ascii="方正仿宋_GBK" w:hAnsi="方正仿宋_GBK" w:eastAsia="方正仿宋_GBK" w:cs="方正仿宋_GBK"/>
          <w:color w:val="auto"/>
          <w:sz w:val="32"/>
          <w:szCs w:val="32"/>
          <w:shd w:val="clear" w:color="auto" w:fill="FFFFFF"/>
          <w:lang w:val="en-US" w:eastAsia="zh-CN"/>
        </w:rPr>
        <w:t>1名人员，公用经费随之增加，二是</w:t>
      </w:r>
      <w:r>
        <w:rPr>
          <w:rFonts w:ascii="方正仿宋_GBK" w:hAnsi="方正仿宋_GBK" w:eastAsia="方正仿宋_GBK" w:cs="方正仿宋_GBK"/>
          <w:sz w:val="32"/>
          <w:szCs w:val="32"/>
          <w:shd w:val="clear" w:color="auto" w:fill="FFFFFF"/>
        </w:rPr>
        <w:t>年初公用经费安排方面有所变化、由上年度在政府本级列支转变为本单位自行列支、故本年</w:t>
      </w:r>
      <w:r>
        <w:rPr>
          <w:rFonts w:hint="eastAsia" w:ascii="方正仿宋_GBK" w:hAnsi="方正仿宋_GBK" w:eastAsia="方正仿宋_GBK" w:cs="方正仿宋_GBK"/>
          <w:sz w:val="32"/>
          <w:szCs w:val="32"/>
          <w:shd w:val="clear" w:color="auto" w:fill="FFFFFF"/>
          <w:lang w:eastAsia="zh-CN"/>
        </w:rPr>
        <w:t>公用经费</w:t>
      </w:r>
      <w:r>
        <w:rPr>
          <w:rFonts w:ascii="方正仿宋_GBK" w:hAnsi="方正仿宋_GBK" w:eastAsia="方正仿宋_GBK" w:cs="方正仿宋_GBK"/>
          <w:sz w:val="32"/>
          <w:szCs w:val="32"/>
          <w:shd w:val="clear" w:color="auto" w:fill="FFFFFF"/>
        </w:rPr>
        <w:t>高于上年水平</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公用经费用途主要包</w:t>
      </w:r>
      <w:r>
        <w:rPr>
          <w:rFonts w:ascii="方正仿宋_GBK" w:hAnsi="方正仿宋_GBK" w:eastAsia="方正仿宋_GBK" w:cs="方正仿宋_GBK"/>
          <w:sz w:val="32"/>
          <w:szCs w:val="32"/>
          <w:shd w:val="clear" w:color="auto" w:fill="FFFFFF"/>
        </w:rPr>
        <w:t>括</w:t>
      </w:r>
      <w:r>
        <w:rPr>
          <w:rFonts w:hint="eastAsia" w:ascii="方正仿宋_GBK" w:hAnsi="方正仿宋_GBK" w:eastAsia="方正仿宋_GBK" w:cs="方正仿宋_GBK"/>
          <w:sz w:val="32"/>
          <w:szCs w:val="32"/>
          <w:shd w:val="clear" w:color="auto" w:fill="FFFFFF"/>
          <w:lang w:val="en-US" w:eastAsia="zh-CN"/>
        </w:rPr>
        <w:t>办公费、印刷费、咨询费、水电费、邮电费、差旅费、会议费、公务接待费、劳务费、公务用车运行维护费、其他商品和服务支出等费用支出。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shd w:val="clear" w:color="auto" w:fill="FFFFFF"/>
          <w:lang w:val="en-US" w:eastAsia="zh-CN"/>
        </w:rPr>
        <w:t>本</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本年度未发生三公经费支出。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color w:val="auto"/>
          <w:sz w:val="32"/>
          <w:szCs w:val="32"/>
          <w:shd w:val="clear" w:color="auto" w:fill="FFFFFF"/>
        </w:rPr>
        <w:t>因</w:t>
      </w:r>
      <w:r>
        <w:rPr>
          <w:rFonts w:ascii="方正仿宋_GBK" w:hAnsi="方正仿宋_GBK" w:eastAsia="方正仿宋_GBK" w:cs="方正仿宋_GBK"/>
          <w:sz w:val="32"/>
          <w:szCs w:val="32"/>
          <w:shd w:val="clear" w:color="auto" w:fill="FFFFFF"/>
        </w:rPr>
        <w:t>公出国（境）费用</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利用数字化平台，进行线上培训，减少线下支出。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与2023年度相比，减少2.19万元，下降100.0%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数字办公化普及，大量工作通过线上会议、视频沟通等方式开展，替代传统的现场调研、异地协调，减少了差旅需求。</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lang w:eastAsia="zh-CN"/>
        </w:rPr>
        <w:t>按照部门决算列报口径，我</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lang w:eastAsia="zh-CN"/>
        </w:rPr>
        <w:t>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w:t>
      </w:r>
      <w:r>
        <w:rPr>
          <w:rFonts w:hint="eastAsia" w:ascii="方正仿宋_GBK" w:hAnsi="方正仿宋_GBK" w:eastAsia="方正仿宋_GBK" w:cs="方正仿宋_GBK"/>
          <w:sz w:val="32"/>
          <w:szCs w:val="32"/>
          <w:shd w:val="clear" w:color="auto" w:fill="FFFFFF"/>
          <w:lang w:eastAsia="zh-CN"/>
        </w:rPr>
        <w:t>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Style w:val="10"/>
          <w:rFonts w:hint="eastAsia" w:ascii="黑体" w:hAnsi="黑体" w:eastAsia="黑体" w:cs="黑体"/>
          <w:sz w:val="32"/>
          <w:szCs w:val="32"/>
          <w:shd w:val="clear" w:color="auto" w:fill="FFFFFF"/>
          <w:lang w:val="en-US" w:eastAsia="zh-CN" w:bidi="ar-SA"/>
        </w:rPr>
      </w:pPr>
      <w:r>
        <w:rPr>
          <w:rStyle w:val="10"/>
          <w:rFonts w:ascii="黑体" w:hAnsi="黑体" w:eastAsia="黑体" w:cs="黑体"/>
          <w:sz w:val="32"/>
          <w:szCs w:val="32"/>
          <w:shd w:val="clear" w:color="auto" w:fill="FFFFFF"/>
        </w:rPr>
        <w:t>五、</w:t>
      </w:r>
      <w:r>
        <w:rPr>
          <w:rStyle w:val="10"/>
          <w:rFonts w:hint="eastAsia" w:ascii="黑体" w:hAnsi="黑体" w:eastAsia="黑体" w:cs="黑体"/>
          <w:sz w:val="32"/>
          <w:szCs w:val="32"/>
          <w:shd w:val="clear" w:color="auto" w:fill="FFFFFF"/>
          <w:lang w:eastAsia="zh-CN"/>
        </w:rPr>
        <w:t>预算</w:t>
      </w:r>
      <w:r>
        <w:rPr>
          <w:rStyle w:val="10"/>
          <w:rFonts w:hint="eastAsia" w:ascii="黑体" w:hAnsi="黑体" w:eastAsia="黑体" w:cs="黑体"/>
          <w:sz w:val="32"/>
          <w:szCs w:val="32"/>
          <w:shd w:val="clear" w:color="auto" w:fill="FFFFFF"/>
          <w:lang w:val="en-US" w:eastAsia="zh-CN" w:bidi="ar-SA"/>
        </w:rPr>
        <w:t>绩效管理情况说明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自评情况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w:t>
      </w:r>
      <w:r>
        <w:rPr>
          <w:rFonts w:hint="eastAsia" w:ascii="方正仿宋_GBK" w:hAnsi="方正仿宋_GBK" w:eastAsia="方正仿宋_GBK" w:cs="方正仿宋_GBK"/>
          <w:sz w:val="32"/>
          <w:szCs w:val="32"/>
          <w:shd w:val="clear" w:color="auto" w:fill="FFFFFF"/>
          <w:lang w:val="en-US" w:eastAsia="zh-CN"/>
        </w:rPr>
        <w:t>单位</w:t>
      </w:r>
      <w:r>
        <w:rPr>
          <w:rFonts w:hint="eastAsia" w:ascii="方正仿宋_GBK" w:hAnsi="方正仿宋_GBK" w:eastAsia="方正仿宋_GBK" w:cs="方正仿宋_GBK"/>
          <w:sz w:val="32"/>
          <w:szCs w:val="32"/>
          <w:shd w:val="clear" w:color="auto" w:fill="FFFFFF"/>
        </w:rPr>
        <w:t>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rPr>
        <w:t>个项目开展了绩效自评，涉及</w:t>
      </w:r>
      <w:r>
        <w:rPr>
          <w:rFonts w:hint="eastAsia" w:ascii="方正仿宋_GBK" w:hAnsi="方正仿宋_GBK" w:eastAsia="方正仿宋_GBK" w:cs="方正仿宋_GBK"/>
          <w:sz w:val="32"/>
          <w:szCs w:val="32"/>
          <w:shd w:val="clear" w:color="auto" w:fill="FFFFFF"/>
          <w:lang w:eastAsia="zh-CN"/>
        </w:rPr>
        <w:t>财政拨款</w:t>
      </w:r>
      <w:r>
        <w:rPr>
          <w:rFonts w:hint="eastAsia" w:ascii="方正仿宋_GBK" w:hAnsi="方正仿宋_GBK" w:eastAsia="方正仿宋_GBK" w:cs="方正仿宋_GBK"/>
          <w:sz w:val="32"/>
          <w:szCs w:val="32"/>
          <w:shd w:val="clear" w:color="auto" w:fill="FFFFFF"/>
        </w:rPr>
        <w:t>资金</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3" w:firstLineChars="200"/>
        <w:jc w:val="both"/>
        <w:rPr>
          <w:rFonts w:hint="eastAsia"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（二）单位绩效评价情况</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bidi="ar"/>
        </w:rPr>
      </w:pPr>
      <w:r>
        <w:rPr>
          <w:rFonts w:hint="eastAsia" w:ascii="方正仿宋_GBK" w:hAnsi="方正仿宋_GBK" w:eastAsia="方正仿宋_GBK" w:cs="方正仿宋_GBK"/>
          <w:sz w:val="32"/>
          <w:szCs w:val="32"/>
          <w:shd w:val="clear" w:color="auto" w:fill="FFFFFF"/>
          <w:lang w:eastAsia="zh-CN" w:bidi="ar"/>
        </w:rPr>
        <w:t>我</w:t>
      </w:r>
      <w:r>
        <w:rPr>
          <w:rFonts w:hint="eastAsia" w:ascii="方正仿宋_GBK" w:hAnsi="方正仿宋_GBK" w:eastAsia="方正仿宋_GBK" w:cs="方正仿宋_GBK"/>
          <w:sz w:val="32"/>
          <w:szCs w:val="32"/>
          <w:shd w:val="clear" w:color="auto" w:fill="FFFFFF"/>
          <w:lang w:val="en-US" w:eastAsia="zh-CN" w:bidi="ar"/>
        </w:rPr>
        <w:t>单位</w:t>
      </w:r>
      <w:r>
        <w:rPr>
          <w:rFonts w:hint="eastAsia" w:ascii="方正仿宋_GBK" w:hAnsi="方正仿宋_GBK" w:eastAsia="方正仿宋_GBK" w:cs="方正仿宋_GBK"/>
          <w:sz w:val="32"/>
          <w:szCs w:val="32"/>
          <w:shd w:val="clear" w:color="auto" w:fill="FFFFFF"/>
          <w:lang w:eastAsia="zh-CN" w:bidi="ar"/>
        </w:rPr>
        <w:t>未组织开展绩效评价。</w:t>
      </w:r>
    </w:p>
    <w:p>
      <w:pPr>
        <w:pStyle w:val="11"/>
        <w:autoSpaceDE w:val="0"/>
        <w:rPr>
          <w:rFonts w:hint="eastAsia"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val="en-US" w:eastAsia="zh-CN" w:bidi="ar"/>
        </w:rPr>
        <w:t xml:space="preserve">（三）财政绩效评价情况 </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SA"/>
        </w:rPr>
        <w:t>区财政局未委托第三方对我单位开展绩效评价。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sz w:val="32"/>
          <w:szCs w:val="32"/>
          <w:lang w:eastAsia="zh-CN"/>
        </w:rPr>
      </w:pPr>
      <w:r>
        <w:rPr>
          <w:rStyle w:val="10"/>
          <w:rFonts w:hint="eastAsia" w:ascii="黑体" w:hAnsi="黑体" w:eastAsia="黑体" w:cs="黑体"/>
          <w:sz w:val="32"/>
          <w:szCs w:val="32"/>
          <w:shd w:val="clear" w:color="auto" w:fill="FFFFFF"/>
          <w:lang w:eastAsia="zh-CN"/>
        </w:rPr>
        <w:t>六</w:t>
      </w:r>
      <w:r>
        <w:rPr>
          <w:rStyle w:val="10"/>
          <w:rFonts w:ascii="黑体" w:hAnsi="黑体" w:eastAsia="黑体" w:cs="黑体"/>
          <w:sz w:val="32"/>
          <w:szCs w:val="32"/>
          <w:shd w:val="clear" w:color="auto" w:fill="FFFFFF"/>
        </w:rPr>
        <w:t>、专业名词解释</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七</w:t>
      </w:r>
      <w:r>
        <w:rPr>
          <w:rStyle w:val="10"/>
          <w:rFonts w:ascii="黑体" w:hAnsi="黑体" w:eastAsia="黑体" w:cs="黑体"/>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0"/>
          <w:rFonts w:hint="default" w:ascii="方正仿宋_GBK" w:hAnsi="方正仿宋_GBK" w:eastAsia="方正仿宋_GBK" w:cs="方正仿宋_GBK"/>
          <w:color w:val="auto"/>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023-81069618</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重庆市荣昌区清升镇综合行政执法大队</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重庆市荣昌区清升镇综合行政执法大队</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104.11</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104.11</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重庆市荣昌区清升镇综合行政执法大队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104.11</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104.11</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重庆市荣昌区清升镇综合行政执法大队</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重庆市荣昌区清升镇综合行政执法大队</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104.11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104.11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83.30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重庆市荣昌区清升镇综合行政执法大队</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87.70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87.70</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16.42</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重庆市荣昌区清升镇综合行政执法大队</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重庆市荣昌区清升镇综合行政执法大队</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重庆市荣昌区清升镇综合行政执法大队</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tbl>
      <w:tblPr>
        <w:tblStyle w:val="7"/>
        <w:tblW w:w="15336" w:type="dxa"/>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
        <w:gridCol w:w="2073"/>
        <w:gridCol w:w="1518"/>
        <w:gridCol w:w="362"/>
        <w:gridCol w:w="1125"/>
        <w:gridCol w:w="1490"/>
        <w:gridCol w:w="1431"/>
        <w:gridCol w:w="614"/>
        <w:gridCol w:w="735"/>
        <w:gridCol w:w="1047"/>
        <w:gridCol w:w="230"/>
        <w:gridCol w:w="1404"/>
        <w:gridCol w:w="247"/>
        <w:gridCol w:w="728"/>
        <w:gridCol w:w="357"/>
        <w:gridCol w:w="693"/>
        <w:gridCol w:w="1268"/>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5336"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Times New Roman" w:hAnsi="Times New Roman" w:eastAsia="微软雅黑" w:cs="微软雅黑"/>
                <w:b/>
                <w:bCs/>
                <w:i w:val="0"/>
                <w:iCs w:val="0"/>
                <w:color w:val="000000"/>
                <w:sz w:val="40"/>
                <w:szCs w:val="40"/>
                <w:u w:val="none"/>
              </w:rPr>
            </w:pPr>
            <w:r>
              <w:rPr>
                <w:rFonts w:hint="eastAsia" w:ascii="Times New Roman" w:hAnsi="Times New Roman" w:cs="宋体"/>
                <w:b/>
                <w:color w:val="000000"/>
                <w:kern w:val="2"/>
                <w:sz w:val="32"/>
                <w:szCs w:val="32"/>
                <w:lang w:val="en-US" w:eastAsia="zh-CN"/>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336" w:type="dxa"/>
            <w:gridSpan w:val="18"/>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962"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w:t>
            </w:r>
            <w:r>
              <w:rPr>
                <w:rFonts w:hint="eastAsia"/>
                <w:color w:val="000000"/>
                <w:sz w:val="20"/>
                <w:u w:color="auto"/>
                <w:lang w:eastAsia="zh-CN"/>
              </w:rPr>
              <w:t>清升</w:t>
            </w:r>
            <w:r>
              <w:rPr>
                <w:color w:val="000000"/>
                <w:sz w:val="20"/>
                <w:u w:color="auto"/>
              </w:rPr>
              <w:t>镇重庆市荣昌区荣昌区</w:t>
            </w:r>
            <w:r>
              <w:rPr>
                <w:rFonts w:hint="eastAsia"/>
                <w:color w:val="000000"/>
                <w:sz w:val="20"/>
                <w:u w:color="auto"/>
                <w:lang w:eastAsia="zh-CN"/>
              </w:rPr>
              <w:t>综合执法大队</w:t>
            </w:r>
          </w:p>
        </w:tc>
        <w:tc>
          <w:tcPr>
            <w:tcW w:w="112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1431"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614"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782" w:type="dxa"/>
            <w:gridSpan w:val="2"/>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230"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651" w:type="dxa"/>
            <w:gridSpan w:val="2"/>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085" w:type="dxa"/>
            <w:gridSpan w:val="2"/>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1966"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714"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color w:val="000000"/>
                <w:sz w:val="20"/>
                <w:u w:color="auto"/>
              </w:rPr>
              <w:t>重庆市荣昌区</w:t>
            </w:r>
            <w:r>
              <w:rPr>
                <w:rFonts w:hint="eastAsia"/>
                <w:color w:val="000000"/>
                <w:sz w:val="20"/>
                <w:u w:color="auto"/>
                <w:lang w:eastAsia="zh-CN"/>
              </w:rPr>
              <w:t>综合执法大队</w:t>
            </w:r>
            <w:r>
              <w:rPr>
                <w:rFonts w:hint="eastAsia" w:ascii="宋体" w:hAnsi="宋体" w:eastAsia="宋体" w:cs="宋体"/>
                <w:i w:val="0"/>
                <w:color w:val="000000"/>
                <w:kern w:val="0"/>
                <w:sz w:val="20"/>
                <w:szCs w:val="20"/>
                <w:u w:val="none"/>
                <w:lang w:val="en-US" w:eastAsia="zh-CN" w:bidi="ar"/>
              </w:rPr>
              <w:t>自评</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909-重庆市荣昌区清升镇人民政府</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002-预算科</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cs="宋体"/>
                <w:b/>
                <w:i w:val="0"/>
                <w:color w:val="000000"/>
                <w:kern w:val="0"/>
                <w:sz w:val="20"/>
                <w:szCs w:val="20"/>
                <w:u w:val="none"/>
                <w:lang w:val="en-US" w:eastAsia="zh-CN" w:bidi="ar"/>
              </w:rPr>
              <w:t>单位</w:t>
            </w:r>
            <w:r>
              <w:rPr>
                <w:rFonts w:hint="eastAsia" w:ascii="宋体" w:hAnsi="宋体" w:eastAsia="宋体" w:cs="宋体"/>
                <w:b/>
                <w:i w:val="0"/>
                <w:color w:val="000000"/>
                <w:kern w:val="0"/>
                <w:sz w:val="20"/>
                <w:szCs w:val="20"/>
                <w:u w:val="none"/>
                <w:lang w:val="en-US" w:eastAsia="zh-CN" w:bidi="ar"/>
              </w:rPr>
              <w:t>联系人：</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罗橙</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18423170446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35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1009217.66</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1041145.56</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1041145.56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1009217.66</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1041145.56</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1041145.56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1009217.66</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1041145.56</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1041145.56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3108"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完成集中行使依法授权或委托的农林水利、规划建设、环境保护、卫生计生、文化旅游、民政管理等领域的行政执法权。协调、配合区级有关部门及派驻机构开展其他领域的联合执法。</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完成集中行使依法授权或委托的农林水利、规划建设、环境保护、卫生计生、文化旅游、民政管理等领域的行政执法权。协调、配合区级有关部门及派驻机构开展其他领域的联合执法。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指标名称</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计量单位</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指标性质</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全年完成值</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偏离度（%）</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得分系数（%）</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指标权重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指标得分</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是否核心指标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固定资产利用率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人员经费保障率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公用经费保障率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重点工作完成率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执法程序合规率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执法公信力提升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持续提升</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sz w:val="20"/>
                <w:szCs w:val="20"/>
                <w:u w:val="none"/>
                <w:lang w:val="en-US" w:eastAsia="zh-CN"/>
              </w:rPr>
              <w:t>持续提升</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受益或服务对象满意度</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rPr>
          <w:rFonts w:hint="default"/>
          <w:sz w:val="18"/>
          <w:szCs w:val="18"/>
        </w:rPr>
      </w:pP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8CB1D68"/>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7F4056A"/>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1A2BFF"/>
    <w:rsid w:val="6F5A53AC"/>
    <w:rsid w:val="6FAC003D"/>
    <w:rsid w:val="6FCB57C1"/>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2025-11-03T07:24:27Z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